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keepNext/>
        <w:keepLines/>
        <w:spacing w:before="340" w:after="330" w:line="576" w:lineRule="auto"/>
        <w:jc w:val="center"/>
        <w:outlineLvl w:val="0"/>
        <w:rPr>
          <w:rFonts w:ascii="Calibri" w:hAnsi="Calibri" w:eastAsia="宋体" w:cs="Times New Roman"/>
          <w:b/>
          <w:kern w:val="44"/>
          <w:sz w:val="44"/>
          <w:szCs w:val="24"/>
        </w:rPr>
      </w:pPr>
      <w:bookmarkStart w:id="0" w:name="_Toc31364"/>
      <w:bookmarkStart w:id="1" w:name="_Toc1282"/>
      <w:r>
        <w:rPr>
          <w:rFonts w:hint="eastAsia" w:ascii="Calibri" w:hAnsi="Calibri" w:eastAsia="宋体" w:cs="Times New Roman"/>
          <w:b/>
          <w:kern w:val="44"/>
          <w:sz w:val="44"/>
          <w:szCs w:val="24"/>
        </w:rPr>
        <w:t>大学新生入学管理系统</w:t>
      </w:r>
      <w:bookmarkEnd w:id="0"/>
      <w:bookmarkEnd w:id="1"/>
    </w:p>
    <w:p>
      <w:pPr>
        <w:keepNext/>
        <w:keepLines/>
        <w:spacing w:before="340" w:after="330" w:line="576" w:lineRule="auto"/>
        <w:jc w:val="center"/>
        <w:outlineLvl w:val="0"/>
        <w:rPr>
          <w:rFonts w:ascii="Calibri" w:hAnsi="Calibri" w:eastAsia="宋体" w:cs="Times New Roman"/>
          <w:b/>
          <w:kern w:val="44"/>
          <w:sz w:val="44"/>
          <w:szCs w:val="24"/>
        </w:rPr>
      </w:pPr>
      <w:r>
        <w:rPr>
          <w:rFonts w:hint="eastAsia" w:ascii="Calibri" w:hAnsi="Calibri" w:eastAsia="宋体" w:cs="Times New Roman"/>
          <w:b/>
          <w:kern w:val="44"/>
          <w:sz w:val="44"/>
          <w:szCs w:val="24"/>
        </w:rPr>
        <w:t>需求规格说明书（</w:t>
      </w:r>
      <w:r>
        <w:rPr>
          <w:rFonts w:hint="eastAsia" w:ascii="Calibri" w:hAnsi="Calibri" w:eastAsia="宋体" w:cs="Times New Roman"/>
          <w:b/>
          <w:kern w:val="44"/>
          <w:sz w:val="44"/>
          <w:szCs w:val="24"/>
          <w:lang w:val="en-US" w:eastAsia="zh-CN"/>
        </w:rPr>
        <w:t>草</w:t>
      </w:r>
      <w:bookmarkStart w:id="2" w:name="_GoBack"/>
      <w:bookmarkEnd w:id="2"/>
      <w:r>
        <w:rPr>
          <w:rFonts w:hint="eastAsia" w:ascii="Calibri" w:hAnsi="Calibri" w:eastAsia="宋体" w:cs="Times New Roman"/>
          <w:b/>
          <w:kern w:val="44"/>
          <w:sz w:val="44"/>
          <w:szCs w:val="24"/>
        </w:rPr>
        <w:t>稿）</w:t>
      </w: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tbl>
      <w:tblPr>
        <w:tblStyle w:val="5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Calibri" w:hAnsi="Calibri" w:eastAsia="宋体" w:cs="Times New Roman"/>
                <w:color w:val="FFFFFF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FFFFFF"/>
                <w:kern w:val="0"/>
                <w:sz w:val="20"/>
                <w:szCs w:val="24"/>
              </w:rPr>
              <w:t>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文件状态</w:t>
            </w:r>
          </w:p>
        </w:tc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[√]草稿   [  ]正在修改   [  ]正式发布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文件标识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20171009-YL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当前版本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0070C0"/>
          </w:tcPr>
          <w:p>
            <w:pPr>
              <w:jc w:val="center"/>
              <w:rPr>
                <w:rFonts w:ascii="Calibri" w:hAnsi="Calibri" w:eastAsia="宋体" w:cs="Times New Roman"/>
                <w:color w:val="5B9BD5"/>
                <w:kern w:val="0"/>
                <w:sz w:val="20"/>
                <w:szCs w:val="24"/>
                <w14:textFill>
                  <w14:solidFill>
                    <w14:srgbClr w14:val="5B9BD5">
                      <w14:lumMod w14:val="60000"/>
                      <w14:lumOff w14:val="40000"/>
                    </w14:srgbClr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5B9BD5"/>
                <w:kern w:val="0"/>
                <w:sz w:val="20"/>
                <w:szCs w:val="24"/>
                <w14:textFill>
                  <w14:solidFill>
                    <w14:srgbClr w14:val="5B9BD5">
                      <w14:lumMod w14:val="60000"/>
                      <w14:lumOff w14:val="40000"/>
                    </w14:srgbClr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姓名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张熠阳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学号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2014011239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团队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Supreme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完成日期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2017/10/09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版本更新信息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Calibri" w:hAnsi="Calibri" w:eastAsia="宋体" w:cs="Times New Roman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 w:eastAsia="宋体" w:cs="Times New Roman"/>
                <w:color w:val="000000"/>
                <w:kern w:val="0"/>
                <w:sz w:val="20"/>
                <w:szCs w:val="24"/>
              </w:rPr>
              <w:t>初稿</w:t>
            </w:r>
          </w:p>
        </w:tc>
      </w:tr>
    </w:tbl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ascii="Calibri" w:hAnsi="Calibri" w:eastAsia="宋体" w:cs="Times New Roman"/>
          <w:szCs w:val="24"/>
        </w:rPr>
      </w:pPr>
    </w:p>
    <w:p>
      <w:pPr>
        <w:jc w:val="center"/>
        <w:rPr>
          <w:rFonts w:hint="eastAsia" w:ascii="Calibri" w:hAnsi="Calibri" w:eastAsia="宋体" w:cs="Times New Roman"/>
          <w:szCs w:val="24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导言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目的</w:t>
      </w:r>
      <w:r>
        <w:br w:type="textWrapping"/>
      </w:r>
      <w:r>
        <w:rPr>
          <w:rFonts w:hint="eastAsia"/>
        </w:rPr>
        <w:t>本软件需求说明书的编写目是描述“大学新生入学管理系统”在功能、性能、可靠性、出错处理、接口、约束等方面的需求，对“大学新生入学管理系统”的处理逻辑和流程进行分析，为“大学新生入学管理系统”的开发和测试提供依据。同时作为用户和软件开发者对该系统共同的理解，使之成为最后系统验收的一个依据。本说明书的预期读者是“大学新生入学管理系统”的用户、开发人员、维护人员和管理人员。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背景</w:t>
      </w:r>
      <w:r>
        <w:br w:type="textWrapping"/>
      </w:r>
      <w:r>
        <w:rPr>
          <w:rFonts w:hint="eastAsia"/>
        </w:rPr>
        <w:t>北京信息科技大学（招标方）为了解决大一新生的管理问题，消除辅导员老师和大一学生之间的壁垒，需要使用“新生大学入学管理系统”。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招标单位：北京信息科技大学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开发团队：SuprEme软件开发小组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者（参与者）：学校的辅导员、授课老师及班主任、大一新入校本科生、管理员（说明：由于学校有教务系统等其他内部系统，本软件没有适配其他内部系统接口的需求，所以把数据导入和教务信息获取的前期工作默认为管理员人工操作）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编写说明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术语定义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版本更新记录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版本1.0：张熠阳创建于2017年10 月9日。评审文档见（）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引用文件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《民航客运订票系统软件需求说明书》（来自互联网）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《中华人民共和国国家标准——计算机软件产品开发文档编制指南》（中国标准出版社，版本号： GB/T 8567-1988）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需求概要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要求的状态与方式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空闲时间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校园局域网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外网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活动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维护状态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系统总体功能和业务结构（用例图描述）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主用例图</w:t>
      </w:r>
      <w:r>
        <w:br w:type="textWrapping"/>
      </w:r>
      <w:r>
        <w:drawing>
          <wp:inline distT="0" distB="0" distL="0" distR="0">
            <wp:extent cx="5276850" cy="4676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用例说明</w:t>
      </w:r>
    </w:p>
    <w:p>
      <w:pPr>
        <w:pStyle w:val="6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按类别筛选信息生成子表</w:t>
      </w:r>
      <w:r>
        <w:br w:type="textWrapping"/>
      </w:r>
    </w:p>
    <w:tbl>
      <w:tblPr>
        <w:tblStyle w:val="5"/>
        <w:tblW w:w="6429" w:type="dxa"/>
        <w:tblInd w:w="20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简要说明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系统为辅导员用户提供一个可以采集数据库内部学生信息的平台，并能以excel表的形式输出。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事件流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通过辅导员身份验证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扩展点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6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新生填写详细个人信息</w:t>
      </w:r>
      <w:r>
        <w:rPr>
          <w:rFonts w:hint="eastAsia"/>
        </w:rPr>
        <w:br w:type="textWrapping"/>
      </w:r>
    </w:p>
    <w:tbl>
      <w:tblPr>
        <w:tblStyle w:val="5"/>
        <w:tblW w:w="6429" w:type="dxa"/>
        <w:tblInd w:w="20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简要说明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系统为学生用户提供问卷形式的填写窗口，填写完成后自动保存到数据库中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事件流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通过学生身份验证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扩展点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6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发布通知</w:t>
      </w:r>
      <w:r>
        <w:br w:type="textWrapping"/>
      </w:r>
    </w:p>
    <w:tbl>
      <w:tblPr>
        <w:tblStyle w:val="5"/>
        <w:tblW w:w="6429" w:type="dxa"/>
        <w:tblInd w:w="20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简要说明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系统为老师用户和学生用户提供一个消息广播平台，老师用户指定学生发布通知之后，学生用户可以直接接收到。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事件流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通过老师身份验证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扩展点</w:t>
            </w:r>
          </w:p>
        </w:tc>
        <w:tc>
          <w:tcPr>
            <w:tcW w:w="5153" w:type="dxa"/>
          </w:tcPr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系统将消息已读的情况反馈给老师，确保消息通知到个人。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老师可以直接获取未通知到学生的联系方式。（前置条件：学生详细个人信息填写完毕）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6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查询学校信息</w:t>
      </w:r>
      <w:r>
        <w:br w:type="textWrapping"/>
      </w:r>
    </w:p>
    <w:tbl>
      <w:tblPr>
        <w:tblStyle w:val="5"/>
        <w:tblW w:w="6429" w:type="dxa"/>
        <w:tblInd w:w="20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简要说明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系统为学生用户提供专门了解学校信息的模块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事件流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通过学生身份验证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扩展点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6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查看学校地图</w:t>
      </w:r>
      <w:r>
        <w:br w:type="textWrapping"/>
      </w:r>
    </w:p>
    <w:tbl>
      <w:tblPr>
        <w:tblStyle w:val="5"/>
        <w:tblW w:w="6429" w:type="dxa"/>
        <w:tblInd w:w="20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简要说明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系统为学生用户提供一个地图模块，可以查看校园内部各办公室、教室的信息。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事件流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通过学生身份验证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扩展点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手机登录可以通过GPS定向导航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6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搜索查看学生手册内容</w:t>
      </w:r>
      <w:r>
        <w:br w:type="textWrapping"/>
      </w:r>
    </w:p>
    <w:tbl>
      <w:tblPr>
        <w:tblStyle w:val="5"/>
        <w:tblW w:w="6429" w:type="dxa"/>
        <w:tblInd w:w="20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简要说明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系统为学生用户提供一个查询学生手册中具体详细信息的搜索引擎。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事件流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通过学生身份验证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扩展点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搜索引擎可以查到学校近期颁布的文件。引用3.2.2.9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6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查询自己的学生信息</w:t>
      </w:r>
      <w:r>
        <w:rPr>
          <w:rFonts w:hint="eastAsia"/>
        </w:rPr>
        <w:br w:type="textWrapping"/>
      </w:r>
    </w:p>
    <w:tbl>
      <w:tblPr>
        <w:tblStyle w:val="5"/>
        <w:tblW w:w="6429" w:type="dxa"/>
        <w:tblInd w:w="20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简要说明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系统为学生用户提供查看个人其他信息的模块，部分信息由管理员提供不可修改，其他信息为自己填写的，可修改。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事件流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通过学生身份验证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扩展点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6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获取班级信息和课表</w:t>
      </w:r>
      <w:r>
        <w:rPr>
          <w:rFonts w:hint="eastAsia"/>
        </w:rPr>
        <w:br w:type="textWrapping"/>
      </w:r>
    </w:p>
    <w:tbl>
      <w:tblPr>
        <w:tblStyle w:val="5"/>
        <w:tblW w:w="6429" w:type="dxa"/>
        <w:tblInd w:w="20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简要说明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系统为学生用户提供其班级信息和个人课表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事件流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通过学生用户验证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扩展点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系统能够以word、或excel的形式输出学生的课表，并附上课程信息。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6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获取老师联系方式</w:t>
      </w:r>
      <w:r>
        <w:br w:type="textWrapping"/>
      </w:r>
    </w:p>
    <w:tbl>
      <w:tblPr>
        <w:tblStyle w:val="5"/>
        <w:tblW w:w="6429" w:type="dxa"/>
        <w:tblInd w:w="20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简要说明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系统为学生用户提供所有有关的老师的联系方式。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事件流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通过学生用户验证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扩展点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老师的名字可以在搜索引擎中搜索到。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6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更新信息</w:t>
      </w:r>
      <w:r>
        <w:br w:type="textWrapping"/>
      </w:r>
    </w:p>
    <w:tbl>
      <w:tblPr>
        <w:tblStyle w:val="5"/>
        <w:tblW w:w="6429" w:type="dxa"/>
        <w:tblInd w:w="20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简要说明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系统为管理员提供对数据库信息增删改查的平台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事件流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通过管理员用户验证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扩展点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5153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6"/>
        <w:ind w:left="1984" w:firstLine="0" w:firstLineChars="0"/>
        <w:jc w:val="left"/>
        <w:rPr>
          <w:rFonts w:hint="eastAsia"/>
        </w:rPr>
      </w:pP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硬件系统需求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</w:p>
    <w:p>
      <w:pPr>
        <w:pStyle w:val="6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PC端或智能手机</w:t>
      </w:r>
    </w:p>
    <w:p>
      <w:pPr>
        <w:pStyle w:val="6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连接互联网或本校局域网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服务器端</w:t>
      </w:r>
    </w:p>
    <w:p>
      <w:pPr>
        <w:pStyle w:val="6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普通服务器CPU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软件系统需求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</w:p>
    <w:p>
      <w:pPr>
        <w:pStyle w:val="6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各种浏览器均适配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系统能力需求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性能需求</w:t>
      </w:r>
    </w:p>
    <w:p>
      <w:pPr>
        <w:pStyle w:val="6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要求响应时间不能超过10s</w:t>
      </w:r>
    </w:p>
    <w:p>
      <w:pPr>
        <w:pStyle w:val="6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最多可以同时允许100个用户同时操作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安全性需求</w:t>
      </w:r>
      <w:r>
        <w:br w:type="textWrapping"/>
      </w:r>
      <w:r>
        <w:rPr>
          <w:rFonts w:hint="eastAsia"/>
        </w:rPr>
        <w:t>系统需要较高的放攻击能力，原因在于：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防止学生信息泄露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防止黑客利用该网站诱骗大一新生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私密性需求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用户的权限需要得到保护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学生用户权限：</w:t>
      </w:r>
    </w:p>
    <w:p>
      <w:pPr>
        <w:pStyle w:val="6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自己的个人信息</w:t>
      </w:r>
    </w:p>
    <w:p>
      <w:pPr>
        <w:pStyle w:val="6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通知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辅导员与老师用户权限：</w:t>
      </w:r>
    </w:p>
    <w:p>
      <w:pPr>
        <w:pStyle w:val="6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自己的信息</w:t>
      </w:r>
    </w:p>
    <w:p>
      <w:pPr>
        <w:pStyle w:val="6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所有管理员授权的其他用户信息</w:t>
      </w:r>
    </w:p>
    <w:p>
      <w:pPr>
        <w:pStyle w:val="6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通知反馈或留言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操作需求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所有本用户执行的操作都应该是可逆的，以防学生填写后不可修改等问题。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相关培训需求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管理员用户对数据库信息的操作，需要有详细的、可读性高的说明文档。</w:t>
      </w:r>
    </w:p>
    <w:p>
      <w:pPr>
        <w:pStyle w:val="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高级用户（辅导员、教师）需要有专门的使用手册。</w:t>
      </w:r>
    </w:p>
    <w:p>
      <w:pPr>
        <w:pStyle w:val="6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维护说明书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241DF"/>
    <w:multiLevelType w:val="multilevel"/>
    <w:tmpl w:val="235241DF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7084093"/>
    <w:multiLevelType w:val="multilevel"/>
    <w:tmpl w:val="4708409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0E"/>
    <w:rsid w:val="00036A6E"/>
    <w:rsid w:val="000649C9"/>
    <w:rsid w:val="000E631A"/>
    <w:rsid w:val="001D024F"/>
    <w:rsid w:val="001F789C"/>
    <w:rsid w:val="002055F5"/>
    <w:rsid w:val="0023643B"/>
    <w:rsid w:val="002B7924"/>
    <w:rsid w:val="00352FBD"/>
    <w:rsid w:val="003544A4"/>
    <w:rsid w:val="003B381D"/>
    <w:rsid w:val="004E581D"/>
    <w:rsid w:val="006534CC"/>
    <w:rsid w:val="0071363A"/>
    <w:rsid w:val="0072444A"/>
    <w:rsid w:val="0073170E"/>
    <w:rsid w:val="007C13B3"/>
    <w:rsid w:val="00916617"/>
    <w:rsid w:val="0095725D"/>
    <w:rsid w:val="00A425B4"/>
    <w:rsid w:val="00BF60CC"/>
    <w:rsid w:val="00C604C5"/>
    <w:rsid w:val="00D752C0"/>
    <w:rsid w:val="00EB066E"/>
    <w:rsid w:val="00F21D76"/>
    <w:rsid w:val="00F5778D"/>
    <w:rsid w:val="00F64E18"/>
    <w:rsid w:val="00FE5A38"/>
    <w:rsid w:val="5556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61A2BB-2532-446E-B4F5-3EC757810E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332</Words>
  <Characters>1898</Characters>
  <Lines>15</Lines>
  <Paragraphs>4</Paragraphs>
  <TotalTime>0</TotalTime>
  <ScaleCrop>false</ScaleCrop>
  <LinksUpToDate>false</LinksUpToDate>
  <CharactersWithSpaces>2226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2017-10-09T06:34:00Z</dcterms:created>
  <dc:creator>Christopher Phellsky</dc:creator>
  <cp:lastModifiedBy>DELL</cp:lastModifiedBy>
  <dcterms:modified xsi:type="dcterms:W3CDTF">2017-10-11T07:22:10Z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