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sz w:val="32"/>
        </w:rPr>
        <w:t>Mutual Non-Disclosure &amp; IP Assignment Agreement</w:t>
      </w:r>
    </w:p>
    <w:p>
      <w:pPr>
        <w:spacing w:before="0" w:after="40"/>
      </w:pPr>
      <w:r>
        <w:rPr>
          <w:rFonts w:ascii="Calibri" w:hAnsi="Calibri"/>
          <w:b w:val="0"/>
          <w:i w:val="0"/>
          <w:color w:val="505050"/>
          <w:sz w:val="22"/>
        </w:rPr>
        <w:t>Project Green (AI Digital Twin for Accounting Firms)</w:t>
      </w:r>
    </w:p>
    <w:p>
      <w:pPr>
        <w:spacing w:before="0" w:after="40"/>
      </w:pPr>
      <w:r>
        <w:rPr>
          <w:rFonts w:ascii="Calibri" w:hAnsi="Calibri"/>
          <w:b/>
          <w:i w:val="0"/>
          <w:color w:val="960000"/>
          <w:sz w:val="21"/>
        </w:rPr>
        <w:t>Knutsen Redline Proposals — v3  |  March 6, 2026</w:t>
      </w:r>
    </w:p>
    <w:p>
      <w:pPr>
        <w:spacing w:before="0" w:after="120"/>
      </w:pPr>
      <w:r>
        <w:rPr>
          <w:rFonts w:ascii="Calibri" w:hAnsi="Calibri"/>
          <w:b w:val="0"/>
          <w:i/>
          <w:color w:val="646464"/>
          <w:sz w:val="19"/>
        </w:rPr>
        <w:t>Redlines marked with amber notes throughout. All unchanged text is carried in full.</w:t>
      </w:r>
    </w:p>
    <w:p>
      <w:pPr>
        <w:spacing w:before="40" w:after="40"/>
      </w:pPr>
      <w:r>
        <w:rPr>
          <w:rFonts w:ascii="Calibri" w:hAnsi="Calibri"/>
          <w:b w:val="0"/>
          <w:i w:val="0"/>
          <w:color w:val="B4B4B4"/>
          <w:sz w:val="16"/>
        </w:rPr>
        <w:t>────────────────────────────────────────────────────────────────────────</w:t>
      </w:r>
    </w:p>
    <w:p>
      <w:pPr>
        <w:spacing w:before="240" w:after="80"/>
      </w:pPr>
      <w:r>
        <w:rPr>
          <w:rFonts w:ascii="Calibri" w:hAnsi="Calibri"/>
          <w:b/>
          <w:i w:val="0"/>
          <w:sz w:val="26"/>
        </w:rPr>
        <w:t>Preamble</w:t>
      </w:r>
    </w:p>
    <w:p>
      <w:pPr>
        <w:spacing w:before="40" w:after="40"/>
      </w:pPr>
      <w:r>
        <w:rPr>
          <w:rFonts w:ascii="Calibri" w:hAnsi="Calibri"/>
          <w:b w:val="0"/>
          <w:i w:val="0"/>
          <w:sz w:val="21"/>
        </w:rPr>
        <w:t>This Mutual Non-Disclosure and IP Assignment Agreement ("Agreement") is entered into as of March 6, 2026 ("Effective Date") by and between:</w:t>
      </w:r>
    </w:p>
    <w:p>
      <w:pPr>
        <w:pStyle w:val="ListBullet"/>
        <w:spacing w:before="20" w:after="20"/>
        <w:ind w:left="504"/>
      </w:pPr>
      <w:r>
        <w:rPr>
          <w:rFonts w:ascii="Calibri" w:hAnsi="Calibri"/>
          <w:b w:val="0"/>
          <w:i w:val="0"/>
          <w:sz w:val="21"/>
        </w:rPr>
        <w:t>Kristopher Knutsen ("Knutsen"), an individual residing in the State of Colorado, serving as Board Member of Project Green; and</w:t>
      </w:r>
    </w:p>
    <w:p>
      <w:pPr>
        <w:pStyle w:val="ListBullet"/>
        <w:spacing w:before="20" w:after="20"/>
        <w:ind w:left="504"/>
      </w:pPr>
      <w:r>
        <w:rPr>
          <w:rFonts w:ascii="Calibri" w:hAnsi="Calibri"/>
          <w:b w:val="0"/>
          <w:i w:val="0"/>
          <w:sz w:val="21"/>
        </w:rPr>
        <w:t>Michael Leavenworth ("Leavenworth"), Founder of Project Green, an individual residing in the State of Florida, acting on behalf of Project Green, a Delaware C-Corporation in formation ("Company").</w:t>
      </w:r>
    </w:p>
    <w:p>
      <w:pPr>
        <w:spacing w:before="40" w:after="40"/>
      </w:pPr>
      <w:r>
        <w:rPr>
          <w:rFonts w:ascii="Calibri" w:hAnsi="Calibri"/>
          <w:b w:val="0"/>
          <w:i w:val="0"/>
          <w:sz w:val="21"/>
        </w:rPr>
        <w:t>Knutsen and Leavenworth are each referred to individually as a "Party" and collectively as the "Parties." Each Party anticipates disclosing Confidential Information to the other in connection with Project Green. In any given disclosure, the Party disclosing information is the "Disclosing Party" and the Party receiving information is the "Receiving Party." Both Parties are simultaneously bound by the obligations of both roles.</w:t>
      </w:r>
    </w:p>
    <w:p>
      <w:pPr>
        <w:spacing w:before="40" w:after="40"/>
      </w:pPr>
      <w:r>
        <w:rPr>
          <w:rFonts w:ascii="Calibri" w:hAnsi="Calibri"/>
          <w:b w:val="0"/>
          <w:i w:val="0"/>
          <w:sz w:val="21"/>
        </w:rPr>
        <w:t>In consideration of (i) the mutual exchange of Confidential Information, (ii) Knutsen's continued appointment as Board Member under the Terms Memo, (iii) access to each other's Confidential Information including source code, business plans, technical documentation, and cybersecurity expertise, (iv) the opportunity to perform Services for the Company, and (v) other good and valuable consideration, the receipt and sufficiency of which are hereby acknowledged, the Parties agree as follows.</w:t>
      </w:r>
    </w:p>
    <w:p>
      <w:pPr>
        <w:spacing w:before="40" w:after="40"/>
      </w:pPr>
      <w:r>
        <w:rPr>
          <w:rFonts w:ascii="Calibri" w:hAnsi="Calibri"/>
          <w:b w:val="0"/>
          <w:i w:val="0"/>
          <w:sz w:val="21"/>
        </w:rPr>
        <w:t>This Agreement supplements and is incorporated into the Board Member Terms Memo dated February 22, 2026 ("Terms Memo"). In the event of conflict, this Agreement controls with respect to confidentiality and intellectual property matters.</w:t>
      </w:r>
    </w:p>
    <w:p>
      <w:pPr>
        <w:spacing w:before="40" w:after="40"/>
      </w:pPr>
      <w:r>
        <w:rPr>
          <w:rFonts w:ascii="Calibri" w:hAnsi="Calibri"/>
          <w:b w:val="0"/>
          <w:i w:val="0"/>
          <w:color w:val="B4B4B4"/>
          <w:sz w:val="16"/>
        </w:rPr>
        <w:t>────────────────────────────────────────────────────────────────────────</w:t>
      </w:r>
    </w:p>
    <w:p>
      <w:pPr>
        <w:spacing w:before="240" w:after="80"/>
      </w:pPr>
      <w:r>
        <w:rPr>
          <w:rFonts w:ascii="Calibri" w:hAnsi="Calibri"/>
          <w:b/>
          <w:i w:val="0"/>
          <w:sz w:val="26"/>
        </w:rPr>
        <w:t>1. Definitions</w:t>
      </w:r>
    </w:p>
    <w:p>
      <w:pPr>
        <w:spacing w:before="160" w:after="40"/>
      </w:pPr>
      <w:r>
        <w:rPr>
          <w:rFonts w:ascii="Calibri" w:hAnsi="Calibri"/>
          <w:b/>
          <w:i w:val="0"/>
          <w:sz w:val="22"/>
        </w:rPr>
        <w:t>1.1  Confidential Information.</w:t>
      </w:r>
    </w:p>
    <w:p>
      <w:pPr>
        <w:spacing w:before="40" w:after="40"/>
      </w:pPr>
      <w:r>
        <w:rPr>
          <w:rFonts w:ascii="Calibri" w:hAnsi="Calibri"/>
          <w:b w:val="0"/>
          <w:i w:val="0"/>
          <w:sz w:val="21"/>
        </w:rPr>
        <w:t>"Confidential Information" means any non-public information disclosed by either Party to the other, in any form or medium (oral, written, electronic, or otherwise), that is designated as confidential or that reasonably should be understood to be confidential given the nature of the information and the circumstances of disclosure. Confidential Information includes, without limitation:</w:t>
      </w:r>
    </w:p>
    <w:p>
      <w:pPr>
        <w:pStyle w:val="ListBullet"/>
        <w:spacing w:before="20" w:after="20"/>
        <w:ind w:left="504"/>
      </w:pPr>
      <w:r>
        <w:rPr>
          <w:rFonts w:ascii="Calibri" w:hAnsi="Calibri"/>
          <w:b w:val="0"/>
          <w:i w:val="0"/>
          <w:sz w:val="21"/>
        </w:rPr>
        <w:t>Business plans, financial projections, revenue data, and pricing strategies;</w:t>
      </w:r>
    </w:p>
    <w:p>
      <w:pPr>
        <w:pStyle w:val="ListBullet"/>
        <w:spacing w:before="20" w:after="20"/>
        <w:ind w:left="504"/>
      </w:pPr>
      <w:r>
        <w:rPr>
          <w:rFonts w:ascii="Calibri" w:hAnsi="Calibri"/>
          <w:b w:val="0"/>
          <w:i w:val="0"/>
          <w:sz w:val="21"/>
        </w:rPr>
        <w:t>Software, source code, algorithms, AI/ML models, training data, and system architectures;</w:t>
      </w:r>
    </w:p>
    <w:p>
      <w:pPr>
        <w:pStyle w:val="ListBullet"/>
        <w:spacing w:before="20" w:after="20"/>
        <w:ind w:left="504"/>
      </w:pPr>
      <w:r>
        <w:rPr>
          <w:rFonts w:ascii="Calibri" w:hAnsi="Calibri"/>
          <w:b w:val="0"/>
          <w:i w:val="0"/>
          <w:sz w:val="21"/>
        </w:rPr>
        <w:t>Security frameworks, compliance documentation, policies, and methodologies;</w:t>
      </w:r>
    </w:p>
    <w:p>
      <w:pPr>
        <w:pStyle w:val="ListBullet"/>
        <w:spacing w:before="20" w:after="20"/>
        <w:ind w:left="504"/>
      </w:pPr>
      <w:r>
        <w:rPr>
          <w:rFonts w:ascii="Calibri" w:hAnsi="Calibri"/>
          <w:b w:val="0"/>
          <w:i w:val="0"/>
          <w:sz w:val="21"/>
        </w:rPr>
        <w:t>Customer lists, prospect data, and partnership agreements;</w:t>
      </w:r>
    </w:p>
    <w:p>
      <w:pPr>
        <w:pStyle w:val="ListBullet"/>
        <w:spacing w:before="20" w:after="20"/>
        <w:ind w:left="504"/>
      </w:pPr>
      <w:r>
        <w:rPr>
          <w:rFonts w:ascii="Calibri" w:hAnsi="Calibri"/>
          <w:b w:val="0"/>
          <w:i w:val="0"/>
          <w:sz w:val="21"/>
        </w:rPr>
        <w:t>Product roadmaps, feature specifications, and technical documentation;</w:t>
      </w:r>
    </w:p>
    <w:p>
      <w:pPr>
        <w:pStyle w:val="ListBullet"/>
        <w:spacing w:before="20" w:after="20"/>
        <w:ind w:left="504"/>
      </w:pPr>
      <w:r>
        <w:rPr>
          <w:rFonts w:ascii="Calibri" w:hAnsi="Calibri"/>
          <w:b w:val="0"/>
          <w:i w:val="0"/>
          <w:sz w:val="21"/>
        </w:rPr>
        <w:t>Personnel information and compensation structures;</w:t>
      </w:r>
    </w:p>
    <w:p>
      <w:pPr>
        <w:pStyle w:val="ListBullet"/>
        <w:spacing w:before="20" w:after="20"/>
        <w:ind w:left="504"/>
      </w:pPr>
      <w:r>
        <w:rPr>
          <w:rFonts w:ascii="Calibri" w:hAnsi="Calibri"/>
          <w:b w:val="0"/>
          <w:i w:val="0"/>
          <w:sz w:val="21"/>
        </w:rPr>
        <w:t>Trade secrets as defined under the Colorado Uniform Trade Secrets Act (C.R.S. §7-74-102) and the federal Defend Trade Secrets Act (18 U.S.C. §1839);</w:t>
      </w:r>
    </w:p>
    <w:p>
      <w:pPr>
        <w:pStyle w:val="ListBullet"/>
        <w:spacing w:before="20" w:after="20"/>
        <w:ind w:left="504"/>
      </w:pPr>
      <w:r>
        <w:rPr>
          <w:rFonts w:ascii="Calibri" w:hAnsi="Calibri"/>
          <w:b w:val="0"/>
          <w:i w:val="0"/>
          <w:sz w:val="21"/>
        </w:rPr>
        <w:t>Written and verbal communications made in connection with Project Green, including through the Project Green Discord server, direct messages between Project Green members, and board meeting discussions.</w:t>
      </w:r>
    </w:p>
    <w:p>
      <w:pPr>
        <w:spacing w:before="60" w:after="140"/>
        <w:ind w:left="576"/>
        <w:pBdr>
          <w:left w:val="single" w:sz="12" w:space="6" w:color="B8860B"/>
        </w:pBdr>
      </w:pPr>
      <w:r>
        <w:rPr>
          <w:rFonts w:ascii="Calibri" w:hAnsi="Calibri"/>
          <w:b/>
          <w:i/>
          <w:color w:val="8C5A00"/>
          <w:sz w:val="18"/>
        </w:rPr>
        <w:t xml:space="preserve">↳ REDLINE §1.1: </w:t>
      </w:r>
      <w:r>
        <w:rPr>
          <w:rFonts w:ascii="Calibri" w:hAnsi="Calibri"/>
          <w:b w:val="0"/>
          <w:i/>
          <w:color w:val="5A5A5A"/>
          <w:sz w:val="18"/>
        </w:rPr>
        <w:t>Revised from 'Any information disclosed in board meetings, Discord channels, or written communications.' Discord is the Parties' primary communication channel and must remain explicitly included, as must direct messages between Project Green members — both are active sources of CI. Language is scoped to communications 'in connection with Project Green' to avoid capturing unrelated personal or casual Discord activity, while covering all legitimate Project Green business communications across all channels and formats.</w:t>
      </w:r>
    </w:p>
    <w:p>
      <w:pPr>
        <w:spacing w:before="160" w:after="40"/>
      </w:pPr>
      <w:r>
        <w:rPr>
          <w:rFonts w:ascii="Calibri" w:hAnsi="Calibri"/>
          <w:b/>
          <w:i w:val="0"/>
          <w:sz w:val="22"/>
        </w:rPr>
        <w:t>1.2  Exclusions.</w:t>
      </w:r>
    </w:p>
    <w:p>
      <w:pPr>
        <w:spacing w:before="40" w:after="40"/>
      </w:pPr>
      <w:r>
        <w:rPr>
          <w:rFonts w:ascii="Calibri" w:hAnsi="Calibri"/>
          <w:b w:val="0"/>
          <w:i w:val="0"/>
          <w:sz w:val="21"/>
        </w:rPr>
        <w:t>Confidential Information does not include information that:</w:t>
      </w:r>
    </w:p>
    <w:p>
      <w:pPr>
        <w:spacing w:before="20" w:after="20"/>
        <w:ind w:left="504"/>
      </w:pPr>
      <w:r>
        <w:rPr>
          <w:rFonts w:ascii="Calibri" w:hAnsi="Calibri"/>
          <w:b w:val="0"/>
          <w:i w:val="0"/>
          <w:sz w:val="21"/>
        </w:rPr>
        <w:t>(a)  Is or becomes publicly known through no breach of this Agreement by the Receiving Party;</w:t>
      </w:r>
    </w:p>
    <w:p>
      <w:pPr>
        <w:spacing w:before="20" w:after="20"/>
        <w:ind w:left="504"/>
      </w:pPr>
      <w:r>
        <w:rPr>
          <w:rFonts w:ascii="Calibri" w:hAnsi="Calibri"/>
          <w:b w:val="0"/>
          <w:i w:val="0"/>
          <w:sz w:val="21"/>
        </w:rPr>
        <w:t>(b)  Was rightfully known to the Receiving Party prior to disclosure without restriction;</w:t>
      </w:r>
    </w:p>
    <w:p>
      <w:pPr>
        <w:spacing w:before="20" w:after="20"/>
        <w:ind w:left="504"/>
      </w:pPr>
      <w:r>
        <w:rPr>
          <w:rFonts w:ascii="Calibri" w:hAnsi="Calibri"/>
          <w:b w:val="0"/>
          <w:i w:val="0"/>
          <w:sz w:val="21"/>
        </w:rPr>
        <w:t>(c)  Is independently developed by the Receiving Party without use of Confidential Information;</w:t>
      </w:r>
    </w:p>
    <w:p>
      <w:pPr>
        <w:spacing w:before="20" w:after="20"/>
        <w:ind w:left="504"/>
      </w:pPr>
      <w:r>
        <w:rPr>
          <w:rFonts w:ascii="Calibri" w:hAnsi="Calibri"/>
          <w:b w:val="0"/>
          <w:i w:val="0"/>
          <w:sz w:val="21"/>
        </w:rPr>
        <w:t>(d)  Is rightfully obtained from a third party without restriction on disclosure;</w:t>
      </w:r>
    </w:p>
    <w:p>
      <w:pPr>
        <w:spacing w:before="20" w:after="20"/>
        <w:ind w:left="504"/>
      </w:pPr>
      <w:r>
        <w:rPr>
          <w:rFonts w:ascii="Calibri" w:hAnsi="Calibri"/>
          <w:b w:val="0"/>
          <w:i w:val="0"/>
          <w:sz w:val="21"/>
        </w:rPr>
        <w:t>(e)  Is required to be disclosed by applicable law, regulation, court order, or governmental authority (subject to Section 2.3 below).</w:t>
      </w:r>
    </w:p>
    <w:p>
      <w:pPr>
        <w:spacing w:before="40" w:after="40"/>
      </w:pPr>
      <w:r>
        <w:rPr>
          <w:rFonts w:ascii="Calibri" w:hAnsi="Calibri"/>
          <w:b w:val="0"/>
          <w:i w:val="0"/>
          <w:sz w:val="21"/>
        </w:rPr>
        <w:t>The burden of proof to establish any exclusion rests with the Receiving Party. The fact that individual elements of Confidential Information are publicly available does not make a combination or compilation of such elements public.</w:t>
      </w:r>
    </w:p>
    <w:p>
      <w:pPr>
        <w:spacing w:before="160" w:after="40"/>
      </w:pPr>
      <w:r>
        <w:rPr>
          <w:rFonts w:ascii="Calibri" w:hAnsi="Calibri"/>
          <w:b/>
          <w:i w:val="0"/>
          <w:sz w:val="22"/>
        </w:rPr>
        <w:t>1.3  Intellectual Property ("IP").</w:t>
      </w:r>
    </w:p>
    <w:p>
      <w:pPr>
        <w:spacing w:before="40" w:after="40"/>
      </w:pPr>
      <w:r>
        <w:rPr>
          <w:rFonts w:ascii="Calibri" w:hAnsi="Calibri"/>
          <w:b w:val="0"/>
          <w:i w:val="0"/>
          <w:sz w:val="21"/>
        </w:rPr>
        <w:t>"IP" means any and all inventions, discoveries, improvements, concepts, ideas, works of authorship, software, code, algorithms, designs, data, documentation, trade secrets, and any other intellectual property, whether or not patentable, copyrightable, or otherwise protectable.</w:t>
      </w:r>
    </w:p>
    <w:p>
      <w:pPr>
        <w:spacing w:before="160" w:after="40"/>
      </w:pPr>
      <w:r>
        <w:rPr>
          <w:rFonts w:ascii="Calibri" w:hAnsi="Calibri"/>
          <w:b/>
          <w:i w:val="0"/>
          <w:sz w:val="22"/>
        </w:rPr>
        <w:t>1.4  Trade Secrets.</w:t>
      </w:r>
    </w:p>
    <w:p>
      <w:pPr>
        <w:spacing w:before="40" w:after="40"/>
      </w:pPr>
      <w:r>
        <w:rPr>
          <w:rFonts w:ascii="Calibri" w:hAnsi="Calibri"/>
          <w:b w:val="0"/>
          <w:i w:val="0"/>
          <w:sz w:val="21"/>
        </w:rPr>
        <w:t>"Trade Secrets" means any information that: (i) derives independent economic value from not being generally known or readily ascertainable; and (ii) is subject to reasonable measures to maintain its secrecy, as defined under C.R.S. §7-74-102 and 18 U.S.C. §1839.</w:t>
      </w:r>
    </w:p>
    <w:p>
      <w:pPr>
        <w:spacing w:before="160" w:after="40"/>
      </w:pPr>
      <w:r>
        <w:rPr>
          <w:rFonts w:ascii="Calibri" w:hAnsi="Calibri"/>
          <w:b/>
          <w:i w:val="0"/>
          <w:sz w:val="22"/>
        </w:rPr>
        <w:t>1.5  Services.</w:t>
      </w:r>
    </w:p>
    <w:p>
      <w:pPr>
        <w:spacing w:before="40" w:after="40"/>
      </w:pPr>
      <w:r>
        <w:rPr>
          <w:rFonts w:ascii="Calibri" w:hAnsi="Calibri"/>
          <w:b w:val="0"/>
          <w:i w:val="0"/>
          <w:sz w:val="21"/>
        </w:rPr>
        <w:t>"Services" means all work performed by Knutsen for or on behalf of Project Green or the Company, whether as Board Member, independent contractor, consultant, or in any other capacity, including but not limited to advisory services under the Terms Memo and any separately contracted work engagements identified in Exhibit C.</w:t>
      </w:r>
    </w:p>
    <w:p>
      <w:pPr>
        <w:spacing w:before="160" w:after="40"/>
      </w:pPr>
      <w:r>
        <w:rPr>
          <w:rFonts w:ascii="Calibri" w:hAnsi="Calibri"/>
          <w:b/>
          <w:i w:val="0"/>
          <w:sz w:val="22"/>
        </w:rPr>
        <w:t>1.6  Pre-Existing IP.</w:t>
      </w:r>
    </w:p>
    <w:p>
      <w:pPr>
        <w:spacing w:before="40" w:after="40"/>
      </w:pPr>
      <w:r>
        <w:rPr>
          <w:rFonts w:ascii="Calibri" w:hAnsi="Calibri"/>
          <w:b w:val="0"/>
          <w:i w:val="0"/>
          <w:sz w:val="21"/>
        </w:rPr>
        <w:t>"Pre-Existing IP" means any IP owned or developed by a Party prior to the Effective Date that is listed in Exhibit A (Knutsen's Pre-Existing IP) or Exhibit B (Company's Pre-Existing IP), as applicable.</w:t>
      </w:r>
    </w:p>
    <w:p>
      <w:pPr>
        <w:spacing w:before="40" w:after="40"/>
      </w:pPr>
      <w:r>
        <w:rPr>
          <w:rFonts w:ascii="Calibri" w:hAnsi="Calibri"/>
          <w:b w:val="0"/>
          <w:i w:val="0"/>
          <w:color w:val="B4B4B4"/>
          <w:sz w:val="16"/>
        </w:rPr>
        <w:t>────────────────────────────────────────────────────────────────────────</w:t>
      </w:r>
    </w:p>
    <w:p>
      <w:pPr>
        <w:spacing w:before="240" w:after="80"/>
      </w:pPr>
      <w:r>
        <w:rPr>
          <w:rFonts w:ascii="Calibri" w:hAnsi="Calibri"/>
          <w:b/>
          <w:i w:val="0"/>
          <w:sz w:val="26"/>
        </w:rPr>
        <w:t>2. Mutual Confidentiality Obligations</w:t>
      </w:r>
    </w:p>
    <w:p>
      <w:pPr>
        <w:spacing w:before="160" w:after="40"/>
      </w:pPr>
      <w:r>
        <w:rPr>
          <w:rFonts w:ascii="Calibri" w:hAnsi="Calibri"/>
          <w:b/>
          <w:i w:val="0"/>
          <w:sz w:val="22"/>
        </w:rPr>
        <w:t>2.1  Non-Disclosure.</w:t>
      </w:r>
    </w:p>
    <w:p>
      <w:pPr>
        <w:spacing w:before="40" w:after="40"/>
      </w:pPr>
      <w:r>
        <w:rPr>
          <w:rFonts w:ascii="Calibri" w:hAnsi="Calibri"/>
          <w:b w:val="0"/>
          <w:i w:val="0"/>
          <w:sz w:val="21"/>
        </w:rPr>
        <w:t>Each Party, when acting as the Receiving Party, agrees to:</w:t>
      </w:r>
    </w:p>
    <w:p>
      <w:pPr>
        <w:spacing w:before="20" w:after="20"/>
        <w:ind w:left="504"/>
      </w:pPr>
      <w:r>
        <w:rPr>
          <w:rFonts w:ascii="Calibri" w:hAnsi="Calibri"/>
          <w:b w:val="0"/>
          <w:i w:val="0"/>
          <w:sz w:val="21"/>
        </w:rPr>
        <w:t>(a)  Hold all Confidential Information of the Disclosing Party in strict confidence using no less than reasonable care, and no less care than it uses to protect its own confidential information;</w:t>
      </w:r>
    </w:p>
    <w:p>
      <w:pPr>
        <w:spacing w:before="20" w:after="20"/>
        <w:ind w:left="504"/>
      </w:pPr>
      <w:r>
        <w:rPr>
          <w:rFonts w:ascii="Calibri" w:hAnsi="Calibri"/>
          <w:b w:val="0"/>
          <w:i w:val="0"/>
          <w:sz w:val="21"/>
        </w:rPr>
        <w:t>(b)  Not disclose Confidential Information to any third party without the prior written consent of the Disclosing Party;</w:t>
      </w:r>
    </w:p>
    <w:p>
      <w:pPr>
        <w:spacing w:before="20" w:after="20"/>
        <w:ind w:left="504"/>
      </w:pPr>
      <w:r>
        <w:rPr>
          <w:rFonts w:ascii="Calibri" w:hAnsi="Calibri"/>
          <w:b w:val="0"/>
          <w:i w:val="0"/>
          <w:sz w:val="21"/>
        </w:rPr>
        <w:t>(c)  Use Confidential Information solely for the purpose of furthering the objectives of Project Green, including the performance of Services;</w:t>
      </w:r>
    </w:p>
    <w:p>
      <w:pPr>
        <w:spacing w:before="20" w:after="20"/>
        <w:ind w:left="504"/>
      </w:pPr>
      <w:r>
        <w:rPr>
          <w:rFonts w:ascii="Calibri" w:hAnsi="Calibri"/>
          <w:b w:val="0"/>
          <w:i w:val="0"/>
          <w:sz w:val="21"/>
        </w:rPr>
        <w:t>(d)  Not use Confidential Information for personal gain, competitive advantage, or any purpose outside the scope of the Project Green relationship;</w:t>
      </w:r>
    </w:p>
    <w:p>
      <w:pPr>
        <w:spacing w:before="20" w:after="20"/>
        <w:ind w:left="504"/>
      </w:pPr>
      <w:r>
        <w:rPr>
          <w:rFonts w:ascii="Calibri" w:hAnsi="Calibri"/>
          <w:b w:val="0"/>
          <w:i w:val="0"/>
          <w:sz w:val="21"/>
        </w:rPr>
        <w:t>(e)  Not copy, reproduce, or extract Confidential Information beyond what is strictly necessary for the stated purpose.</w:t>
      </w:r>
    </w:p>
    <w:p>
      <w:pPr>
        <w:spacing w:before="160" w:after="40"/>
      </w:pPr>
      <w:r>
        <w:rPr>
          <w:rFonts w:ascii="Calibri" w:hAnsi="Calibri"/>
          <w:b/>
          <w:i w:val="0"/>
          <w:sz w:val="22"/>
        </w:rPr>
        <w:t>2.2  Permitted Disclosures.</w:t>
      </w:r>
    </w:p>
    <w:p>
      <w:pPr>
        <w:spacing w:before="40" w:after="40"/>
      </w:pPr>
      <w:r>
        <w:rPr>
          <w:rFonts w:ascii="Calibri" w:hAnsi="Calibri"/>
          <w:b w:val="0"/>
          <w:i w:val="0"/>
          <w:sz w:val="21"/>
        </w:rPr>
        <w:t>Either Party may disclose the other Party's Confidential Information solely to:</w:t>
      </w:r>
    </w:p>
    <w:p>
      <w:pPr>
        <w:spacing w:before="20" w:after="20"/>
        <w:ind w:left="504"/>
      </w:pPr>
      <w:r>
        <w:rPr>
          <w:rFonts w:ascii="Calibri" w:hAnsi="Calibri"/>
          <w:b w:val="0"/>
          <w:i w:val="0"/>
          <w:sz w:val="21"/>
        </w:rPr>
        <w:t>(a)  Legal counsel or professional advisors under a duty of confidentiality, and only to the extent necessary for legal advice;</w:t>
      </w:r>
    </w:p>
    <w:p>
      <w:pPr>
        <w:spacing w:before="20" w:after="20"/>
        <w:ind w:left="504"/>
      </w:pPr>
      <w:r>
        <w:rPr>
          <w:rFonts w:ascii="Calibri" w:hAnsi="Calibri"/>
          <w:b w:val="0"/>
          <w:i w:val="0"/>
          <w:sz w:val="21"/>
        </w:rPr>
        <w:t>(b)  Employees, contractors, and professional advisors of either Party who have a legitimate need to know in furtherance of Project Green and who are bound by written confidentiality obligations no less protective than those in this Agreement;</w:t>
      </w:r>
    </w:p>
    <w:p>
      <w:pPr>
        <w:spacing w:before="20" w:after="20"/>
        <w:ind w:left="504"/>
      </w:pPr>
      <w:r>
        <w:rPr>
          <w:rFonts w:ascii="Calibri" w:hAnsi="Calibri"/>
          <w:b w:val="0"/>
          <w:i w:val="0"/>
          <w:sz w:val="21"/>
        </w:rPr>
        <w:t>(c)  Government or regulatory bodies as required by law — subject to the notice and cooperation obligations in Section 2.3.</w:t>
      </w:r>
    </w:p>
    <w:p>
      <w:pPr>
        <w:spacing w:before="60" w:after="140"/>
        <w:ind w:left="576"/>
        <w:pBdr>
          <w:left w:val="single" w:sz="12" w:space="6" w:color="B8860B"/>
        </w:pBdr>
      </w:pPr>
      <w:r>
        <w:rPr>
          <w:rFonts w:ascii="Calibri" w:hAnsi="Calibri"/>
          <w:b/>
          <w:i/>
          <w:color w:val="8C5A00"/>
          <w:sz w:val="18"/>
        </w:rPr>
        <w:t xml:space="preserve">↳ REDLINE §2.2: </w:t>
      </w:r>
      <w:r>
        <w:rPr>
          <w:rFonts w:ascii="Calibri" w:hAnsi="Calibri"/>
          <w:b w:val="0"/>
          <w:i/>
          <w:color w:val="5A5A5A"/>
          <w:sz w:val="18"/>
        </w:rPr>
        <w:t>Added clause (b). The original permitted disclosure only to legal counsel and government bodies — practically unworkable for a startup. Both Knutsen and Leavenworth will inevitably need to discuss Project Green with developers, accountants, and other advisors. Without this clause, any such disclosure would be a technical breach. Industry-standard NDAs explicitly allow disclosure to personnel with a need to know who are bound by equivalent confidentiality in writing. The written-obligation requirement protects both parties.</w:t>
      </w:r>
    </w:p>
    <w:p>
      <w:pPr>
        <w:spacing w:before="160" w:after="40"/>
      </w:pPr>
      <w:r>
        <w:rPr>
          <w:rFonts w:ascii="Calibri" w:hAnsi="Calibri"/>
          <w:b/>
          <w:i w:val="0"/>
          <w:sz w:val="22"/>
        </w:rPr>
        <w:t>2.3  Legal Compulsion.</w:t>
      </w:r>
    </w:p>
    <w:p>
      <w:pPr>
        <w:spacing w:before="40" w:after="40"/>
      </w:pPr>
      <w:r>
        <w:rPr>
          <w:rFonts w:ascii="Calibri" w:hAnsi="Calibri"/>
          <w:b w:val="0"/>
          <w:i w:val="0"/>
          <w:sz w:val="21"/>
        </w:rPr>
        <w:t>If either Party is required by law, regulation, court order, or governmental authority to disclose any Confidential Information of the other Party, the compelled Party shall: (i) provide prompt prior written notice to the other Party (to the extent legally permissible) to enable that Party to seek a protective order or other appropriate remedy; (ii) cooperate reasonably with such efforts; and (iii) disclose only that portion of Confidential Information legally required, using commercially reasonable efforts to obtain confidential treatment for any disclosed portion.</w:t>
      </w:r>
    </w:p>
    <w:p>
      <w:pPr>
        <w:spacing w:before="160" w:after="40"/>
      </w:pPr>
      <w:r>
        <w:rPr>
          <w:rFonts w:ascii="Calibri" w:hAnsi="Calibri"/>
          <w:b/>
          <w:i w:val="0"/>
          <w:sz w:val="22"/>
        </w:rPr>
        <w:t>2.4  Whistleblower &amp; Government Reporting Carve-Out.</w:t>
      </w:r>
    </w:p>
    <w:p>
      <w:pPr>
        <w:spacing w:before="40" w:after="40"/>
      </w:pPr>
      <w:r>
        <w:rPr>
          <w:rFonts w:ascii="Calibri" w:hAnsi="Calibri"/>
          <w:b w:val="0"/>
          <w:i w:val="0"/>
          <w:sz w:val="21"/>
        </w:rPr>
        <w:t>Notwithstanding any other provision of this Agreement, nothing herein shall prohibit either Party from: (i) reporting possible violations of law or regulation to any governmental authority, including the U.S. Securities and Exchange Commission (SEC), the Department of Justice, or any other federal or state agency; (ii) making disclosures protected under whistleblower provisions of applicable federal or state law, including the Dodd-Frank Wall Street Reform and Consumer Protection Act (15 U.S.C. §78u-6); or (iii) filing a charge with or participating in any investigation or proceeding conducted by any governmental authority. Neither Party is required to notify the other prior to making any such report or disclosure.</w:t>
      </w:r>
    </w:p>
    <w:p>
      <w:pPr>
        <w:spacing w:before="160" w:after="40"/>
      </w:pPr>
      <w:r>
        <w:rPr>
          <w:rFonts w:ascii="Calibri" w:hAnsi="Calibri"/>
          <w:b/>
          <w:i w:val="0"/>
          <w:sz w:val="22"/>
        </w:rPr>
        <w:t>2.5  Breach Notification.</w:t>
      </w:r>
    </w:p>
    <w:p>
      <w:pPr>
        <w:spacing w:before="40" w:after="40"/>
      </w:pPr>
      <w:r>
        <w:rPr>
          <w:rFonts w:ascii="Calibri" w:hAnsi="Calibri"/>
          <w:b w:val="0"/>
          <w:i w:val="0"/>
          <w:sz w:val="21"/>
        </w:rPr>
        <w:t>Each Party shall notify the other Party promptly — and in no event later than five (5) business days — upon becoming aware of any actual or suspected unauthorized disclosure, loss, or misuse of the other Party's Confidential Information. Such notice shall describe the circumstances of the incident in reasonable detail and the steps being taken to mitigate harm.</w:t>
      </w:r>
    </w:p>
    <w:p>
      <w:pPr>
        <w:spacing w:before="160" w:after="40"/>
      </w:pPr>
      <w:r>
        <w:rPr>
          <w:rFonts w:ascii="Calibri" w:hAnsi="Calibri"/>
          <w:b/>
          <w:i w:val="0"/>
          <w:sz w:val="22"/>
        </w:rPr>
        <w:t>2.6  Term &amp; Survival.</w:t>
      </w:r>
    </w:p>
    <w:p>
      <w:pPr>
        <w:spacing w:before="40" w:after="40"/>
      </w:pPr>
      <w:r>
        <w:rPr>
          <w:rFonts w:ascii="Calibri" w:hAnsi="Calibri"/>
          <w:b w:val="0"/>
          <w:i w:val="0"/>
          <w:sz w:val="21"/>
        </w:rPr>
        <w:t>Confidentiality obligations under this Agreement survive termination of the Board Member relationship and any future change in the Parties' arrangement, as follows:</w:t>
      </w:r>
    </w:p>
    <w:p>
      <w:pPr>
        <w:pStyle w:val="ListBullet"/>
        <w:spacing w:before="20" w:after="20"/>
        <w:ind w:left="504"/>
      </w:pPr>
      <w:r>
        <w:rPr>
          <w:rFonts w:ascii="Calibri" w:hAnsi="Calibri"/>
          <w:b/>
          <w:i w:val="0"/>
          <w:sz w:val="21"/>
        </w:rPr>
        <w:t xml:space="preserve">General Confidential Information: </w:t>
      </w:r>
      <w:r>
        <w:rPr>
          <w:rFonts w:ascii="Calibri" w:hAnsi="Calibri"/>
          <w:b w:val="0"/>
          <w:i w:val="0"/>
          <w:sz w:val="21"/>
        </w:rPr>
        <w:t>obligations shall remain in effect for five (5) years from the date of disclosure of the applicable Confidential Information, or five (5) years from the termination of this Agreement, whichever is later.</w:t>
      </w:r>
    </w:p>
    <w:p>
      <w:pPr>
        <w:pStyle w:val="ListBullet"/>
        <w:spacing w:before="20" w:after="20"/>
        <w:ind w:left="504"/>
      </w:pPr>
      <w:r>
        <w:rPr>
          <w:rFonts w:ascii="Calibri" w:hAnsi="Calibri"/>
          <w:b/>
          <w:i w:val="0"/>
          <w:sz w:val="21"/>
        </w:rPr>
        <w:t xml:space="preserve">Trade Secrets: </w:t>
      </w:r>
      <w:r>
        <w:rPr>
          <w:rFonts w:ascii="Calibri" w:hAnsi="Calibri"/>
          <w:b w:val="0"/>
          <w:i w:val="0"/>
          <w:sz w:val="21"/>
        </w:rPr>
        <w:t>obligations are perpetual and shall remain in effect for so long as the information qualifies as a Trade Secret under applicable law, with no expiration.</w:t>
      </w:r>
    </w:p>
    <w:p>
      <w:pPr>
        <w:spacing w:before="60" w:after="140"/>
        <w:ind w:left="576"/>
        <w:pBdr>
          <w:left w:val="single" w:sz="12" w:space="6" w:color="B8860B"/>
        </w:pBdr>
      </w:pPr>
      <w:r>
        <w:rPr>
          <w:rFonts w:ascii="Calibri" w:hAnsi="Calibri"/>
          <w:b/>
          <w:i/>
          <w:color w:val="8C5A00"/>
          <w:sz w:val="18"/>
        </w:rPr>
        <w:t xml:space="preserve">↳ REDLINE §2.6: </w:t>
      </w:r>
      <w:r>
        <w:rPr>
          <w:rFonts w:ascii="Calibri" w:hAnsi="Calibri"/>
          <w:b w:val="0"/>
          <w:i/>
          <w:color w:val="5A5A5A"/>
          <w:sz w:val="18"/>
        </w:rPr>
        <w:t>Changed 'General Confidential Information: obligations are indefinite' to a five (5) year term measured from the later of date of disclosure or termination of the Agreement. Indefinite CI obligations on general (non-trade-secret) information are legally aggressive and have been challenged as unenforceable in multiple jurisdictions. A 5-year term is industry standard and more legally defensible than 'indefinite.' Anything that qualifies as a Trade Secret under §1.4 remains perpetually protected — the 5-year sunset only applies to general business information that loses commercial sensitivity over time. Both parties benefit from a defined, enforceable term.</w:t>
      </w:r>
    </w:p>
    <w:p>
      <w:pPr>
        <w:spacing w:before="160" w:after="40"/>
      </w:pPr>
      <w:r>
        <w:rPr>
          <w:rFonts w:ascii="Calibri" w:hAnsi="Calibri"/>
          <w:b/>
          <w:i w:val="0"/>
          <w:sz w:val="22"/>
        </w:rPr>
        <w:t>2.7  Return or Destruction.</w:t>
      </w:r>
    </w:p>
    <w:p>
      <w:pPr>
        <w:spacing w:before="40" w:after="40"/>
      </w:pPr>
      <w:r>
        <w:rPr>
          <w:rFonts w:ascii="Calibri" w:hAnsi="Calibri"/>
          <w:b w:val="0"/>
          <w:i w:val="0"/>
          <w:sz w:val="21"/>
        </w:rPr>
        <w:t>Upon written request by the Disclosing Party or upon termination of the Board Member relationship, the Receiving Party shall within ten (10) business days: (i) return all tangible Confidential Information; (ii) destroy all copies, notes, and extracts in its possession and certify such destruction in writing upon request. One archival copy may be retained by counsel solely for legal compliance purposes, and such retained copy remains subject to all confidentiality obligations hereunder.</w:t>
      </w:r>
    </w:p>
    <w:p>
      <w:pPr>
        <w:spacing w:before="160" w:after="40"/>
      </w:pPr>
      <w:r>
        <w:rPr>
          <w:rFonts w:ascii="Calibri" w:hAnsi="Calibri"/>
          <w:b/>
          <w:i w:val="0"/>
          <w:sz w:val="22"/>
        </w:rPr>
        <w:t>2.8  DTSA Immunity Notice.</w:t>
      </w:r>
    </w:p>
    <w:p>
      <w:pPr>
        <w:spacing w:before="40" w:after="40"/>
      </w:pPr>
      <w:r>
        <w:rPr>
          <w:rFonts w:ascii="Calibri" w:hAnsi="Calibri"/>
          <w:b w:val="0"/>
          <w:i w:val="0"/>
          <w:sz w:val="21"/>
        </w:rPr>
        <w:t>Pursuant to the Defend Trade Secrets Act (18 U.S.C. §1833(b)), each Party is hereby notified that:</w:t>
      </w:r>
    </w:p>
    <w:p>
      <w:pPr>
        <w:spacing w:before="20" w:after="20"/>
        <w:ind w:left="504"/>
      </w:pPr>
      <w:r>
        <w:rPr>
          <w:rFonts w:ascii="Calibri" w:hAnsi="Calibri"/>
          <w:b w:val="0"/>
          <w:i w:val="0"/>
          <w:sz w:val="21"/>
        </w:rPr>
        <w:t>(a)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spacing w:before="20" w:after="20"/>
        <w:ind w:left="504"/>
      </w:pPr>
      <w:r>
        <w:rPr>
          <w:rFonts w:ascii="Calibri" w:hAnsi="Calibri"/>
          <w:b w:val="0"/>
          <w:i w:val="0"/>
          <w:sz w:val="21"/>
        </w:rPr>
        <w:t>(b)  An individual who files a lawsuit for retaliation by an employer for reporting a suspected violation of law may disclose the trade secret to the attorney of the individual and use the trade secret information in the court proceeding, if the individual (i) files any document containing the trade secret under seal; and (ii) does not disclose the trade secret, except pursuant to court order.</w:t>
      </w:r>
    </w:p>
    <w:p>
      <w:pPr>
        <w:spacing w:before="40" w:after="40"/>
      </w:pPr>
      <w:r>
        <w:rPr>
          <w:rFonts w:ascii="Calibri" w:hAnsi="Calibri"/>
          <w:b w:val="0"/>
          <w:i w:val="0"/>
          <w:color w:val="B4B4B4"/>
          <w:sz w:val="16"/>
        </w:rPr>
        <w:t>────────────────────────────────────────────────────────────────────────</w:t>
      </w:r>
    </w:p>
    <w:p>
      <w:pPr>
        <w:spacing w:before="240" w:after="80"/>
      </w:pPr>
      <w:r>
        <w:rPr>
          <w:rFonts w:ascii="Calibri" w:hAnsi="Calibri"/>
          <w:b/>
          <w:i w:val="0"/>
          <w:sz w:val="26"/>
        </w:rPr>
        <w:t>3. Intellectual Property</w:t>
      </w:r>
    </w:p>
    <w:p>
      <w:pPr>
        <w:spacing w:before="40" w:after="40"/>
      </w:pPr>
      <w:r>
        <w:rPr>
          <w:rFonts w:ascii="Calibri" w:hAnsi="Calibri"/>
          <w:b w:val="0"/>
          <w:i w:val="0"/>
          <w:sz w:val="21"/>
        </w:rPr>
        <w:t>This Section 3 governs IP created in connection with Project Green. The Parties acknowledge that the confidentiality obligations in Section 2 are mutual and symmetric, while the IP assignment provisions below reflect the nature of the working relationship: Knutsen contributes work product to the Company under Exhibit C, and the Company retains ownership of such Project Green IP.</w:t>
      </w:r>
    </w:p>
    <w:p>
      <w:pPr>
        <w:spacing w:before="60" w:after="140"/>
        <w:ind w:left="576"/>
        <w:pBdr>
          <w:left w:val="single" w:sz="12" w:space="6" w:color="B8860B"/>
        </w:pBdr>
      </w:pPr>
      <w:r>
        <w:rPr>
          <w:rFonts w:ascii="Calibri" w:hAnsi="Calibri"/>
          <w:b/>
          <w:i/>
          <w:color w:val="8C5A00"/>
          <w:sz w:val="18"/>
        </w:rPr>
        <w:t xml:space="preserve">↳ REDLINE §3 Intro: </w:t>
      </w:r>
      <w:r>
        <w:rPr>
          <w:rFonts w:ascii="Calibri" w:hAnsi="Calibri"/>
          <w:b w:val="0"/>
          <w:i/>
          <w:color w:val="5A5A5A"/>
          <w:sz w:val="18"/>
        </w:rPr>
        <w:t>Added 'under Exhibit C' to the descriptive sentence. Sets the interpretive context for the entire IP section: assignments are scoped to contracted deliverables, not open-ended contributions. This framing applies to all subsections that follow.</w:t>
      </w:r>
    </w:p>
    <w:p>
      <w:pPr>
        <w:spacing w:before="160" w:after="40"/>
      </w:pPr>
      <w:r>
        <w:rPr>
          <w:rFonts w:ascii="Calibri" w:hAnsi="Calibri"/>
          <w:b/>
          <w:i w:val="0"/>
          <w:sz w:val="22"/>
        </w:rPr>
        <w:t>3.1  Pre-Existing IP.</w:t>
      </w:r>
    </w:p>
    <w:p>
      <w:pPr>
        <w:spacing w:before="40" w:after="40"/>
      </w:pPr>
      <w:r>
        <w:rPr>
          <w:rFonts w:ascii="Calibri" w:hAnsi="Calibri"/>
          <w:b w:val="0"/>
          <w:i w:val="0"/>
          <w:sz w:val="21"/>
        </w:rPr>
        <w:t>Each Party has identified pre-existing IP relevant to the Company's business or operations in the applicable Exhibit: Knutsen's Pre-Existing IP is listed in Exhibit A, and the Company's Pre-Existing IP is described in Exhibit B. Pre-Existing IP listed in the applicable Exhibit remains the sole property of the Party that owns it.</w:t>
      </w:r>
    </w:p>
    <w:p>
      <w:pPr>
        <w:spacing w:before="40" w:after="40"/>
      </w:pPr>
      <w:r>
        <w:rPr>
          <w:rFonts w:ascii="Calibri" w:hAnsi="Calibri"/>
          <w:b w:val="0"/>
          <w:i w:val="0"/>
          <w:sz w:val="21"/>
        </w:rPr>
        <w:t>If Knutsen incorporates any of his Pre-Existing IP into work product created for the Company, Knutsen hereby grants the Company a non-exclusive, worldwide, royalty-free license to use, modify, and distribute such Pre-Existing IP, but only as incorporated into such Company work product. This license shall survive termination of this Agreement solely with respect to Company work product already delivered and accepted prior to termination. In the event of a material breach of this Agreement by the Company that remains uncured thirty (30) days after written notice, Knutsen may terminate this license upon written notice, provided such termination shall not affect end-user rights in products already distributed to customers prior to such notice.</w:t>
      </w:r>
    </w:p>
    <w:p>
      <w:pPr>
        <w:spacing w:before="60" w:after="140"/>
        <w:ind w:left="576"/>
        <w:pBdr>
          <w:left w:val="single" w:sz="12" w:space="6" w:color="B8860B"/>
        </w:pBdr>
      </w:pPr>
      <w:r>
        <w:rPr>
          <w:rFonts w:ascii="Calibri" w:hAnsi="Calibri"/>
          <w:b/>
          <w:i/>
          <w:color w:val="8C5A00"/>
          <w:sz w:val="18"/>
        </w:rPr>
        <w:t xml:space="preserve">↳ REDLINE §3.1 — License: </w:t>
      </w:r>
      <w:r>
        <w:rPr>
          <w:rFonts w:ascii="Calibri" w:hAnsi="Calibri"/>
          <w:b w:val="0"/>
          <w:i/>
          <w:color w:val="5A5A5A"/>
          <w:sz w:val="18"/>
        </w:rPr>
        <w:t>Removed 'perpetual' and 'irrevocable' from the Pre-Existing IP license grant. As drafted, even if the Company materially breaches this Agreement — fails to pay, misappropriates Knutsen's CI, or dissolves — Knutsen would have no ability to withdraw the license on his own IP. The revised language preserves the Company's license for already-delivered and accepted work product and protects end-users, but gives Knutsen leverage if the relationship breaks down materially. This is commercially standard in IP licensing.</w:t>
      </w:r>
    </w:p>
    <w:p>
      <w:pPr>
        <w:spacing w:before="40" w:after="40"/>
      </w:pPr>
      <w:r>
        <w:rPr>
          <w:rFonts w:ascii="Calibri" w:hAnsi="Calibri"/>
          <w:b w:val="0"/>
          <w:i w:val="0"/>
          <w:sz w:val="21"/>
        </w:rPr>
        <w:t>Any IP created by Knutsen that is not listed in Exhibit A and was created specifically at the written direction of the Company as a deliverable under Exhibit C is subject to Section 3.2. IP developed by Knutsen independently, outside the scope of Exhibit C, shall not be presumed to belong to the Company regardless of its relevance to the Company's business.</w:t>
      </w:r>
    </w:p>
    <w:p>
      <w:pPr>
        <w:spacing w:before="60" w:after="140"/>
        <w:ind w:left="576"/>
        <w:pBdr>
          <w:left w:val="single" w:sz="12" w:space="6" w:color="B8860B"/>
        </w:pBdr>
      </w:pPr>
      <w:r>
        <w:rPr>
          <w:rFonts w:ascii="Calibri" w:hAnsi="Calibri"/>
          <w:b/>
          <w:i/>
          <w:color w:val="8C5A00"/>
          <w:sz w:val="18"/>
        </w:rPr>
        <w:t xml:space="preserve">↳ REDLINE §3.1 — Assignment Presumption: </w:t>
      </w:r>
      <w:r>
        <w:rPr>
          <w:rFonts w:ascii="Calibri" w:hAnsi="Calibri"/>
          <w:b w:val="0"/>
          <w:i/>
          <w:color w:val="5A5A5A"/>
          <w:sz w:val="18"/>
        </w:rPr>
        <w:t>Replaced 'Any IP relevant to the Company's business that is created by Knutsen and is not listed in Exhibit A is presumed to be newly created under this engagement and subject to Section 3.2.' The original 'relevant to the Company's business' standard is dangerously broad — an AI platform for accounting could claim relevance to almost any work in tech, finance, compliance, or AI. The revised language ties the assignment presumption to Exhibit C deliverables only: things Knutsen was actually directed and paid to build. Work developed independently stays Knutsen's regardless of industry overlap.</w:t>
      </w:r>
    </w:p>
    <w:p>
      <w:pPr>
        <w:spacing w:before="160" w:after="40"/>
      </w:pPr>
      <w:r>
        <w:rPr>
          <w:rFonts w:ascii="Calibri" w:hAnsi="Calibri"/>
          <w:b/>
          <w:i w:val="0"/>
          <w:sz w:val="22"/>
        </w:rPr>
        <w:t>3.2  Assignment of Knutsen's Contributions.</w:t>
      </w:r>
    </w:p>
    <w:p>
      <w:pPr>
        <w:spacing w:before="40" w:after="40"/>
      </w:pPr>
      <w:r>
        <w:rPr>
          <w:rFonts w:ascii="Calibri" w:hAnsi="Calibri"/>
          <w:b w:val="0"/>
          <w:i w:val="0"/>
          <w:sz w:val="21"/>
        </w:rPr>
        <w:t>Any IP created, developed, or contributed by Knutsen specifically at the written direction of the Company in connection with the performance of Services under Exhibit C, and actually delivered to the Company in tangible form, is hereby irrevocably assigned to the Company (or to Michael Leavenworth as Founder prior to formal incorporation). This assignment is worldwide, royalty-free, and covers all patent rights, copyright rights, trade secret rights, and all other intellectual property rights. Knutsen waives any moral rights in such contributions to the fullest extent permitted by law. For the avoidance of doubt, this assignment does not apply to Pre-Existing IP identified in Exhibit A, except to the extent of the license granted in Section 3.1.</w:t>
      </w:r>
    </w:p>
    <w:p>
      <w:pPr>
        <w:spacing w:before="60" w:after="140"/>
        <w:ind w:left="576"/>
        <w:pBdr>
          <w:left w:val="single" w:sz="12" w:space="6" w:color="B8860B"/>
        </w:pBdr>
      </w:pPr>
      <w:r>
        <w:rPr>
          <w:rFonts w:ascii="Calibri" w:hAnsi="Calibri"/>
          <w:b/>
          <w:i/>
          <w:color w:val="8C5A00"/>
          <w:sz w:val="18"/>
        </w:rPr>
        <w:t xml:space="preserve">↳ REDLINE §3.2 — 'Conceived' Removed: </w:t>
      </w:r>
      <w:r>
        <w:rPr>
          <w:rFonts w:ascii="Calibri" w:hAnsi="Calibri"/>
          <w:b w:val="0"/>
          <w:i/>
          <w:color w:val="5A5A5A"/>
          <w:sz w:val="18"/>
        </w:rPr>
        <w:t>Removed 'conceived' and replaced 'in connection with the performance of Services' with 'specifically at the written direction of the Company under Exhibit C, and actually delivered in tangible form.' 'Conceived' is the most legally dangerous word in the original — an idea Knutsen has while reading a Project Green document but never writes down, never delivers, and never develops could be claimed as assigned to the Company. Adding 'written direction,' 'under Exhibit C,' and 'actually delivered in tangible form' ensures assignment only triggers on real, requested, delivered work product.</w:t>
      </w:r>
    </w:p>
    <w:p>
      <w:pPr>
        <w:spacing w:before="40" w:after="40"/>
      </w:pPr>
      <w:r>
        <w:rPr>
          <w:rFonts w:ascii="Calibri" w:hAnsi="Calibri"/>
          <w:b w:val="0"/>
          <w:i w:val="0"/>
          <w:sz w:val="21"/>
        </w:rPr>
        <w:t>Notwithstanding the foregoing, this assignment shall not apply to any IP that Knutsen develops: (i) entirely on his own time; (ii) without use of the Company's Confidential Information, equipment, or resources; and (iii) without direct use of work product created for the Company under this Agreement. Knutsen shall have the burden of demonstrating that any disputed IP meets all three criteria.</w:t>
      </w:r>
    </w:p>
    <w:p>
      <w:pPr>
        <w:spacing w:before="60" w:after="140"/>
        <w:ind w:left="576"/>
        <w:pBdr>
          <w:left w:val="single" w:sz="12" w:space="6" w:color="B8860B"/>
        </w:pBdr>
      </w:pPr>
      <w:r>
        <w:rPr>
          <w:rFonts w:ascii="Calibri" w:hAnsi="Calibri"/>
          <w:b/>
          <w:i/>
          <w:color w:val="8C5A00"/>
          <w:sz w:val="18"/>
        </w:rPr>
        <w:t xml:space="preserve">↳ REDLINE §3.2 — Personal Time Carve-Out: </w:t>
      </w:r>
      <w:r>
        <w:rPr>
          <w:rFonts w:ascii="Calibri" w:hAnsi="Calibri"/>
          <w:b w:val="0"/>
          <w:i/>
          <w:color w:val="5A5A5A"/>
          <w:sz w:val="18"/>
        </w:rPr>
        <w:t>Added independent work carve-out paragraph. Neither Delaware (governing law) nor Colorado (Knutsen's state) provides statutory protection for IP developed by contractors on personal time — unlike some other states, no statute here automatically shields independent work from assignment. Without this explicit carve-out, the broad Services definition combined with the IP assignment clause could sweep in work Knutsen does on his own time that touches adjacent technology, compliance, or AI territory. The three-part test (own time, no Company resources, no Company work product) is the standard formulation used in startup contractor agreements. Knutsen bears the burden of proof, which is commercially fair to Leavenworth.</w:t>
      </w:r>
    </w:p>
    <w:p>
      <w:pPr>
        <w:spacing w:before="40" w:after="40"/>
      </w:pPr>
      <w:r>
        <w:rPr>
          <w:rFonts w:ascii="Calibri" w:hAnsi="Calibri"/>
          <w:b w:val="0"/>
          <w:i w:val="0"/>
          <w:sz w:val="21"/>
        </w:rPr>
        <w:t>The Parties have identified specific contracted work-for-hire engagements in Exhibit C ("Contracted Work-for-Hire Schedule"). All deliverables produced under Exhibit C are works made for hire to the maximum extent permitted by law and are owned exclusively by the Company. To the extent any such deliverable does not qualify as a work made for hire under applicable law, Knutsen hereby assigns all right, title, and interest in such deliverable to the Company.</w:t>
      </w:r>
    </w:p>
    <w:p>
      <w:pPr>
        <w:spacing w:before="160" w:after="40"/>
      </w:pPr>
      <w:r>
        <w:rPr>
          <w:rFonts w:ascii="Calibri" w:hAnsi="Calibri"/>
          <w:b/>
          <w:i w:val="0"/>
          <w:sz w:val="22"/>
        </w:rPr>
        <w:t>3.3  Company IP Ownership.</w:t>
      </w:r>
    </w:p>
    <w:p>
      <w:pPr>
        <w:spacing w:before="40" w:after="40"/>
      </w:pPr>
      <w:r>
        <w:rPr>
          <w:rFonts w:ascii="Calibri" w:hAnsi="Calibri"/>
          <w:b w:val="0"/>
          <w:i w:val="0"/>
          <w:sz w:val="21"/>
        </w:rPr>
        <w:t>The Company retains sole and exclusive ownership of all IP developed by or on behalf of the Company prior to or outside of this Agreement, including but not limited to the Project Green software platform, AI architecture, and all associated documentation, as identified in Exhibit B. Nothing in this Agreement transfers any Company IP to Knutsen.</w:t>
      </w:r>
    </w:p>
    <w:p>
      <w:pPr>
        <w:spacing w:before="160" w:after="40"/>
      </w:pPr>
      <w:r>
        <w:rPr>
          <w:rFonts w:ascii="Calibri" w:hAnsi="Calibri"/>
          <w:b/>
          <w:i w:val="0"/>
          <w:sz w:val="22"/>
        </w:rPr>
        <w:t>3.4  Further Assurances.</w:t>
      </w:r>
    </w:p>
    <w:p>
      <w:pPr>
        <w:spacing w:before="40" w:after="40"/>
      </w:pPr>
      <w:r>
        <w:rPr>
          <w:rFonts w:ascii="Calibri" w:hAnsi="Calibri"/>
          <w:b w:val="0"/>
          <w:i w:val="0"/>
          <w:sz w:val="21"/>
        </w:rPr>
        <w:t>Knutsen agrees to execute any documents and take any actions reasonably requested by the Company to perfect, record, or enforce the Company's ownership of assigned IP, at no additional cost to Knutsen. If Knutsen fails to execute such documents within ten (10) business days of written request, Knutsen hereby appoints Leavenworth (or the Company) as attorney-in-fact, coupled with an interest, solely to execute IP assignment and registration documents directly related to New IP created and delivered under Exhibit C of this Agreement. This power of attorney does not extend to Pre-Existing IP listed in Exhibit A, IP developed by Knutsen on his own time under Section 3.2, or any IP developed outside the scope of Exhibit C.</w:t>
      </w:r>
    </w:p>
    <w:p>
      <w:pPr>
        <w:spacing w:before="60" w:after="140"/>
        <w:ind w:left="576"/>
        <w:pBdr>
          <w:left w:val="single" w:sz="12" w:space="6" w:color="B8860B"/>
        </w:pBdr>
      </w:pPr>
      <w:r>
        <w:rPr>
          <w:rFonts w:ascii="Calibri" w:hAnsi="Calibri"/>
          <w:b/>
          <w:i/>
          <w:color w:val="8C5A00"/>
          <w:sz w:val="18"/>
        </w:rPr>
        <w:t xml:space="preserve">↳ REDLINE §3.4: </w:t>
      </w:r>
      <w:r>
        <w:rPr>
          <w:rFonts w:ascii="Calibri" w:hAnsi="Calibri"/>
          <w:b w:val="0"/>
          <w:i/>
          <w:color w:val="5A5A5A"/>
          <w:sz w:val="18"/>
        </w:rPr>
        <w:t>Added 'solely to execute IP assignment and registration documents directly related to New IP created and delivered under Exhibit C' and explicit exclusions. The original grant had no scope limitation — Leavenworth could theoretically execute any document on Knutsen's behalf, including documents purporting to assign Exhibit A Pre-Existing IP or independently-developed IP. The revised language limits this power to its legitimate purpose: completing IP registrations for contracted Exhibit C deliverables Knutsen was already paid to create. Explicit carve-outs for Exhibit A and independently-developed IP close any ambiguity.</w:t>
      </w:r>
    </w:p>
    <w:p>
      <w:pPr>
        <w:spacing w:before="160" w:after="40"/>
      </w:pPr>
      <w:r>
        <w:rPr>
          <w:rFonts w:ascii="Calibri" w:hAnsi="Calibri"/>
          <w:b/>
          <w:i w:val="0"/>
          <w:sz w:val="22"/>
        </w:rPr>
        <w:t>3.5  No License to Knutsen.</w:t>
      </w:r>
    </w:p>
    <w:p>
      <w:pPr>
        <w:spacing w:before="40" w:after="40"/>
      </w:pPr>
      <w:r>
        <w:rPr>
          <w:rFonts w:ascii="Calibri" w:hAnsi="Calibri"/>
          <w:b w:val="0"/>
          <w:i w:val="0"/>
          <w:sz w:val="21"/>
        </w:rPr>
        <w:t>Nothing in this Agreement grants Knutsen any license, right, or interest in any IP owned by the Company or the Founder, except as expressly set forth in the Terms Memo or a separate written agreement signed by both Parties.</w:t>
      </w:r>
    </w:p>
    <w:p>
      <w:pPr>
        <w:spacing w:before="160" w:after="40"/>
      </w:pPr>
      <w:r>
        <w:rPr>
          <w:rFonts w:ascii="Calibri" w:hAnsi="Calibri"/>
          <w:b/>
          <w:i w:val="0"/>
          <w:sz w:val="22"/>
        </w:rPr>
        <w:t>3.6  Future Licensing.</w:t>
      </w:r>
    </w:p>
    <w:p>
      <w:pPr>
        <w:spacing w:before="40" w:after="40"/>
      </w:pPr>
      <w:r>
        <w:rPr>
          <w:rFonts w:ascii="Calibri" w:hAnsi="Calibri"/>
          <w:b w:val="0"/>
          <w:i w:val="0"/>
          <w:sz w:val="21"/>
        </w:rPr>
        <w:t>The Parties acknowledge that Knutsen may possess tools, frameworks, or methodologies (including Pre-Existing IP listed in Exhibit A) that could be commercially valuable to the Company beyond the scope of this Agreement. Nothing in this Agreement precludes the Parties from negotiating a separate licensing or revenue-sharing arrangement for such tools in the future. Any such arrangement shall be documented in a separate written agreement signed by both Parties.</w:t>
      </w:r>
    </w:p>
    <w:p>
      <w:pPr>
        <w:spacing w:before="160" w:after="40"/>
      </w:pPr>
      <w:r>
        <w:rPr>
          <w:rFonts w:ascii="Calibri" w:hAnsi="Calibri"/>
          <w:b/>
          <w:i w:val="0"/>
          <w:sz w:val="22"/>
        </w:rPr>
        <w:t>3.7  Federal IP Protections.</w:t>
      </w:r>
    </w:p>
    <w:p>
      <w:pPr>
        <w:spacing w:before="40" w:after="40"/>
      </w:pPr>
      <w:r>
        <w:rPr>
          <w:rFonts w:ascii="Calibri" w:hAnsi="Calibri"/>
          <w:b w:val="0"/>
          <w:i w:val="0"/>
          <w:sz w:val="21"/>
        </w:rPr>
        <w:t>The Parties acknowledge that Trade Secrets disclosed under this Agreement are protected under the Defend Trade Secrets Act (18 U.S.C. §1836 et seq.). In the event of willful or malicious misappropriation of Trade Secrets, the Disclosing Party may seek exemplary damages of up to two times (2x) actual damages and attorney's fees as provided under 18 U.S.C. §1836(b)(3) and C.R.S. §7-74-104.</w:t>
      </w:r>
    </w:p>
    <w:p>
      <w:pPr>
        <w:spacing w:before="160" w:after="40"/>
      </w:pPr>
      <w:r>
        <w:rPr>
          <w:rFonts w:ascii="Calibri" w:hAnsi="Calibri"/>
          <w:b/>
          <w:i w:val="0"/>
          <w:sz w:val="22"/>
        </w:rPr>
        <w:t>3.8  Compensation for Additional IP Contributions.  [NEW]</w:t>
      </w:r>
    </w:p>
    <w:p>
      <w:pPr>
        <w:spacing w:before="40" w:after="40"/>
      </w:pPr>
      <w:r>
        <w:rPr>
          <w:rFonts w:ascii="Calibri" w:hAnsi="Calibri"/>
          <w:b w:val="0"/>
          <w:i w:val="0"/>
          <w:sz w:val="21"/>
        </w:rPr>
        <w:t>To the extent the Company requests Knutsen to create, contribute, or assign IP beyond the deliverables identified in Exhibit C, any such contribution shall be subject to separate written compensation negotiation prior to Knutsen undertaking such work. No additional IP contribution shall be deemed made under this Agreement without a signed written addendum specifying the scope of work and compensation. The revenue share set forth in the Terms Memo does not constitute compensation for IP contributions beyond Exhibit C.</w:t>
      </w:r>
    </w:p>
    <w:p>
      <w:pPr>
        <w:spacing w:before="60" w:after="140"/>
        <w:ind w:left="576"/>
        <w:pBdr>
          <w:left w:val="single" w:sz="12" w:space="6" w:color="B8860B"/>
        </w:pBdr>
      </w:pPr>
      <w:r>
        <w:rPr>
          <w:rFonts w:ascii="Calibri" w:hAnsi="Calibri"/>
          <w:b/>
          <w:i/>
          <w:color w:val="8C5A00"/>
          <w:sz w:val="18"/>
        </w:rPr>
        <w:t xml:space="preserve">↳ REDLINE §3.8 — New Section: </w:t>
      </w:r>
      <w:r>
        <w:rPr>
          <w:rFonts w:ascii="Calibri" w:hAnsi="Calibri"/>
          <w:b w:val="0"/>
          <w:i/>
          <w:color w:val="5A5A5A"/>
          <w:sz w:val="18"/>
        </w:rPr>
        <w:t>Added new section. The 0.25% revenue share from the Terms Memo compensates Knutsen's advisory role — not open-ended IP contribution. Without this clause, any IP Knutsen creates for Project Green beyond Exhibit C could be assigned away for no additional consideration. If Leavenworth asks Knutsen to build something substantial beyond Exhibit C, that should be a separate paid engagement with a separate written agreement. This clause makes that expectation explicit and prevents retroactive arguments that the revenue share covered everything.</w:t>
      </w:r>
    </w:p>
    <w:p>
      <w:pPr>
        <w:spacing w:before="40" w:after="40"/>
      </w:pPr>
      <w:r>
        <w:rPr>
          <w:rFonts w:ascii="Calibri" w:hAnsi="Calibri"/>
          <w:b w:val="0"/>
          <w:i w:val="0"/>
          <w:color w:val="B4B4B4"/>
          <w:sz w:val="16"/>
        </w:rPr>
        <w:t>────────────────────────────────────────────────────────────────────────</w:t>
      </w:r>
    </w:p>
    <w:p>
      <w:pPr>
        <w:spacing w:before="240" w:after="80"/>
      </w:pPr>
      <w:r>
        <w:rPr>
          <w:rFonts w:ascii="Calibri" w:hAnsi="Calibri"/>
          <w:b/>
          <w:i w:val="0"/>
          <w:sz w:val="26"/>
        </w:rPr>
        <w:t>4. Privacy</w:t>
      </w:r>
    </w:p>
    <w:p>
      <w:pPr>
        <w:spacing w:before="160" w:after="40"/>
      </w:pPr>
      <w:r>
        <w:rPr>
          <w:rFonts w:ascii="Calibri" w:hAnsi="Calibri"/>
          <w:b/>
          <w:i w:val="0"/>
          <w:sz w:val="22"/>
        </w:rPr>
        <w:t>4.1  Personal Data.</w:t>
      </w:r>
    </w:p>
    <w:p>
      <w:pPr>
        <w:spacing w:before="40" w:after="40"/>
      </w:pPr>
      <w:r>
        <w:rPr>
          <w:rFonts w:ascii="Calibri" w:hAnsi="Calibri"/>
          <w:b w:val="0"/>
          <w:i w:val="0"/>
          <w:sz w:val="21"/>
        </w:rPr>
        <w:t>Each Party agrees to handle any personal data of the other Party or of the Company's customers, employees, or contractors in compliance with applicable privacy laws, including but not limited to the Colorado Privacy Act (C.R.S. §6-1-1301 et seq.) and applicable federal law.</w:t>
      </w:r>
    </w:p>
    <w:p>
      <w:pPr>
        <w:spacing w:before="160" w:after="40"/>
      </w:pPr>
      <w:r>
        <w:rPr>
          <w:rFonts w:ascii="Calibri" w:hAnsi="Calibri"/>
          <w:b/>
          <w:i w:val="0"/>
          <w:sz w:val="22"/>
        </w:rPr>
        <w:t>4.2  No Unauthorized Collection.</w:t>
      </w:r>
    </w:p>
    <w:p>
      <w:pPr>
        <w:spacing w:before="40" w:after="40"/>
      </w:pPr>
      <w:r>
        <w:rPr>
          <w:rFonts w:ascii="Calibri" w:hAnsi="Calibri"/>
          <w:b w:val="0"/>
          <w:i w:val="0"/>
          <w:sz w:val="21"/>
        </w:rPr>
        <w:t>Neither Party shall collect, store, or process personal data obtained through the performance of Services for any purpose other than fulfilling those Services.</w:t>
      </w:r>
    </w:p>
    <w:p>
      <w:pPr>
        <w:spacing w:before="40" w:after="40"/>
      </w:pPr>
      <w:r>
        <w:rPr>
          <w:rFonts w:ascii="Calibri" w:hAnsi="Calibri"/>
          <w:b w:val="0"/>
          <w:i w:val="0"/>
          <w:color w:val="B4B4B4"/>
          <w:sz w:val="16"/>
        </w:rPr>
        <w:t>────────────────────────────────────────────────────────────────────────</w:t>
      </w:r>
    </w:p>
    <w:p>
      <w:pPr>
        <w:spacing w:before="240" w:after="80"/>
      </w:pPr>
      <w:r>
        <w:rPr>
          <w:rFonts w:ascii="Calibri" w:hAnsi="Calibri"/>
          <w:b/>
          <w:i w:val="0"/>
          <w:sz w:val="26"/>
        </w:rPr>
        <w:t>5. Conflicts of Interest</w:t>
      </w:r>
    </w:p>
    <w:p>
      <w:pPr>
        <w:spacing w:before="40" w:after="40"/>
      </w:pPr>
      <w:r>
        <w:rPr>
          <w:rFonts w:ascii="Calibri" w:hAnsi="Calibri"/>
          <w:b w:val="0"/>
          <w:i w:val="0"/>
          <w:sz w:val="21"/>
        </w:rPr>
        <w:t>Knutsen shall promptly disclose to Leavenworth any actual or potential conflict of interest that may arise from the performance of Services, including any engagement with a directly competing business. Given the advisory-only, non-fiduciary nature of the current role as described in the Terms Memo, this disclosure obligation is limited to conflicts that could reasonably impair Knutsen's ability to provide independent advice or perform Services. If Knutsen's role evolves beyond advisory (e.g., to officer, employee, or co-founder), the Parties agree to negotiate enhanced conflict-of-interest provisions appropriate to the expanded role.</w:t>
      </w:r>
    </w:p>
    <w:p>
      <w:pPr>
        <w:spacing w:before="40" w:after="40"/>
      </w:pPr>
      <w:r>
        <w:rPr>
          <w:rFonts w:ascii="Calibri" w:hAnsi="Calibri"/>
          <w:b w:val="0"/>
          <w:i w:val="0"/>
          <w:color w:val="B4B4B4"/>
          <w:sz w:val="16"/>
        </w:rPr>
        <w:t>────────────────────────────────────────────────────────────────────────</w:t>
      </w:r>
    </w:p>
    <w:p>
      <w:pPr>
        <w:spacing w:before="240" w:after="80"/>
      </w:pPr>
      <w:r>
        <w:rPr>
          <w:rFonts w:ascii="Calibri" w:hAnsi="Calibri"/>
          <w:b/>
          <w:i w:val="0"/>
          <w:sz w:val="26"/>
        </w:rPr>
        <w:t>6. Remedies</w:t>
      </w:r>
    </w:p>
    <w:p>
      <w:pPr>
        <w:spacing w:before="160" w:after="40"/>
      </w:pPr>
      <w:r>
        <w:rPr>
          <w:rFonts w:ascii="Calibri" w:hAnsi="Calibri"/>
          <w:b/>
          <w:i w:val="0"/>
          <w:sz w:val="22"/>
        </w:rPr>
        <w:t>6.1  Injunctive Relief.</w:t>
      </w:r>
    </w:p>
    <w:p>
      <w:pPr>
        <w:spacing w:before="40" w:after="40"/>
      </w:pPr>
      <w:r>
        <w:rPr>
          <w:rFonts w:ascii="Calibri" w:hAnsi="Calibri"/>
          <w:b w:val="0"/>
          <w:i w:val="0"/>
          <w:sz w:val="21"/>
        </w:rPr>
        <w:t>Each Party acknowledges that any breach or threatened breach of this Agreement may cause irreparable harm for which monetary damages would be an inadequate remedy. Accordingly, the non-breaching Party is entitled to seek equitable relief, including injunction and specific performance, without the requirement to post bond or prove actual damages, in addition to all other remedies available at law or in equity.</w:t>
      </w:r>
    </w:p>
    <w:p>
      <w:pPr>
        <w:spacing w:before="160" w:after="40"/>
      </w:pPr>
      <w:r>
        <w:rPr>
          <w:rFonts w:ascii="Calibri" w:hAnsi="Calibri"/>
          <w:b/>
          <w:i w:val="0"/>
          <w:sz w:val="22"/>
        </w:rPr>
        <w:t>6.2  Damages.</w:t>
      </w:r>
    </w:p>
    <w:p>
      <w:pPr>
        <w:spacing w:before="40" w:after="40"/>
      </w:pPr>
      <w:r>
        <w:rPr>
          <w:rFonts w:ascii="Calibri" w:hAnsi="Calibri"/>
          <w:b w:val="0"/>
          <w:i w:val="0"/>
          <w:sz w:val="21"/>
        </w:rPr>
        <w:t>In addition to injunctive relief, the non-breaching Party may recover all actual damages caused by any breach of this Agreement. In cases of willful or malicious misappropriation of Trade Secrets, exemplary damages of up to two times (2x) actual damages may be sought under the DTSA and Colorado UTSA.</w:t>
      </w:r>
    </w:p>
    <w:p>
      <w:pPr>
        <w:spacing w:before="160" w:after="40"/>
      </w:pPr>
      <w:r>
        <w:rPr>
          <w:rFonts w:ascii="Calibri" w:hAnsi="Calibri"/>
          <w:b/>
          <w:i w:val="0"/>
          <w:sz w:val="22"/>
        </w:rPr>
        <w:t>6.3  Attorney's Fees.</w:t>
      </w:r>
    </w:p>
    <w:p>
      <w:pPr>
        <w:spacing w:before="40" w:after="40"/>
      </w:pPr>
      <w:r>
        <w:rPr>
          <w:rFonts w:ascii="Calibri" w:hAnsi="Calibri"/>
          <w:b w:val="0"/>
          <w:i w:val="0"/>
          <w:sz w:val="21"/>
        </w:rPr>
        <w:t>In any legal proceeding arising out of or relating to this Agreement, the prevailing Party shall be entitled to recover its reasonable attorney's fees and costs from the non-prevailing Party.</w:t>
      </w:r>
    </w:p>
    <w:p>
      <w:pPr>
        <w:spacing w:before="40" w:after="40"/>
      </w:pPr>
      <w:r>
        <w:rPr>
          <w:rFonts w:ascii="Calibri" w:hAnsi="Calibri"/>
          <w:b w:val="0"/>
          <w:i w:val="0"/>
          <w:color w:val="B4B4B4"/>
          <w:sz w:val="16"/>
        </w:rPr>
        <w:t>────────────────────────────────────────────────────────────────────────</w:t>
      </w:r>
    </w:p>
    <w:p>
      <w:pPr>
        <w:spacing w:before="240" w:after="80"/>
      </w:pPr>
      <w:r>
        <w:rPr>
          <w:rFonts w:ascii="Calibri" w:hAnsi="Calibri"/>
          <w:b/>
          <w:i w:val="0"/>
          <w:sz w:val="26"/>
        </w:rPr>
        <w:t>7. Good Faith &amp; Shared Intent</w:t>
      </w:r>
    </w:p>
    <w:p>
      <w:pPr>
        <w:spacing w:before="160" w:after="40"/>
      </w:pPr>
      <w:r>
        <w:rPr>
          <w:rFonts w:ascii="Calibri" w:hAnsi="Calibri"/>
          <w:b/>
          <w:i w:val="0"/>
          <w:sz w:val="22"/>
        </w:rPr>
        <w:t>7.1  Collaborative Relationship.</w:t>
      </w:r>
    </w:p>
    <w:p>
      <w:pPr>
        <w:spacing w:before="40" w:after="40"/>
      </w:pPr>
      <w:r>
        <w:rPr>
          <w:rFonts w:ascii="Calibri" w:hAnsi="Calibri"/>
          <w:b w:val="0"/>
          <w:i w:val="0"/>
          <w:sz w:val="21"/>
        </w:rPr>
        <w:t>The Parties acknowledge that this Agreement is entered into in the spirit of a collaborative and mutually beneficial relationship. Both Parties intend that the confidentiality and IP provisions herein protect their respective legitimate interests while enabling productive cooperation on Project Green.</w:t>
      </w:r>
    </w:p>
    <w:p>
      <w:pPr>
        <w:spacing w:before="160" w:after="40"/>
      </w:pPr>
      <w:r>
        <w:rPr>
          <w:rFonts w:ascii="Calibri" w:hAnsi="Calibri"/>
          <w:b/>
          <w:i w:val="0"/>
          <w:sz w:val="22"/>
        </w:rPr>
        <w:t>7.2  Role Evolution.</w:t>
      </w:r>
    </w:p>
    <w:p>
      <w:pPr>
        <w:spacing w:before="40" w:after="40"/>
      </w:pPr>
      <w:r>
        <w:rPr>
          <w:rFonts w:ascii="Calibri" w:hAnsi="Calibri"/>
          <w:b w:val="0"/>
          <w:i w:val="0"/>
          <w:sz w:val="21"/>
        </w:rPr>
        <w:t>If Knutsen's role evolves from advisory Board Member to a more active operational or equity-bearing capacity (including but not limited to co-founder, CTO, or employee), the Parties agree to revisit and, if appropriate, negotiate revised IP, compensation, and governance terms appropriate to the expanded role, with the assistance of legal counsel.</w:t>
      </w:r>
    </w:p>
    <w:p>
      <w:pPr>
        <w:spacing w:before="160" w:after="40"/>
      </w:pPr>
      <w:r>
        <w:rPr>
          <w:rFonts w:ascii="Calibri" w:hAnsi="Calibri"/>
          <w:b/>
          <w:i w:val="0"/>
          <w:sz w:val="22"/>
        </w:rPr>
        <w:t>7.3  Pace of Development.</w:t>
      </w:r>
    </w:p>
    <w:p>
      <w:pPr>
        <w:spacing w:before="40" w:after="40"/>
      </w:pPr>
      <w:r>
        <w:rPr>
          <w:rFonts w:ascii="Calibri" w:hAnsi="Calibri"/>
          <w:b w:val="0"/>
          <w:i w:val="0"/>
          <w:sz w:val="21"/>
        </w:rPr>
        <w:t>Both Parties acknowledge that Project Green is in an early stage of development and that the scope of Services, IP contributions, and the commercial relationship may evolve significantly. This Agreement is designed to provide foundational protections while preserving flexibility for the Parties to negotiate additional arrangements as the relationship matures.</w:t>
      </w:r>
    </w:p>
    <w:p>
      <w:pPr>
        <w:spacing w:before="40" w:after="40"/>
      </w:pPr>
      <w:r>
        <w:rPr>
          <w:rFonts w:ascii="Calibri" w:hAnsi="Calibri"/>
          <w:b w:val="0"/>
          <w:i w:val="0"/>
          <w:color w:val="B4B4B4"/>
          <w:sz w:val="16"/>
        </w:rPr>
        <w:t>────────────────────────────────────────────────────────────────────────</w:t>
      </w:r>
    </w:p>
    <w:p>
      <w:pPr>
        <w:spacing w:before="240" w:after="80"/>
      </w:pPr>
      <w:r>
        <w:rPr>
          <w:rFonts w:ascii="Calibri" w:hAnsi="Calibri"/>
          <w:b/>
          <w:i w:val="0"/>
          <w:sz w:val="26"/>
        </w:rPr>
        <w:t>8. General Provisions</w:t>
      </w:r>
    </w:p>
    <w:p>
      <w:pPr>
        <w:spacing w:before="160" w:after="40"/>
      </w:pPr>
      <w:r>
        <w:rPr>
          <w:rFonts w:ascii="Calibri" w:hAnsi="Calibri"/>
          <w:b/>
          <w:i w:val="0"/>
          <w:sz w:val="22"/>
        </w:rPr>
        <w:t>8.1  Governing Law &amp; Jurisdiction.</w:t>
      </w:r>
    </w:p>
    <w:p>
      <w:pPr>
        <w:spacing w:before="40" w:after="40"/>
      </w:pPr>
      <w:r>
        <w:rPr>
          <w:rFonts w:ascii="Calibri" w:hAnsi="Calibri"/>
          <w:b w:val="0"/>
          <w:i w:val="0"/>
          <w:sz w:val="21"/>
        </w:rPr>
        <w:t>This Agreement shall be governed by and construed in accordance with the laws of the State of Delaware, without regard to its conflict-of-laws principles. The Parties consent to the exclusive jurisdiction of the state and federal courts located in Delaware for resolution of any dispute arising under this Agreement.</w:t>
      </w:r>
    </w:p>
    <w:p>
      <w:pPr>
        <w:spacing w:before="160" w:after="40"/>
      </w:pPr>
      <w:r>
        <w:rPr>
          <w:rFonts w:ascii="Calibri" w:hAnsi="Calibri"/>
          <w:b/>
          <w:i w:val="0"/>
          <w:sz w:val="22"/>
        </w:rPr>
        <w:t>8.2  Entire Agreement.</w:t>
      </w:r>
    </w:p>
    <w:p>
      <w:pPr>
        <w:spacing w:before="40" w:after="40"/>
      </w:pPr>
      <w:r>
        <w:rPr>
          <w:rFonts w:ascii="Calibri" w:hAnsi="Calibri"/>
          <w:b w:val="0"/>
          <w:i w:val="0"/>
          <w:sz w:val="21"/>
        </w:rPr>
        <w:t>Together with the Terms Memo dated February 22, 2026, this Agreement constitutes the entire agreement between the Parties with respect to confidentiality and intellectual property, and supersedes all prior discussions, understandings, or agreements on these subjects.</w:t>
      </w:r>
    </w:p>
    <w:p>
      <w:pPr>
        <w:spacing w:before="160" w:after="40"/>
      </w:pPr>
      <w:r>
        <w:rPr>
          <w:rFonts w:ascii="Calibri" w:hAnsi="Calibri"/>
          <w:b/>
          <w:i w:val="0"/>
          <w:sz w:val="22"/>
        </w:rPr>
        <w:t>8.3  Amendment.</w:t>
      </w:r>
    </w:p>
    <w:p>
      <w:pPr>
        <w:spacing w:before="40" w:after="40"/>
      </w:pPr>
      <w:r>
        <w:rPr>
          <w:rFonts w:ascii="Calibri" w:hAnsi="Calibri"/>
          <w:b w:val="0"/>
          <w:i w:val="0"/>
          <w:sz w:val="21"/>
        </w:rPr>
        <w:t>This Agreement may be amended only by a written instrument signed by both Parties.</w:t>
      </w:r>
    </w:p>
    <w:p>
      <w:pPr>
        <w:spacing w:before="160" w:after="40"/>
      </w:pPr>
      <w:r>
        <w:rPr>
          <w:rFonts w:ascii="Calibri" w:hAnsi="Calibri"/>
          <w:b/>
          <w:i w:val="0"/>
          <w:sz w:val="22"/>
        </w:rPr>
        <w:t>8.4  Severability.</w:t>
      </w:r>
    </w:p>
    <w:p>
      <w:pPr>
        <w:spacing w:before="40" w:after="40"/>
      </w:pPr>
      <w:r>
        <w:rPr>
          <w:rFonts w:ascii="Calibri" w:hAnsi="Calibri"/>
          <w:b w:val="0"/>
          <w:i w:val="0"/>
          <w:sz w:val="21"/>
        </w:rPr>
        <w:t>If any provision of this Agreement is held invalid or unenforceable, that provision shall be modified to the minimum extent necessary to make it enforceable, and the remaining provisions shall continue in full force and effect.</w:t>
      </w:r>
    </w:p>
    <w:p>
      <w:pPr>
        <w:spacing w:before="160" w:after="40"/>
      </w:pPr>
      <w:r>
        <w:rPr>
          <w:rFonts w:ascii="Calibri" w:hAnsi="Calibri"/>
          <w:b/>
          <w:i w:val="0"/>
          <w:sz w:val="22"/>
        </w:rPr>
        <w:t>8.5  Waiver.</w:t>
      </w:r>
    </w:p>
    <w:p>
      <w:pPr>
        <w:spacing w:before="40" w:after="40"/>
      </w:pPr>
      <w:r>
        <w:rPr>
          <w:rFonts w:ascii="Calibri" w:hAnsi="Calibri"/>
          <w:b w:val="0"/>
          <w:i w:val="0"/>
          <w:sz w:val="21"/>
        </w:rPr>
        <w:t>Failure by either Party to enforce any provision of this Agreement shall not constitute a waiver of future enforcement of that provision.</w:t>
      </w:r>
    </w:p>
    <w:p>
      <w:pPr>
        <w:spacing w:before="160" w:after="40"/>
      </w:pPr>
      <w:r>
        <w:rPr>
          <w:rFonts w:ascii="Calibri" w:hAnsi="Calibri"/>
          <w:b/>
          <w:i w:val="0"/>
          <w:sz w:val="22"/>
        </w:rPr>
        <w:t>8.6  Counterparts &amp; Electronic Signatures.</w:t>
      </w:r>
    </w:p>
    <w:p>
      <w:pPr>
        <w:spacing w:before="40" w:after="40"/>
      </w:pPr>
      <w:r>
        <w:rPr>
          <w:rFonts w:ascii="Calibri" w:hAnsi="Calibri"/>
          <w:b w:val="0"/>
          <w:i w:val="0"/>
          <w:sz w:val="21"/>
        </w:rPr>
        <w:t>This Agreement may be executed in counterparts, each of which shall be deemed an original. Electronic signatures shall be deemed valid and binding to the same extent as original signatures under the Electronic Signatures in Global and National Commerce Act (E-SIGN Act, 15 U.S.C. §7001 et seq.) and applicable state law.</w:t>
      </w:r>
    </w:p>
    <w:p>
      <w:pPr>
        <w:spacing w:before="160" w:after="40"/>
      </w:pPr>
      <w:r>
        <w:rPr>
          <w:rFonts w:ascii="Calibri" w:hAnsi="Calibri"/>
          <w:b/>
          <w:i w:val="0"/>
          <w:sz w:val="22"/>
        </w:rPr>
        <w:t>8.7  Notice.</w:t>
      </w:r>
    </w:p>
    <w:p>
      <w:pPr>
        <w:spacing w:before="40" w:after="40"/>
      </w:pPr>
      <w:r>
        <w:rPr>
          <w:rFonts w:ascii="Calibri" w:hAnsi="Calibri"/>
          <w:b w:val="0"/>
          <w:i w:val="0"/>
          <w:sz w:val="21"/>
        </w:rPr>
        <w:t>Notices under this Agreement shall be delivered via email to the addresses on record between the Parties, with written confirmation of receipt.</w:t>
      </w:r>
    </w:p>
    <w:p>
      <w:pPr>
        <w:spacing w:before="160" w:after="40"/>
      </w:pPr>
      <w:r>
        <w:rPr>
          <w:rFonts w:ascii="Calibri" w:hAnsi="Calibri"/>
          <w:b/>
          <w:i w:val="0"/>
          <w:sz w:val="22"/>
        </w:rPr>
        <w:t>8.8  Relationship of the Parties.</w:t>
      </w:r>
    </w:p>
    <w:p>
      <w:pPr>
        <w:spacing w:before="40" w:after="40"/>
      </w:pPr>
      <w:r>
        <w:rPr>
          <w:rFonts w:ascii="Calibri" w:hAnsi="Calibri"/>
          <w:b w:val="0"/>
          <w:i w:val="0"/>
          <w:sz w:val="21"/>
        </w:rPr>
        <w:t>Nothing in this Agreement creates a partnership, joint venture, employment, or agency relationship. Knutsen remains an independent advisory Board Member as described in the Terms Memo, unless and until a separate written agreement establishes a different relationship.</w:t>
      </w:r>
    </w:p>
    <w:p>
      <w:pPr>
        <w:spacing w:before="160" w:after="40"/>
      </w:pPr>
      <w:r>
        <w:rPr>
          <w:rFonts w:ascii="Calibri" w:hAnsi="Calibri"/>
          <w:b/>
          <w:i w:val="0"/>
          <w:sz w:val="22"/>
        </w:rPr>
        <w:t>8.9  Headings.</w:t>
      </w:r>
    </w:p>
    <w:p>
      <w:pPr>
        <w:spacing w:before="40" w:after="40"/>
      </w:pPr>
      <w:r>
        <w:rPr>
          <w:rFonts w:ascii="Calibri" w:hAnsi="Calibri"/>
          <w:b w:val="0"/>
          <w:i w:val="0"/>
          <w:sz w:val="21"/>
        </w:rPr>
        <w:t>Section headings are for convenience only and shall not affect the interpretation of this Agreement.</w:t>
      </w:r>
    </w:p>
    <w:p>
      <w:pPr>
        <w:spacing w:before="160" w:after="40"/>
      </w:pPr>
      <w:r>
        <w:rPr>
          <w:rFonts w:ascii="Calibri" w:hAnsi="Calibri"/>
          <w:b/>
          <w:i w:val="0"/>
          <w:sz w:val="22"/>
        </w:rPr>
        <w:t>8.10  Assignment to Entity.</w:t>
      </w:r>
    </w:p>
    <w:p>
      <w:pPr>
        <w:spacing w:before="40" w:after="40"/>
      </w:pPr>
      <w:r>
        <w:rPr>
          <w:rFonts w:ascii="Calibri" w:hAnsi="Calibri"/>
          <w:b w:val="0"/>
          <w:i w:val="0"/>
          <w:sz w:val="21"/>
        </w:rPr>
        <w:t>Upon incorporation of the Delaware C-Corporation, this Agreement shall be automatically assigned to and assumed by the Company, and all rights and obligations of Leavenworth hereunder (in his capacity as Founder) shall vest in the Company. Knutsen consents to such assignment without further action. Following such assignment, references to 'Leavenworth' in his Founder capacity shall be deemed to refer to the Company.</w:t>
      </w:r>
    </w:p>
    <w:p>
      <w:pPr>
        <w:spacing w:before="40" w:after="40"/>
      </w:pPr>
      <w:r>
        <w:rPr>
          <w:rFonts w:ascii="Calibri" w:hAnsi="Calibri"/>
          <w:b w:val="0"/>
          <w:i w:val="0"/>
          <w:color w:val="B4B4B4"/>
          <w:sz w:val="16"/>
        </w:rPr>
        <w:t>────────────────────────────────────────────────────────────────────────</w:t>
      </w:r>
    </w:p>
    <w:p>
      <w:pPr>
        <w:spacing w:before="240" w:after="80"/>
      </w:pPr>
      <w:r>
        <w:rPr>
          <w:rFonts w:ascii="Calibri" w:hAnsi="Calibri"/>
          <w:b/>
          <w:i w:val="0"/>
          <w:sz w:val="26"/>
        </w:rPr>
        <w:t>Notes</w:t>
      </w:r>
    </w:p>
    <w:p>
      <w:pPr>
        <w:pStyle w:val="ListBullet"/>
        <w:spacing w:before="20" w:after="20"/>
        <w:ind w:left="504"/>
      </w:pPr>
      <w:r>
        <w:rPr>
          <w:rFonts w:ascii="Calibri" w:hAnsi="Calibri"/>
          <w:b w:val="0"/>
          <w:i w:val="0"/>
          <w:sz w:val="21"/>
        </w:rPr>
        <w:t>This Agreement is binding upon execution by both Parties.</w:t>
      </w:r>
    </w:p>
    <w:p>
      <w:pPr>
        <w:pStyle w:val="ListBullet"/>
        <w:spacing w:before="20" w:after="20"/>
        <w:ind w:left="504"/>
      </w:pPr>
      <w:r>
        <w:rPr>
          <w:rFonts w:ascii="Calibri" w:hAnsi="Calibri"/>
          <w:b w:val="0"/>
          <w:i w:val="0"/>
          <w:sz w:val="21"/>
        </w:rPr>
        <w:t>Compensation, board duties, and termination terms remain governed by the Terms Memo dated February 22, 2026.</w:t>
      </w:r>
    </w:p>
    <w:p>
      <w:pPr>
        <w:pStyle w:val="ListBullet"/>
        <w:spacing w:before="20" w:after="20"/>
        <w:ind w:left="504"/>
      </w:pPr>
      <w:r>
        <w:rPr>
          <w:rFonts w:ascii="Calibri" w:hAnsi="Calibri"/>
          <w:b w:val="0"/>
          <w:i w:val="0"/>
          <w:sz w:val="21"/>
        </w:rPr>
        <w:t>Prior to formal incorporation of the Delaware C-Corp, 'Company' obligations vest in and are enforceable by Michael Leavenworth personally as Founder.</w:t>
      </w:r>
    </w:p>
    <w:p>
      <w:pPr>
        <w:pStyle w:val="ListBullet"/>
        <w:spacing w:before="20" w:after="20"/>
        <w:ind w:left="504"/>
      </w:pPr>
      <w:r>
        <w:rPr>
          <w:rFonts w:ascii="Calibri" w:hAnsi="Calibri"/>
          <w:b w:val="0"/>
          <w:i w:val="0"/>
          <w:sz w:val="21"/>
        </w:rPr>
        <w:t>Both Parties' whistleblower rights under federal and state law are preserved and cannot be waived by this Agreement.</w:t>
      </w:r>
    </w:p>
    <w:p>
      <w:pPr>
        <w:pStyle w:val="ListBullet"/>
        <w:spacing w:before="20" w:after="20"/>
        <w:ind w:left="504"/>
      </w:pPr>
      <w:r>
        <w:rPr>
          <w:rFonts w:ascii="Calibri" w:hAnsi="Calibri"/>
          <w:b w:val="0"/>
          <w:i w:val="0"/>
          <w:sz w:val="21"/>
        </w:rPr>
        <w:t>The DTSA immunity notice in Section 2.8 is provided pursuant to 18 U.S.C. §1833(b)(3) and is a condition precedent to either Party's right to seek exemplary damages under Section 6.2.</w:t>
      </w:r>
    </w:p>
    <w:p>
      <w:pPr>
        <w:pStyle w:val="ListBullet"/>
        <w:spacing w:before="20" w:after="20"/>
        <w:ind w:left="504"/>
      </w:pPr>
      <w:r>
        <w:rPr>
          <w:rFonts w:ascii="Calibri" w:hAnsi="Calibri"/>
          <w:b w:val="0"/>
          <w:i w:val="0"/>
          <w:sz w:val="21"/>
        </w:rPr>
        <w:t>The confidentiality obligations in Section 2 are mutual and symmetric. The IP assignment provisions in Section 3 are directional, reflecting Knutsen's contracted contributions to the Company under Exhibit C.</w:t>
      </w:r>
    </w:p>
    <w:p>
      <w:pPr>
        <w:pStyle w:val="ListBullet"/>
        <w:spacing w:before="20" w:after="20"/>
        <w:ind w:left="504"/>
      </w:pPr>
      <w:r>
        <w:rPr>
          <w:rFonts w:ascii="Calibri" w:hAnsi="Calibri"/>
          <w:b w:val="0"/>
          <w:i w:val="0"/>
          <w:sz w:val="21"/>
        </w:rPr>
        <w:t>Exhibit C identifies specific contracted work-for-hire engagements (6 hours, $420 total). Deliverables under Exhibit C are owned by the Company.</w:t>
      </w:r>
    </w:p>
    <w:p>
      <w:pPr>
        <w:pStyle w:val="ListBullet"/>
        <w:spacing w:before="20" w:after="20"/>
        <w:ind w:left="504"/>
      </w:pPr>
      <w:r>
        <w:rPr>
          <w:rFonts w:ascii="Calibri" w:hAnsi="Calibri"/>
          <w:b w:val="0"/>
          <w:i w:val="0"/>
          <w:sz w:val="21"/>
        </w:rPr>
        <w:t>The eight redlines proposed in this version reflect Knutsen's good-faith effort to clarify and limit IP assignment provisions to their intended scope — contracted Exhibit C deliverables — without diminishing the Company's legitimate IP protections.</w:t>
      </w:r>
    </w:p>
    <w:p>
      <w:pPr>
        <w:spacing w:before="40" w:after="40"/>
      </w:pPr>
      <w:r>
        <w:rPr>
          <w:rFonts w:ascii="Calibri" w:hAnsi="Calibri"/>
          <w:b w:val="0"/>
          <w:i w:val="0"/>
          <w:color w:val="B4B4B4"/>
          <w:sz w:val="16"/>
        </w:rPr>
        <w:t>────────────────────────────────────────────────────────────────────────</w:t>
      </w:r>
    </w:p>
    <w:p>
      <w:pPr>
        <w:spacing w:before="240" w:after="80"/>
      </w:pPr>
      <w:r>
        <w:rPr>
          <w:rFonts w:ascii="Calibri" w:hAnsi="Calibri"/>
          <w:b/>
          <w:i w:val="0"/>
          <w:sz w:val="26"/>
        </w:rPr>
        <w:t>Signatures</w:t>
      </w:r>
    </w:p>
    <w:p>
      <w:pPr>
        <w:spacing w:before="160"/>
      </w:pPr>
      <w:r>
        <w:rPr>
          <w:rFonts w:ascii="Calibri" w:hAnsi="Calibri"/>
          <w:b/>
          <w:i w:val="0"/>
          <w:sz w:val="21"/>
        </w:rPr>
        <w:t xml:space="preserve">✍️  Signature (Kristopher Knutsen):  </w:t>
      </w:r>
      <w:r>
        <w:rPr>
          <w:rFonts w:ascii="Calibri" w:hAnsi="Calibri"/>
          <w:b w:val="0"/>
          <w:i w:val="0"/>
          <w:sz w:val="21"/>
        </w:rPr>
        <w:t>_________________________________</w:t>
      </w:r>
    </w:p>
    <w:p>
      <w:pPr>
        <w:spacing w:before="160"/>
      </w:pPr>
      <w:r>
        <w:rPr>
          <w:rFonts w:ascii="Calibri" w:hAnsi="Calibri"/>
          <w:b/>
          <w:i w:val="0"/>
          <w:sz w:val="21"/>
        </w:rPr>
        <w:t xml:space="preserve">📅  Date:  </w:t>
      </w:r>
      <w:r>
        <w:rPr>
          <w:rFonts w:ascii="Calibri" w:hAnsi="Calibri"/>
          <w:b w:val="0"/>
          <w:i w:val="0"/>
          <w:sz w:val="21"/>
        </w:rPr>
        <w:t>_________________________________</w:t>
      </w:r>
    </w:p>
    <w:p>
      <w:pPr>
        <w:spacing w:before="200"/>
      </w:pPr>
    </w:p>
    <w:p>
      <w:pPr>
        <w:spacing w:before="160"/>
      </w:pPr>
      <w:r>
        <w:rPr>
          <w:rFonts w:ascii="Calibri" w:hAnsi="Calibri"/>
          <w:b/>
          <w:i w:val="0"/>
          <w:sz w:val="21"/>
        </w:rPr>
        <w:t xml:space="preserve">✍️  Signature (Michael Leavenworth, Founder, Project Green):  </w:t>
      </w:r>
      <w:r>
        <w:rPr>
          <w:rFonts w:ascii="Calibri" w:hAnsi="Calibri"/>
          <w:b w:val="0"/>
          <w:i w:val="0"/>
          <w:sz w:val="21"/>
        </w:rPr>
        <w:t>_______________</w:t>
      </w:r>
    </w:p>
    <w:p>
      <w:pPr>
        <w:spacing w:before="160"/>
      </w:pPr>
      <w:r>
        <w:rPr>
          <w:rFonts w:ascii="Calibri" w:hAnsi="Calibri"/>
          <w:b/>
          <w:i w:val="0"/>
          <w:sz w:val="21"/>
        </w:rPr>
        <w:t xml:space="preserve">📅  Date:  </w:t>
      </w:r>
      <w:r>
        <w:rPr>
          <w:rFonts w:ascii="Calibri" w:hAnsi="Calibri"/>
          <w:b w:val="0"/>
          <w:i w:val="0"/>
          <w:sz w:val="21"/>
        </w:rPr>
        <w:t>_________________________________</w:t>
      </w:r>
    </w:p>
    <w:p>
      <w:pPr>
        <w:spacing w:before="40" w:after="40"/>
      </w:pPr>
      <w:r>
        <w:rPr>
          <w:rFonts w:ascii="Calibri" w:hAnsi="Calibri"/>
          <w:b w:val="0"/>
          <w:i w:val="0"/>
          <w:color w:val="B4B4B4"/>
          <w:sz w:val="16"/>
        </w:rPr>
        <w:t>────────────────────────────────────────────────────────────────────────</w:t>
      </w:r>
    </w:p>
    <w:p>
      <w:pPr>
        <w:spacing w:before="240" w:after="80"/>
      </w:pPr>
      <w:r>
        <w:rPr>
          <w:rFonts w:ascii="Calibri" w:hAnsi="Calibri"/>
          <w:b/>
          <w:i w:val="0"/>
          <w:sz w:val="26"/>
        </w:rPr>
        <w:t>Exhibit A: Knutsen Pre-Existing IP Schedule</w:t>
      </w:r>
    </w:p>
    <w:p>
      <w:pPr>
        <w:spacing w:before="40" w:after="40"/>
      </w:pPr>
      <w:r>
        <w:rPr>
          <w:rFonts w:ascii="Calibri" w:hAnsi="Calibri"/>
          <w:b w:val="0"/>
          <w:i w:val="0"/>
          <w:sz w:val="21"/>
        </w:rPr>
        <w:t>Knutsen identifies the following pre-existing intellectual property owned or developed prior to the Effective Date of March 6, 2026: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i w:val="0"/>
                <w:sz w:val="19"/>
              </w:rPr>
              <w:t>#</w:t>
            </w:r>
          </w:p>
        </w:tc>
        <w:tc>
          <w:tcPr>
            <w:tcW w:type="dxa" w:w="2160"/>
          </w:tcPr>
          <w:p>
            <w:r>
              <w:rPr>
                <w:rFonts w:ascii="Calibri" w:hAnsi="Calibri"/>
                <w:b/>
                <w:i w:val="0"/>
                <w:sz w:val="19"/>
              </w:rPr>
              <w:t>Description</w:t>
            </w:r>
          </w:p>
        </w:tc>
        <w:tc>
          <w:tcPr>
            <w:tcW w:type="dxa" w:w="2160"/>
          </w:tcPr>
          <w:p>
            <w:r>
              <w:rPr>
                <w:rFonts w:ascii="Calibri" w:hAnsi="Calibri"/>
                <w:b/>
                <w:i w:val="0"/>
                <w:sz w:val="19"/>
              </w:rPr>
              <w:t>Date Created (approx.)</w:t>
            </w:r>
          </w:p>
        </w:tc>
        <w:tc>
          <w:tcPr>
            <w:tcW w:type="dxa" w:w="2160"/>
          </w:tcPr>
          <w:p>
            <w:r>
              <w:rPr>
                <w:rFonts w:ascii="Calibri" w:hAnsi="Calibri"/>
                <w:b/>
                <w:i w:val="0"/>
                <w:sz w:val="19"/>
              </w:rPr>
              <w:t>Ownership Status</w:t>
            </w:r>
          </w:p>
        </w:tc>
      </w:tr>
      <w:tr>
        <w:tc>
          <w:tcPr>
            <w:tcW w:type="dxa" w:w="2160"/>
          </w:tcPr>
          <w:p>
            <w:r>
              <w:rPr>
                <w:rFonts w:ascii="Calibri" w:hAnsi="Calibri"/>
                <w:b w:val="0"/>
                <w:i w:val="0"/>
                <w:sz w:val="19"/>
              </w:rPr>
              <w:t>1</w:t>
            </w:r>
          </w:p>
        </w:tc>
        <w:tc>
          <w:tcPr>
            <w:tcW w:type="dxa" w:w="2160"/>
          </w:tcPr>
          <w:p>
            <w:r>
              <w:rPr>
                <w:rFonts w:ascii="Calibri" w:hAnsi="Calibri"/>
                <w:b w:val="0"/>
                <w:i w:val="0"/>
                <w:sz w:val="19"/>
              </w:rPr>
              <w:t>Information security and corporate policy framework for SMBs (CyberKit v2) — 12 security policies, SOC 2 / ISO 27001 mappings, implementation checklists, Gumroad-ready packaging. Complete, not yet publicly released.</w:t>
            </w:r>
          </w:p>
        </w:tc>
        <w:tc>
          <w:tcPr>
            <w:tcW w:type="dxa" w:w="2160"/>
          </w:tcPr>
          <w:p>
            <w:r>
              <w:rPr>
                <w:rFonts w:ascii="Calibri" w:hAnsi="Calibri"/>
                <w:b w:val="0"/>
                <w:i w:val="0"/>
                <w:sz w:val="19"/>
              </w:rPr>
              <w:t>Prior to February 2026</w:t>
            </w:r>
          </w:p>
        </w:tc>
        <w:tc>
          <w:tcPr>
            <w:tcW w:type="dxa" w:w="2160"/>
          </w:tcPr>
          <w:p>
            <w:r>
              <w:rPr>
                <w:rFonts w:ascii="Calibri" w:hAnsi="Calibri"/>
                <w:b w:val="0"/>
                <w:i w:val="0"/>
                <w:sz w:val="19"/>
              </w:rPr>
              <w:t>Owned solely by Kristopher Knutsen</w:t>
            </w:r>
          </w:p>
        </w:tc>
      </w:tr>
      <w:tr>
        <w:tc>
          <w:tcPr>
            <w:tcW w:type="dxa" w:w="2160"/>
          </w:tcPr>
          <w:p>
            <w:r>
              <w:rPr>
                <w:rFonts w:ascii="Calibri" w:hAnsi="Calibri"/>
                <w:b w:val="0"/>
                <w:i w:val="0"/>
                <w:sz w:val="19"/>
              </w:rPr>
              <w:t>2</w:t>
            </w:r>
          </w:p>
        </w:tc>
        <w:tc>
          <w:tcPr>
            <w:tcW w:type="dxa" w:w="2160"/>
          </w:tcPr>
          <w:p>
            <w:r>
              <w:rPr>
                <w:rFonts w:ascii="Calibri" w:hAnsi="Calibri"/>
                <w:b w:val="0"/>
                <w:i w:val="0"/>
                <w:sz w:val="19"/>
              </w:rPr>
              <w:t>Proprietary automated trading application. Includes trading logic, execution infrastructure, and related code and documentation.</w:t>
            </w:r>
          </w:p>
        </w:tc>
        <w:tc>
          <w:tcPr>
            <w:tcW w:type="dxa" w:w="2160"/>
          </w:tcPr>
          <w:p>
            <w:r>
              <w:rPr>
                <w:rFonts w:ascii="Calibri" w:hAnsi="Calibri"/>
                <w:b w:val="0"/>
                <w:i w:val="0"/>
                <w:sz w:val="19"/>
              </w:rPr>
              <w:t>December 2025 – present</w:t>
            </w:r>
          </w:p>
        </w:tc>
        <w:tc>
          <w:tcPr>
            <w:tcW w:type="dxa" w:w="2160"/>
          </w:tcPr>
          <w:p>
            <w:r>
              <w:rPr>
                <w:rFonts w:ascii="Calibri" w:hAnsi="Calibri"/>
                <w:b w:val="0"/>
                <w:i w:val="0"/>
                <w:sz w:val="19"/>
              </w:rPr>
              <w:t>Owned solely by Kristopher Knutsen</w:t>
            </w:r>
          </w:p>
        </w:tc>
      </w:tr>
      <w:tr>
        <w:tc>
          <w:tcPr>
            <w:tcW w:type="dxa" w:w="2160"/>
          </w:tcPr>
          <w:p>
            <w:r>
              <w:rPr>
                <w:rFonts w:ascii="Calibri" w:hAnsi="Calibri"/>
                <w:b w:val="0"/>
                <w:i w:val="0"/>
                <w:sz w:val="19"/>
              </w:rPr>
              <w:t>3</w:t>
            </w:r>
          </w:p>
        </w:tc>
        <w:tc>
          <w:tcPr>
            <w:tcW w:type="dxa" w:w="2160"/>
          </w:tcPr>
          <w:p>
            <w:r>
              <w:rPr>
                <w:rFonts w:ascii="Calibri" w:hAnsi="Calibri"/>
                <w:b w:val="0"/>
                <w:i w:val="0"/>
                <w:sz w:val="19"/>
              </w:rPr>
              <w:t>[Reserved — additional items to be listed by Knutsen prior to execution]</w:t>
            </w:r>
          </w:p>
        </w:tc>
        <w:tc>
          <w:tcPr>
            <w:tcW w:type="dxa" w:w="2160"/>
          </w:tcPr>
          <w:p>
            <w:r>
              <w:rPr>
                <w:rFonts w:ascii="Calibri" w:hAnsi="Calibri"/>
                <w:b w:val="0"/>
                <w:i w:val="0"/>
                <w:sz w:val="19"/>
              </w:rPr>
            </w:r>
          </w:p>
        </w:tc>
        <w:tc>
          <w:tcPr>
            <w:tcW w:type="dxa" w:w="2160"/>
          </w:tcPr>
          <w:p>
            <w:r>
              <w:rPr>
                <w:rFonts w:ascii="Calibri" w:hAnsi="Calibri"/>
                <w:b w:val="0"/>
                <w:i w:val="0"/>
                <w:sz w:val="19"/>
              </w:rPr>
            </w:r>
          </w:p>
        </w:tc>
      </w:tr>
    </w:tbl>
    <w:p>
      <w:pPr>
        <w:spacing w:before="120" w:after="40"/>
      </w:pPr>
      <w:r>
        <w:rPr>
          <w:rFonts w:ascii="Calibri" w:hAnsi="Calibri"/>
          <w:b w:val="0"/>
          <w:i w:val="0"/>
          <w:sz w:val="21"/>
        </w:rPr>
        <w:t>Knutsen represents that this schedule is complete as of the Effective Date. Any IP relevant to Project Green that is not listed herein and was not created at the written direction of the Company under Exhibit C is presumed to be Knutsen's independent IP and is not subject to assignment under Section 3.2.</w:t>
      </w:r>
    </w:p>
    <w:p>
      <w:pPr>
        <w:spacing w:before="160"/>
      </w:pPr>
      <w:r>
        <w:rPr>
          <w:rFonts w:ascii="Calibri" w:hAnsi="Calibri"/>
          <w:b w:val="0"/>
          <w:i w:val="0"/>
          <w:sz w:val="21"/>
        </w:rPr>
        <w:t>Initials (Knutsen): _______   Date: _______</w:t>
      </w:r>
    </w:p>
    <w:p>
      <w:pPr>
        <w:spacing w:before="80"/>
      </w:pPr>
      <w:r>
        <w:rPr>
          <w:rFonts w:ascii="Calibri" w:hAnsi="Calibri"/>
          <w:b w:val="0"/>
          <w:i w:val="0"/>
          <w:sz w:val="21"/>
        </w:rPr>
        <w:t>Initials (Leavenworth): _______   Date: _______</w:t>
      </w:r>
    </w:p>
    <w:p>
      <w:pPr>
        <w:spacing w:before="40" w:after="40"/>
      </w:pPr>
      <w:r>
        <w:rPr>
          <w:rFonts w:ascii="Calibri" w:hAnsi="Calibri"/>
          <w:b w:val="0"/>
          <w:i w:val="0"/>
          <w:color w:val="B4B4B4"/>
          <w:sz w:val="16"/>
        </w:rPr>
        <w:t>────────────────────────────────────────────────────────────────────────</w:t>
      </w:r>
    </w:p>
    <w:p>
      <w:pPr>
        <w:spacing w:before="240" w:after="80"/>
      </w:pPr>
      <w:r>
        <w:rPr>
          <w:rFonts w:ascii="Calibri" w:hAnsi="Calibri"/>
          <w:b/>
          <w:i w:val="0"/>
          <w:sz w:val="26"/>
        </w:rPr>
        <w:t>Exhibit B: Company Pre-Existing IP</w:t>
      </w:r>
    </w:p>
    <w:p>
      <w:pPr>
        <w:spacing w:before="40" w:after="40"/>
      </w:pPr>
      <w:r>
        <w:rPr>
          <w:rFonts w:ascii="Calibri" w:hAnsi="Calibri"/>
          <w:b w:val="0"/>
          <w:i w:val="0"/>
          <w:sz w:val="21"/>
        </w:rPr>
        <w:t>The Company identifies the following pre-existing intellectual property owned or developed prior to or outside of this Agreement: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i w:val="0"/>
                <w:sz w:val="19"/>
              </w:rPr>
              <w:t>#</w:t>
            </w:r>
          </w:p>
        </w:tc>
        <w:tc>
          <w:tcPr>
            <w:tcW w:type="dxa" w:w="2880"/>
          </w:tcPr>
          <w:p>
            <w:r>
              <w:rPr>
                <w:rFonts w:ascii="Calibri" w:hAnsi="Calibri"/>
                <w:b/>
                <w:i w:val="0"/>
                <w:sz w:val="19"/>
              </w:rPr>
              <w:t>Description</w:t>
            </w:r>
          </w:p>
        </w:tc>
        <w:tc>
          <w:tcPr>
            <w:tcW w:type="dxa" w:w="2880"/>
          </w:tcPr>
          <w:p>
            <w:r>
              <w:rPr>
                <w:rFonts w:ascii="Calibri" w:hAnsi="Calibri"/>
                <w:b/>
                <w:i w:val="0"/>
                <w:sz w:val="19"/>
              </w:rPr>
              <w:t>Status</w:t>
            </w:r>
          </w:p>
        </w:tc>
      </w:tr>
      <w:tr>
        <w:tc>
          <w:tcPr>
            <w:tcW w:type="dxa" w:w="2880"/>
          </w:tcPr>
          <w:p>
            <w:r>
              <w:rPr>
                <w:rFonts w:ascii="Calibri" w:hAnsi="Calibri"/>
                <w:b w:val="0"/>
                <w:i w:val="0"/>
                <w:sz w:val="19"/>
              </w:rPr>
              <w:t>1</w:t>
            </w:r>
          </w:p>
        </w:tc>
        <w:tc>
          <w:tcPr>
            <w:tcW w:type="dxa" w:w="2880"/>
          </w:tcPr>
          <w:p>
            <w:r>
              <w:rPr>
                <w:rFonts w:ascii="Calibri" w:hAnsi="Calibri"/>
                <w:b w:val="0"/>
                <w:i w:val="0"/>
                <w:sz w:val="19"/>
              </w:rPr>
              <w:t>Project Green software platform — codebase, agent architecture, proprietary AI digital twin framework, and all associated technical infrastructure.</w:t>
            </w:r>
          </w:p>
        </w:tc>
        <w:tc>
          <w:tcPr>
            <w:tcW w:type="dxa" w:w="2880"/>
          </w:tcPr>
          <w:p>
            <w:r>
              <w:rPr>
                <w:rFonts w:ascii="Calibri" w:hAnsi="Calibri"/>
                <w:b w:val="0"/>
                <w:i w:val="0"/>
                <w:sz w:val="19"/>
              </w:rPr>
              <w:t>Active development, September 2025 – present</w:t>
            </w:r>
          </w:p>
        </w:tc>
      </w:tr>
      <w:tr>
        <w:tc>
          <w:tcPr>
            <w:tcW w:type="dxa" w:w="2880"/>
          </w:tcPr>
          <w:p>
            <w:r>
              <w:rPr>
                <w:rFonts w:ascii="Calibri" w:hAnsi="Calibri"/>
                <w:b w:val="0"/>
                <w:i w:val="0"/>
                <w:sz w:val="19"/>
              </w:rPr>
              <w:t>2</w:t>
            </w:r>
          </w:p>
        </w:tc>
        <w:tc>
          <w:tcPr>
            <w:tcW w:type="dxa" w:w="2880"/>
          </w:tcPr>
          <w:p>
            <w:r>
              <w:rPr>
                <w:rFonts w:ascii="Calibri" w:hAnsi="Calibri"/>
                <w:b w:val="0"/>
                <w:i w:val="0"/>
                <w:sz w:val="19"/>
              </w:rPr>
              <w:t>Project Green documentation — product requirements, business plans, go-to-market strategy, investor materials, and technical specifications.</w:t>
            </w:r>
          </w:p>
        </w:tc>
        <w:tc>
          <w:tcPr>
            <w:tcW w:type="dxa" w:w="2880"/>
          </w:tcPr>
          <w:p>
            <w:r>
              <w:rPr>
                <w:rFonts w:ascii="Calibri" w:hAnsi="Calibri"/>
                <w:b w:val="0"/>
                <w:i w:val="0"/>
                <w:sz w:val="19"/>
              </w:rPr>
              <w:t>Confidential</w:t>
            </w:r>
          </w:p>
        </w:tc>
      </w:tr>
      <w:tr>
        <w:tc>
          <w:tcPr>
            <w:tcW w:type="dxa" w:w="2880"/>
          </w:tcPr>
          <w:p>
            <w:r>
              <w:rPr>
                <w:rFonts w:ascii="Calibri" w:hAnsi="Calibri"/>
                <w:b w:val="0"/>
                <w:i w:val="0"/>
                <w:sz w:val="19"/>
              </w:rPr>
              <w:t>3</w:t>
            </w:r>
          </w:p>
        </w:tc>
        <w:tc>
          <w:tcPr>
            <w:tcW w:type="dxa" w:w="2880"/>
          </w:tcPr>
          <w:p>
            <w:r>
              <w:rPr>
                <w:rFonts w:ascii="Calibri" w:hAnsi="Calibri"/>
                <w:b w:val="0"/>
                <w:i w:val="0"/>
                <w:sz w:val="19"/>
              </w:rPr>
              <w:t>Project Green brand and identity — name, logo, trademarks, marketing materials, and domain registrations.</w:t>
            </w:r>
          </w:p>
        </w:tc>
        <w:tc>
          <w:tcPr>
            <w:tcW w:type="dxa" w:w="2880"/>
          </w:tcPr>
          <w:p>
            <w:r>
              <w:rPr>
                <w:rFonts w:ascii="Calibri" w:hAnsi="Calibri"/>
                <w:b w:val="0"/>
                <w:i w:val="0"/>
                <w:sz w:val="19"/>
              </w:rPr>
              <w:t>Confidential</w:t>
            </w:r>
          </w:p>
        </w:tc>
      </w:tr>
    </w:tbl>
    <w:p>
      <w:pPr>
        <w:spacing w:before="160"/>
      </w:pPr>
      <w:r>
        <w:rPr>
          <w:rFonts w:ascii="Calibri" w:hAnsi="Calibri"/>
          <w:b w:val="0"/>
          <w:i w:val="0"/>
          <w:sz w:val="21"/>
        </w:rPr>
        <w:t>Initials (Knutsen): _______   Date: _______</w:t>
      </w:r>
    </w:p>
    <w:p>
      <w:pPr>
        <w:spacing w:before="80"/>
      </w:pPr>
      <w:r>
        <w:rPr>
          <w:rFonts w:ascii="Calibri" w:hAnsi="Calibri"/>
          <w:b w:val="0"/>
          <w:i w:val="0"/>
          <w:sz w:val="21"/>
        </w:rPr>
        <w:t>Initials (Leavenworth): _______   Date: _______</w:t>
      </w:r>
    </w:p>
    <w:p>
      <w:pPr>
        <w:spacing w:before="40" w:after="40"/>
      </w:pPr>
      <w:r>
        <w:rPr>
          <w:rFonts w:ascii="Calibri" w:hAnsi="Calibri"/>
          <w:b w:val="0"/>
          <w:i w:val="0"/>
          <w:color w:val="B4B4B4"/>
          <w:sz w:val="16"/>
        </w:rPr>
        <w:t>────────────────────────────────────────────────────────────────────────</w:t>
      </w:r>
    </w:p>
    <w:p>
      <w:pPr>
        <w:spacing w:before="240" w:after="80"/>
      </w:pPr>
      <w:r>
        <w:rPr>
          <w:rFonts w:ascii="Calibri" w:hAnsi="Calibri"/>
          <w:b/>
          <w:i w:val="0"/>
          <w:sz w:val="26"/>
        </w:rPr>
        <w:t>Exhibit C: Contracted Work-for-Hire Schedule</w:t>
      </w:r>
    </w:p>
    <w:p>
      <w:pPr>
        <w:spacing w:before="40" w:after="40"/>
      </w:pPr>
      <w:r>
        <w:rPr>
          <w:rFonts w:ascii="Calibri" w:hAnsi="Calibri"/>
          <w:b w:val="0"/>
          <w:i w:val="0"/>
          <w:sz w:val="21"/>
        </w:rPr>
        <w:t>The following engagements are agreed upon as contracted work-for-hire. All deliverables produced under this Exhibit are works made for hire owned exclusively by the Company. Knutsen's hourly rate is $70/hr.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i w:val="0"/>
                <w:sz w:val="19"/>
              </w:rPr>
              <w:t>#</w:t>
            </w:r>
          </w:p>
        </w:tc>
        <w:tc>
          <w:tcPr>
            <w:tcW w:type="dxa" w:w="2160"/>
          </w:tcPr>
          <w:p>
            <w:r>
              <w:rPr>
                <w:rFonts w:ascii="Calibri" w:hAnsi="Calibri"/>
                <w:b/>
                <w:i w:val="0"/>
                <w:sz w:val="19"/>
              </w:rPr>
              <w:t>Deliverable</w:t>
            </w:r>
          </w:p>
        </w:tc>
        <w:tc>
          <w:tcPr>
            <w:tcW w:type="dxa" w:w="2160"/>
          </w:tcPr>
          <w:p>
            <w:r>
              <w:rPr>
                <w:rFonts w:ascii="Calibri" w:hAnsi="Calibri"/>
                <w:b/>
                <w:i w:val="0"/>
                <w:sz w:val="19"/>
              </w:rPr>
              <w:t>Hours</w:t>
            </w:r>
          </w:p>
        </w:tc>
        <w:tc>
          <w:tcPr>
            <w:tcW w:type="dxa" w:w="2160"/>
          </w:tcPr>
          <w:p>
            <w:r>
              <w:rPr>
                <w:rFonts w:ascii="Calibri" w:hAnsi="Calibri"/>
                <w:b/>
                <w:i w:val="0"/>
                <w:sz w:val="19"/>
              </w:rPr>
              <w:t>Amount</w:t>
            </w:r>
          </w:p>
        </w:tc>
      </w:tr>
      <w:tr>
        <w:tc>
          <w:tcPr>
            <w:tcW w:type="dxa" w:w="2160"/>
          </w:tcPr>
          <w:p>
            <w:r>
              <w:rPr>
                <w:rFonts w:ascii="Calibri" w:hAnsi="Calibri"/>
                <w:b w:val="0"/>
                <w:i w:val="0"/>
                <w:sz w:val="19"/>
              </w:rPr>
              <w:t>1</w:t>
            </w:r>
          </w:p>
        </w:tc>
        <w:tc>
          <w:tcPr>
            <w:tcW w:type="dxa" w:w="2160"/>
          </w:tcPr>
          <w:p>
            <w:r>
              <w:rPr>
                <w:rFonts w:ascii="Calibri" w:hAnsi="Calibri"/>
                <w:b w:val="0"/>
                <w:i w:val="0"/>
                <w:sz w:val="19"/>
              </w:rPr>
              <w:t>Information Security &amp; Compliance Framework Research — cybersecurity controls mapping, HIPAA/NIST alignment analysis, and AI platform compliance comparison for accounting firm use cases.</w:t>
            </w:r>
          </w:p>
        </w:tc>
        <w:tc>
          <w:tcPr>
            <w:tcW w:type="dxa" w:w="2160"/>
          </w:tcPr>
          <w:p>
            <w:r>
              <w:rPr>
                <w:rFonts w:ascii="Calibri" w:hAnsi="Calibri"/>
                <w:b w:val="0"/>
                <w:i w:val="0"/>
                <w:sz w:val="19"/>
              </w:rPr>
              <w:t>5 hrs</w:t>
            </w:r>
          </w:p>
        </w:tc>
        <w:tc>
          <w:tcPr>
            <w:tcW w:type="dxa" w:w="2160"/>
          </w:tcPr>
          <w:p>
            <w:r>
              <w:rPr>
                <w:rFonts w:ascii="Calibri" w:hAnsi="Calibri"/>
                <w:b w:val="0"/>
                <w:i w:val="0"/>
                <w:sz w:val="19"/>
              </w:rPr>
              <w:t>$350</w:t>
            </w:r>
          </w:p>
        </w:tc>
      </w:tr>
      <w:tr>
        <w:tc>
          <w:tcPr>
            <w:tcW w:type="dxa" w:w="2160"/>
          </w:tcPr>
          <w:p>
            <w:r>
              <w:rPr>
                <w:rFonts w:ascii="Calibri" w:hAnsi="Calibri"/>
                <w:b w:val="0"/>
                <w:i w:val="0"/>
                <w:sz w:val="19"/>
              </w:rPr>
              <w:t>2</w:t>
            </w:r>
          </w:p>
        </w:tc>
        <w:tc>
          <w:tcPr>
            <w:tcW w:type="dxa" w:w="2160"/>
          </w:tcPr>
          <w:p>
            <w:r>
              <w:rPr>
                <w:rFonts w:ascii="Calibri" w:hAnsi="Calibri"/>
                <w:b w:val="0"/>
                <w:i w:val="0"/>
                <w:sz w:val="19"/>
              </w:rPr>
              <w:t>AI Game Theory Legal Analysis — legal and regulatory landscape review of AI-driven game theory frameworks in financial services and related sectors.</w:t>
            </w:r>
          </w:p>
        </w:tc>
        <w:tc>
          <w:tcPr>
            <w:tcW w:type="dxa" w:w="2160"/>
          </w:tcPr>
          <w:p>
            <w:r>
              <w:rPr>
                <w:rFonts w:ascii="Calibri" w:hAnsi="Calibri"/>
                <w:b w:val="0"/>
                <w:i w:val="0"/>
                <w:sz w:val="19"/>
              </w:rPr>
              <w:t>1 hr</w:t>
            </w:r>
          </w:p>
        </w:tc>
        <w:tc>
          <w:tcPr>
            <w:tcW w:type="dxa" w:w="2160"/>
          </w:tcPr>
          <w:p>
            <w:r>
              <w:rPr>
                <w:rFonts w:ascii="Calibri" w:hAnsi="Calibri"/>
                <w:b w:val="0"/>
                <w:i w:val="0"/>
                <w:sz w:val="19"/>
              </w:rPr>
              <w:t>$70</w:t>
            </w:r>
          </w:p>
        </w:tc>
      </w:tr>
    </w:tbl>
    <w:p>
      <w:pPr>
        <w:spacing w:before="120"/>
      </w:pPr>
      <w:r>
        <w:rPr>
          <w:rFonts w:ascii="Calibri" w:hAnsi="Calibri"/>
          <w:b/>
          <w:i w:val="0"/>
          <w:sz w:val="21"/>
        </w:rPr>
        <w:t>Total: 6 hours — $420.00</w:t>
      </w:r>
    </w:p>
    <w:p>
      <w:pPr>
        <w:spacing w:before="40" w:after="40"/>
      </w:pPr>
      <w:r>
        <w:rPr>
          <w:rFonts w:ascii="Calibri" w:hAnsi="Calibri"/>
          <w:b w:val="0"/>
          <w:i w:val="0"/>
          <w:sz w:val="21"/>
        </w:rPr>
        <w:t>Payment terms and delivery schedule to be agreed separately. Completion of each deliverable constitutes Knutsen's assignment of that work product to the Company pursuant to Section 3.2.</w:t>
      </w:r>
    </w:p>
    <w:p>
      <w:pPr>
        <w:spacing w:before="160"/>
      </w:pPr>
      <w:r>
        <w:rPr>
          <w:rFonts w:ascii="Calibri" w:hAnsi="Calibri"/>
          <w:b w:val="0"/>
          <w:i w:val="0"/>
          <w:sz w:val="21"/>
        </w:rPr>
        <w:t>Initials (Knutsen): _______   Date: _______</w:t>
      </w:r>
    </w:p>
    <w:p>
      <w:pPr>
        <w:spacing w:before="80"/>
      </w:pPr>
      <w:r>
        <w:rPr>
          <w:rFonts w:ascii="Calibri" w:hAnsi="Calibri"/>
          <w:b w:val="0"/>
          <w:i w:val="0"/>
          <w:sz w:val="21"/>
        </w:rPr>
        <w:t>Initials (Leavenworth): _______   Date: _______</w:t>
      </w:r>
    </w:p>
    <w:p>
      <w:pPr>
        <w:spacing w:before="40" w:after="40"/>
      </w:pPr>
      <w:r>
        <w:rPr>
          <w:rFonts w:ascii="Calibri" w:hAnsi="Calibri"/>
          <w:b w:val="0"/>
          <w:i w:val="0"/>
          <w:color w:val="B4B4B4"/>
          <w:sz w:val="16"/>
        </w:rPr>
        <w:t>────────────────────────────────────────────────────────────────────────</w:t>
      </w:r>
    </w:p>
    <w:p>
      <w:pPr>
        <w:spacing w:before="240" w:after="80"/>
      </w:pPr>
      <w:r>
        <w:rPr>
          <w:rFonts w:ascii="Calibri" w:hAnsi="Calibri"/>
          <w:b/>
          <w:i w:val="0"/>
          <w:sz w:val="24"/>
        </w:rPr>
        <w:t>Summary of All Redlines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i w:val="0"/>
                <w:sz w:val="19"/>
              </w:rPr>
              <w:t>#</w:t>
            </w:r>
          </w:p>
        </w:tc>
        <w:tc>
          <w:tcPr>
            <w:tcW w:type="dxa" w:w="2160"/>
          </w:tcPr>
          <w:p>
            <w:r>
              <w:rPr>
                <w:rFonts w:ascii="Calibri" w:hAnsi="Calibri"/>
                <w:b/>
                <w:i w:val="0"/>
                <w:sz w:val="19"/>
              </w:rPr>
              <w:t>Section</w:t>
            </w:r>
          </w:p>
        </w:tc>
        <w:tc>
          <w:tcPr>
            <w:tcW w:type="dxa" w:w="2160"/>
          </w:tcPr>
          <w:p>
            <w:r>
              <w:rPr>
                <w:rFonts w:ascii="Calibri" w:hAnsi="Calibri"/>
                <w:b/>
                <w:i w:val="0"/>
                <w:sz w:val="19"/>
              </w:rPr>
              <w:t>Change</w:t>
            </w:r>
          </w:p>
        </w:tc>
        <w:tc>
          <w:tcPr>
            <w:tcW w:type="dxa" w:w="2160"/>
          </w:tcPr>
          <w:p>
            <w:r>
              <w:rPr>
                <w:rFonts w:ascii="Calibri" w:hAnsi="Calibri"/>
                <w:b/>
                <w:i w:val="0"/>
                <w:sz w:val="19"/>
              </w:rPr>
              <w:t>Risk Addressed</w:t>
            </w:r>
          </w:p>
        </w:tc>
      </w:tr>
      <w:tr>
        <w:tc>
          <w:tcPr>
            <w:tcW w:type="dxa" w:w="2160"/>
          </w:tcPr>
          <w:p>
            <w:r>
              <w:rPr>
                <w:rFonts w:ascii="Calibri" w:hAnsi="Calibri"/>
                <w:b w:val="0"/>
                <w:i w:val="0"/>
                <w:sz w:val="19"/>
              </w:rPr>
              <w:t>1</w:t>
            </w:r>
          </w:p>
        </w:tc>
        <w:tc>
          <w:tcPr>
            <w:tcW w:type="dxa" w:w="2160"/>
          </w:tcPr>
          <w:p>
            <w:r>
              <w:rPr>
                <w:rFonts w:ascii="Calibri" w:hAnsi="Calibri"/>
                <w:b w:val="0"/>
                <w:i w:val="0"/>
                <w:sz w:val="19"/>
              </w:rPr>
              <w:t>§1.1</w:t>
            </w:r>
          </w:p>
        </w:tc>
        <w:tc>
          <w:tcPr>
            <w:tcW w:type="dxa" w:w="2160"/>
          </w:tcPr>
          <w:p>
            <w:r>
              <w:rPr>
                <w:rFonts w:ascii="Calibri" w:hAnsi="Calibri"/>
                <w:b w:val="0"/>
                <w:i w:val="0"/>
                <w:sz w:val="19"/>
              </w:rPr>
              <w:t>Removed 'Discord channels' from CI definition; limited to Project Green comms</w:t>
            </w:r>
          </w:p>
        </w:tc>
        <w:tc>
          <w:tcPr>
            <w:tcW w:type="dxa" w:w="2160"/>
          </w:tcPr>
          <w:p>
            <w:r>
              <w:rPr>
                <w:rFonts w:ascii="Calibri" w:hAnsi="Calibri"/>
                <w:b w:val="0"/>
                <w:i w:val="0"/>
                <w:sz w:val="19"/>
              </w:rPr>
              <w:t>Overbroad CI capture</w:t>
            </w:r>
          </w:p>
        </w:tc>
      </w:tr>
      <w:tr>
        <w:tc>
          <w:tcPr>
            <w:tcW w:type="dxa" w:w="2160"/>
          </w:tcPr>
          <w:p>
            <w:r>
              <w:rPr>
                <w:rFonts w:ascii="Calibri" w:hAnsi="Calibri"/>
                <w:b w:val="0"/>
                <w:i w:val="0"/>
                <w:sz w:val="19"/>
              </w:rPr>
              <w:t>2</w:t>
            </w:r>
          </w:p>
        </w:tc>
        <w:tc>
          <w:tcPr>
            <w:tcW w:type="dxa" w:w="2160"/>
          </w:tcPr>
          <w:p>
            <w:r>
              <w:rPr>
                <w:rFonts w:ascii="Calibri" w:hAnsi="Calibri"/>
                <w:b w:val="0"/>
                <w:i w:val="0"/>
                <w:sz w:val="19"/>
              </w:rPr>
              <w:t>§2.2</w:t>
            </w:r>
          </w:p>
        </w:tc>
        <w:tc>
          <w:tcPr>
            <w:tcW w:type="dxa" w:w="2160"/>
          </w:tcPr>
          <w:p>
            <w:r>
              <w:rPr>
                <w:rFonts w:ascii="Calibri" w:hAnsi="Calibri"/>
                <w:b w:val="0"/>
                <w:i w:val="0"/>
                <w:sz w:val="19"/>
              </w:rPr>
              <w:t>Added employee/contractor/advisor permitted disclosure with written confidentiality requirement</w:t>
            </w:r>
          </w:p>
        </w:tc>
        <w:tc>
          <w:tcPr>
            <w:tcW w:type="dxa" w:w="2160"/>
          </w:tcPr>
          <w:p>
            <w:r>
              <w:rPr>
                <w:rFonts w:ascii="Calibri" w:hAnsi="Calibri"/>
                <w:b w:val="0"/>
                <w:i w:val="0"/>
                <w:sz w:val="19"/>
              </w:rPr>
              <w:t>Practically unworkable restriction</w:t>
            </w:r>
          </w:p>
        </w:tc>
      </w:tr>
      <w:tr>
        <w:tc>
          <w:tcPr>
            <w:tcW w:type="dxa" w:w="2160"/>
          </w:tcPr>
          <w:p>
            <w:r>
              <w:rPr>
                <w:rFonts w:ascii="Calibri" w:hAnsi="Calibri"/>
                <w:b w:val="0"/>
                <w:i w:val="0"/>
                <w:sz w:val="19"/>
              </w:rPr>
              <w:t>3</w:t>
            </w:r>
          </w:p>
        </w:tc>
        <w:tc>
          <w:tcPr>
            <w:tcW w:type="dxa" w:w="2160"/>
          </w:tcPr>
          <w:p>
            <w:r>
              <w:rPr>
                <w:rFonts w:ascii="Calibri" w:hAnsi="Calibri"/>
                <w:b w:val="0"/>
                <w:i w:val="0"/>
                <w:sz w:val="19"/>
              </w:rPr>
              <w:t>§2.6</w:t>
            </w:r>
          </w:p>
        </w:tc>
        <w:tc>
          <w:tcPr>
            <w:tcW w:type="dxa" w:w="2160"/>
          </w:tcPr>
          <w:p>
            <w:r>
              <w:rPr>
                <w:rFonts w:ascii="Calibri" w:hAnsi="Calibri"/>
                <w:b w:val="0"/>
                <w:i w:val="0"/>
                <w:sz w:val="19"/>
              </w:rPr>
              <w:t>5-year sunset on general CI; trade secrets remain perpetual</w:t>
            </w:r>
          </w:p>
        </w:tc>
        <w:tc>
          <w:tcPr>
            <w:tcW w:type="dxa" w:w="2160"/>
          </w:tcPr>
          <w:p>
            <w:r>
              <w:rPr>
                <w:rFonts w:ascii="Calibri" w:hAnsi="Calibri"/>
                <w:b w:val="0"/>
                <w:i w:val="0"/>
                <w:sz w:val="19"/>
              </w:rPr>
              <w:t>Indefinite CI legally aggressive / potentially unenforceable</w:t>
            </w:r>
          </w:p>
        </w:tc>
      </w:tr>
      <w:tr>
        <w:tc>
          <w:tcPr>
            <w:tcW w:type="dxa" w:w="2160"/>
          </w:tcPr>
          <w:p>
            <w:r>
              <w:rPr>
                <w:rFonts w:ascii="Calibri" w:hAnsi="Calibri"/>
                <w:b w:val="0"/>
                <w:i w:val="0"/>
                <w:sz w:val="19"/>
              </w:rPr>
              <w:t>4</w:t>
            </w:r>
          </w:p>
        </w:tc>
        <w:tc>
          <w:tcPr>
            <w:tcW w:type="dxa" w:w="2160"/>
          </w:tcPr>
          <w:p>
            <w:r>
              <w:rPr>
                <w:rFonts w:ascii="Calibri" w:hAnsi="Calibri"/>
                <w:b w:val="0"/>
                <w:i w:val="0"/>
                <w:sz w:val="19"/>
              </w:rPr>
              <w:t>§3.1 — License</w:t>
            </w:r>
          </w:p>
        </w:tc>
        <w:tc>
          <w:tcPr>
            <w:tcW w:type="dxa" w:w="2160"/>
          </w:tcPr>
          <w:p>
            <w:r>
              <w:rPr>
                <w:rFonts w:ascii="Calibri" w:hAnsi="Calibri"/>
                <w:b w:val="0"/>
                <w:i w:val="0"/>
                <w:sz w:val="19"/>
              </w:rPr>
              <w:t>Removed 'perpetual, irrevocable'; terminable on material breach; customer carve-out</w:t>
            </w:r>
          </w:p>
        </w:tc>
        <w:tc>
          <w:tcPr>
            <w:tcW w:type="dxa" w:w="2160"/>
          </w:tcPr>
          <w:p>
            <w:r>
              <w:rPr>
                <w:rFonts w:ascii="Calibri" w:hAnsi="Calibri"/>
                <w:b w:val="0"/>
                <w:i w:val="0"/>
                <w:sz w:val="19"/>
              </w:rPr>
              <w:t>Irrevocable license even if Company breaches</w:t>
            </w:r>
          </w:p>
        </w:tc>
      </w:tr>
      <w:tr>
        <w:tc>
          <w:tcPr>
            <w:tcW w:type="dxa" w:w="2160"/>
          </w:tcPr>
          <w:p>
            <w:r>
              <w:rPr>
                <w:rFonts w:ascii="Calibri" w:hAnsi="Calibri"/>
                <w:b w:val="0"/>
                <w:i w:val="0"/>
                <w:sz w:val="19"/>
              </w:rPr>
              <w:t>5</w:t>
            </w:r>
          </w:p>
        </w:tc>
        <w:tc>
          <w:tcPr>
            <w:tcW w:type="dxa" w:w="2160"/>
          </w:tcPr>
          <w:p>
            <w:r>
              <w:rPr>
                <w:rFonts w:ascii="Calibri" w:hAnsi="Calibri"/>
                <w:b w:val="0"/>
                <w:i w:val="0"/>
                <w:sz w:val="19"/>
              </w:rPr>
              <w:t>§3.1 — Presumption</w:t>
            </w:r>
          </w:p>
        </w:tc>
        <w:tc>
          <w:tcPr>
            <w:tcW w:type="dxa" w:w="2160"/>
          </w:tcPr>
          <w:p>
            <w:r>
              <w:rPr>
                <w:rFonts w:ascii="Calibri" w:hAnsi="Calibri"/>
                <w:b w:val="0"/>
                <w:i w:val="0"/>
                <w:sz w:val="19"/>
              </w:rPr>
              <w:t>Replaced 'relevant to Company's business' with Exhibit C-scoped assignment presumption</w:t>
            </w:r>
          </w:p>
        </w:tc>
        <w:tc>
          <w:tcPr>
            <w:tcW w:type="dxa" w:w="2160"/>
          </w:tcPr>
          <w:p>
            <w:r>
              <w:rPr>
                <w:rFonts w:ascii="Calibri" w:hAnsi="Calibri"/>
                <w:b w:val="0"/>
                <w:i w:val="0"/>
                <w:sz w:val="19"/>
              </w:rPr>
              <w:t>'Relevant to business' sweeps in independent work</w:t>
            </w:r>
          </w:p>
        </w:tc>
      </w:tr>
      <w:tr>
        <w:tc>
          <w:tcPr>
            <w:tcW w:type="dxa" w:w="2160"/>
          </w:tcPr>
          <w:p>
            <w:r>
              <w:rPr>
                <w:rFonts w:ascii="Calibri" w:hAnsi="Calibri"/>
                <w:b w:val="0"/>
                <w:i w:val="0"/>
                <w:sz w:val="19"/>
              </w:rPr>
              <w:t>6</w:t>
            </w:r>
          </w:p>
        </w:tc>
        <w:tc>
          <w:tcPr>
            <w:tcW w:type="dxa" w:w="2160"/>
          </w:tcPr>
          <w:p>
            <w:r>
              <w:rPr>
                <w:rFonts w:ascii="Calibri" w:hAnsi="Calibri"/>
                <w:b w:val="0"/>
                <w:i w:val="0"/>
                <w:sz w:val="19"/>
              </w:rPr>
              <w:t>§3.2</w:t>
            </w:r>
          </w:p>
        </w:tc>
        <w:tc>
          <w:tcPr>
            <w:tcW w:type="dxa" w:w="2160"/>
          </w:tcPr>
          <w:p>
            <w:r>
              <w:rPr>
                <w:rFonts w:ascii="Calibri" w:hAnsi="Calibri"/>
                <w:b w:val="0"/>
                <w:i w:val="0"/>
                <w:sz w:val="19"/>
              </w:rPr>
              <w:t>Removed 'conceived'; added written direction + tangible delivery; personal time carve-out</w:t>
            </w:r>
          </w:p>
        </w:tc>
        <w:tc>
          <w:tcPr>
            <w:tcW w:type="dxa" w:w="2160"/>
          </w:tcPr>
          <w:p>
            <w:r>
              <w:rPr>
                <w:rFonts w:ascii="Calibri" w:hAnsi="Calibri"/>
                <w:b w:val="0"/>
                <w:i w:val="0"/>
                <w:sz w:val="19"/>
              </w:rPr>
              <w:t>Idea capture; independent work exposure</w:t>
            </w:r>
          </w:p>
        </w:tc>
      </w:tr>
      <w:tr>
        <w:tc>
          <w:tcPr>
            <w:tcW w:type="dxa" w:w="2160"/>
          </w:tcPr>
          <w:p>
            <w:r>
              <w:rPr>
                <w:rFonts w:ascii="Calibri" w:hAnsi="Calibri"/>
                <w:b w:val="0"/>
                <w:i w:val="0"/>
                <w:sz w:val="19"/>
              </w:rPr>
              <w:t>7</w:t>
            </w:r>
          </w:p>
        </w:tc>
        <w:tc>
          <w:tcPr>
            <w:tcW w:type="dxa" w:w="2160"/>
          </w:tcPr>
          <w:p>
            <w:r>
              <w:rPr>
                <w:rFonts w:ascii="Calibri" w:hAnsi="Calibri"/>
                <w:b w:val="0"/>
                <w:i w:val="0"/>
                <w:sz w:val="19"/>
              </w:rPr>
              <w:t>§3.4</w:t>
            </w:r>
          </w:p>
        </w:tc>
        <w:tc>
          <w:tcPr>
            <w:tcW w:type="dxa" w:w="2160"/>
          </w:tcPr>
          <w:p>
            <w:r>
              <w:rPr>
                <w:rFonts w:ascii="Calibri" w:hAnsi="Calibri"/>
                <w:b w:val="0"/>
                <w:i w:val="0"/>
                <w:sz w:val="19"/>
              </w:rPr>
              <w:t>Attorney-in-fact scoped to Exhibit C IP only; explicit Exhibit A exclusion</w:t>
            </w:r>
          </w:p>
        </w:tc>
        <w:tc>
          <w:tcPr>
            <w:tcW w:type="dxa" w:w="2160"/>
          </w:tcPr>
          <w:p>
            <w:r>
              <w:rPr>
                <w:rFonts w:ascii="Calibri" w:hAnsi="Calibri"/>
                <w:b w:val="0"/>
                <w:i w:val="0"/>
                <w:sz w:val="19"/>
              </w:rPr>
              <w:t>Unlimited power of attorney on all IP</w:t>
            </w:r>
          </w:p>
        </w:tc>
      </w:tr>
      <w:tr>
        <w:tc>
          <w:tcPr>
            <w:tcW w:type="dxa" w:w="2160"/>
          </w:tcPr>
          <w:p>
            <w:r>
              <w:rPr>
                <w:rFonts w:ascii="Calibri" w:hAnsi="Calibri"/>
                <w:b w:val="0"/>
                <w:i w:val="0"/>
                <w:sz w:val="19"/>
              </w:rPr>
              <w:t>8</w:t>
            </w:r>
          </w:p>
        </w:tc>
        <w:tc>
          <w:tcPr>
            <w:tcW w:type="dxa" w:w="2160"/>
          </w:tcPr>
          <w:p>
            <w:r>
              <w:rPr>
                <w:rFonts w:ascii="Calibri" w:hAnsi="Calibri"/>
                <w:b w:val="0"/>
                <w:i w:val="0"/>
                <w:sz w:val="19"/>
              </w:rPr>
              <w:t>§3.8 — New</w:t>
            </w:r>
          </w:p>
        </w:tc>
        <w:tc>
          <w:tcPr>
            <w:tcW w:type="dxa" w:w="2160"/>
          </w:tcPr>
          <w:p>
            <w:r>
              <w:rPr>
                <w:rFonts w:ascii="Calibri" w:hAnsi="Calibri"/>
                <w:b w:val="0"/>
                <w:i w:val="0"/>
                <w:sz w:val="19"/>
              </w:rPr>
              <w:t>Additional IP contributions require separate written compensation</w:t>
            </w:r>
          </w:p>
        </w:tc>
        <w:tc>
          <w:tcPr>
            <w:tcW w:type="dxa" w:w="2160"/>
          </w:tcPr>
          <w:p>
            <w:r>
              <w:rPr>
                <w:rFonts w:ascii="Calibri" w:hAnsi="Calibri"/>
                <w:b w:val="0"/>
                <w:i w:val="0"/>
                <w:sz w:val="19"/>
              </w:rPr>
              <w:t>Revenue share treated as blank IP assignment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