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63C2" w:rsidRDefault="00FF63C2" w:rsidP="00197F27">
      <w:pPr>
        <w:rPr>
          <w:lang w:val="pl-PL"/>
        </w:rPr>
      </w:pPr>
      <w:r>
        <w:rPr>
          <w:lang w:val="pl-PL"/>
        </w:rPr>
        <w:t>Maksymilian Jung 148378                                                                                                                                      Data: 11.01.</w:t>
      </w:r>
      <w:r w:rsidR="0084798B">
        <w:rPr>
          <w:lang w:val="pl-PL"/>
        </w:rPr>
        <w:t>20</w:t>
      </w:r>
      <w:r>
        <w:rPr>
          <w:lang w:val="pl-PL"/>
        </w:rPr>
        <w:t>23</w:t>
      </w:r>
    </w:p>
    <w:p w:rsidR="00FF63C2" w:rsidRPr="00A83414" w:rsidRDefault="00FF63C2" w:rsidP="00A83414">
      <w:pPr>
        <w:rPr>
          <w:lang w:val="pl-PL"/>
        </w:rPr>
      </w:pPr>
      <w:r>
        <w:rPr>
          <w:lang w:val="pl-PL"/>
        </w:rPr>
        <w:t>Mateusz Tychowski 150257</w:t>
      </w:r>
      <w:r w:rsidR="00197F27">
        <w:rPr>
          <w:lang w:val="pl-PL"/>
        </w:rPr>
        <w:tab/>
      </w:r>
      <w:r w:rsidR="00197F27">
        <w:rPr>
          <w:lang w:val="pl-PL"/>
        </w:rPr>
        <w:tab/>
      </w:r>
      <w:r w:rsidR="00197F27">
        <w:rPr>
          <w:lang w:val="pl-PL"/>
        </w:rPr>
        <w:tab/>
      </w:r>
      <w:r w:rsidR="00197F27">
        <w:rPr>
          <w:lang w:val="pl-PL"/>
        </w:rPr>
        <w:tab/>
      </w:r>
      <w:r w:rsidR="00197F27">
        <w:rPr>
          <w:lang w:val="pl-PL"/>
        </w:rPr>
        <w:tab/>
      </w:r>
      <w:r w:rsidR="00197F27">
        <w:rPr>
          <w:lang w:val="pl-PL"/>
        </w:rPr>
        <w:tab/>
      </w:r>
      <w:r w:rsidR="00197F27">
        <w:rPr>
          <w:lang w:val="pl-PL"/>
        </w:rPr>
        <w:tab/>
      </w:r>
      <w:r w:rsidR="00197F27">
        <w:rPr>
          <w:lang w:val="pl-PL"/>
        </w:rPr>
        <w:tab/>
        <w:t xml:space="preserve"> </w:t>
      </w:r>
    </w:p>
    <w:p w:rsidR="00E27143" w:rsidRPr="00197F27" w:rsidRDefault="00197F27" w:rsidP="00197F27">
      <w:pPr>
        <w:ind w:left="1440" w:firstLine="720"/>
        <w:rPr>
          <w:b/>
          <w:lang w:val="pl-PL"/>
        </w:rPr>
      </w:pPr>
      <w:r w:rsidRPr="00197F27">
        <w:rPr>
          <w:b/>
          <w:lang w:val="pl-PL"/>
        </w:rPr>
        <w:t>Sprawozdanie: “</w:t>
      </w:r>
      <w:r w:rsidR="00022E04" w:rsidRPr="00022E04">
        <w:rPr>
          <w:b/>
          <w:lang w:val="pl-PL"/>
        </w:rPr>
        <w:t>Kalibracja empirycznego modelu propagacyjnego</w:t>
      </w:r>
      <w:r w:rsidRPr="00197F27">
        <w:rPr>
          <w:b/>
          <w:lang w:val="pl-PL"/>
        </w:rPr>
        <w:t>”</w:t>
      </w:r>
    </w:p>
    <w:p w:rsidR="00197F27" w:rsidRDefault="00022E04" w:rsidP="00022E04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Parametry pomiaru:</w:t>
      </w:r>
    </w:p>
    <w:p w:rsidR="00022E04" w:rsidRDefault="00022E04" w:rsidP="00022E04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Częstotliwość sygnału:</w:t>
      </w:r>
      <w:r w:rsidR="00FF63C2">
        <w:rPr>
          <w:lang w:val="pl-PL"/>
        </w:rPr>
        <w:t xml:space="preserve"> 546.775MHz</w:t>
      </w:r>
    </w:p>
    <w:p w:rsidR="00022E04" w:rsidRDefault="00022E04" w:rsidP="00022E04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Poziom szumu (dBm/RBW):</w:t>
      </w:r>
      <w:r w:rsidR="00FF63C2">
        <w:rPr>
          <w:lang w:val="pl-PL"/>
        </w:rPr>
        <w:t xml:space="preserve">  -105dBm</w:t>
      </w:r>
    </w:p>
    <w:p w:rsidR="00022E04" w:rsidRDefault="00022E04" w:rsidP="00022E04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Progowa moc odbierana (powyżej której pomiar uznawany jest za wiarygodny):</w:t>
      </w:r>
      <w:r w:rsidR="00FF63C2">
        <w:rPr>
          <w:lang w:val="pl-PL"/>
        </w:rPr>
        <w:t xml:space="preserve"> -22.14dBm</w:t>
      </w:r>
    </w:p>
    <w:p w:rsidR="00022E04" w:rsidRDefault="00022E04" w:rsidP="00022E04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Położenie odbiornika na siatce (x0,y0) w m:</w:t>
      </w:r>
      <w:r w:rsidR="00FF63C2">
        <w:rPr>
          <w:lang w:val="pl-PL"/>
        </w:rPr>
        <w:t xml:space="preserve"> x</w:t>
      </w:r>
      <w:r w:rsidR="002B6761">
        <w:rPr>
          <w:vertAlign w:val="subscript"/>
          <w:lang w:val="pl-PL"/>
        </w:rPr>
        <w:t>0</w:t>
      </w:r>
      <w:r w:rsidR="00FF63C2">
        <w:rPr>
          <w:lang w:val="pl-PL"/>
        </w:rPr>
        <w:t xml:space="preserve"> = 29, y</w:t>
      </w:r>
      <w:r w:rsidR="002B6761">
        <w:rPr>
          <w:vertAlign w:val="subscript"/>
          <w:lang w:val="pl-PL"/>
        </w:rPr>
        <w:t>0</w:t>
      </w:r>
      <w:r w:rsidR="00FF63C2">
        <w:rPr>
          <w:lang w:val="pl-PL"/>
        </w:rPr>
        <w:t xml:space="preserve"> = 17</w:t>
      </w:r>
    </w:p>
    <w:p w:rsidR="00022E04" w:rsidRDefault="00022E04" w:rsidP="00022E04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Położenie odbiornika (piętro):</w:t>
      </w:r>
      <w:r w:rsidR="00FF63C2">
        <w:rPr>
          <w:lang w:val="pl-PL"/>
        </w:rPr>
        <w:t xml:space="preserve"> 0</w:t>
      </w:r>
    </w:p>
    <w:p w:rsidR="00022E04" w:rsidRDefault="00022E04" w:rsidP="00022E04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Wysokość jednej kondygnacji (m):</w:t>
      </w:r>
      <w:r w:rsidR="00FF63C2">
        <w:rPr>
          <w:lang w:val="pl-PL"/>
        </w:rPr>
        <w:t xml:space="preserve"> 4m</w:t>
      </w:r>
    </w:p>
    <w:p w:rsidR="00022E04" w:rsidRDefault="00022E04" w:rsidP="00022E04">
      <w:pPr>
        <w:pStyle w:val="Akapitzlist"/>
        <w:ind w:left="1440"/>
        <w:rPr>
          <w:lang w:val="pl-PL"/>
        </w:rPr>
      </w:pPr>
    </w:p>
    <w:p w:rsidR="00022E04" w:rsidRDefault="00022E04" w:rsidP="00022E04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Wyniki pomiarów:</w:t>
      </w:r>
    </w:p>
    <w:tbl>
      <w:tblPr>
        <w:tblW w:w="51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300"/>
      </w:tblGrid>
      <w:tr w:rsidR="00FF63C2" w:rsidRPr="00FF63C2" w:rsidTr="003D1541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  <w:t>Y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  <w:t>di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  <w:t>ni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b/>
                <w:bCs/>
                <w:color w:val="FFFFFF"/>
                <w:lang w:val="pl-PL" w:eastAsia="pl-PL"/>
              </w:rPr>
              <w:t>PRX [dBm]</w:t>
            </w:r>
          </w:p>
        </w:tc>
      </w:tr>
      <w:tr w:rsidR="00A83414" w:rsidRPr="00FF63C2" w:rsidTr="00FB1DB3">
        <w:trPr>
          <w:trHeight w:val="300"/>
        </w:trPr>
        <w:tc>
          <w:tcPr>
            <w:tcW w:w="51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</w:tcPr>
          <w:p w:rsidR="00A83414" w:rsidRPr="00FF63C2" w:rsidRDefault="00A83414" w:rsidP="00A83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val="pl-PL" w:eastAsia="pl-PL"/>
              </w:rPr>
              <w:t>Parter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28,16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-76,5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23,19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22,09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23,54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-92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19,24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19,1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14,56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14,32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10,77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6,4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-46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5,83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-34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-39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6,71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-57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10,3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-49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13,04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26,08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19,24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-67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14,14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22,36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17,89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-57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22,36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25,55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26,25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27,59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29,07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33,02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-78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47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36,06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35,36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lastRenderedPageBreak/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42,54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-96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46,52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-92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47,18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-90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43,57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40,02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36,84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val="pl-PL" w:eastAsia="pl-PL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39,15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32,45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30,87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30,68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27,87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-64</w:t>
            </w:r>
          </w:p>
        </w:tc>
      </w:tr>
      <w:tr w:rsidR="00A83414" w:rsidRPr="00FF63C2" w:rsidTr="00862C88">
        <w:trPr>
          <w:trHeight w:val="300"/>
        </w:trPr>
        <w:tc>
          <w:tcPr>
            <w:tcW w:w="51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83414" w:rsidRPr="00FF63C2" w:rsidRDefault="00A83414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val="pl-PL" w:eastAsia="pl-PL"/>
              </w:rPr>
              <w:t>Piętro2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27,31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23,66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-67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24,68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22,91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20,78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17,03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12,08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9,38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7,81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6,4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-57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7,55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9,43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12,08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13,93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16,76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18,55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20,49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23,43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24,52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24,43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24,43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20,71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19,8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18,33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-67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16,61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14,18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12,37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9,64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-59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8,94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9,8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lastRenderedPageBreak/>
              <w:t>22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12,73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17,58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A83414" w:rsidRPr="00FF63C2" w:rsidTr="00536416">
        <w:trPr>
          <w:trHeight w:val="300"/>
        </w:trPr>
        <w:tc>
          <w:tcPr>
            <w:tcW w:w="51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83414" w:rsidRPr="00FF63C2" w:rsidRDefault="00A83414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val="pl-PL" w:eastAsia="pl-PL"/>
              </w:rPr>
              <w:t>Pietro1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14,18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23,85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28,65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28,44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-71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21,56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-78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21,91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23,35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25,16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26,83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-64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28,72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30,79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-76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-72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33,76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-65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36,12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-69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39,41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-73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54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42,81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-80</w:t>
            </w:r>
          </w:p>
        </w:tc>
      </w:tr>
      <w:tr w:rsidR="00FF63C2" w:rsidRPr="00FF63C2" w:rsidTr="00411B6B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60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47,69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F63C2" w:rsidRPr="00FF63C2" w:rsidRDefault="00FF63C2" w:rsidP="003D1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 w:eastAsia="pl-PL"/>
              </w:rPr>
            </w:pPr>
            <w:r w:rsidRPr="00FF63C2">
              <w:rPr>
                <w:rFonts w:ascii="Calibri" w:eastAsia="Times New Roman" w:hAnsi="Calibri" w:cs="Calibri"/>
                <w:color w:val="000000"/>
                <w:lang w:val="pl-PL" w:eastAsia="pl-PL"/>
              </w:rPr>
              <w:t>-79</w:t>
            </w:r>
          </w:p>
        </w:tc>
      </w:tr>
    </w:tbl>
    <w:p w:rsidR="002B6761" w:rsidRDefault="002B6761" w:rsidP="002B6761">
      <w:pPr>
        <w:pStyle w:val="Akapitzlist"/>
        <w:rPr>
          <w:lang w:val="pl-PL"/>
        </w:rPr>
      </w:pPr>
    </w:p>
    <w:p w:rsidR="00022E04" w:rsidRDefault="002B6761" w:rsidP="002836EE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E</w:t>
      </w:r>
      <w:r w:rsidR="002836EE">
        <w:rPr>
          <w:lang w:val="pl-PL"/>
        </w:rPr>
        <w:t>stymowane parametry modelu propagacyjnego</w:t>
      </w:r>
    </w:p>
    <w:p w:rsidR="002836EE" w:rsidRPr="00B87542" w:rsidRDefault="00B87542" w:rsidP="00B87542">
      <w:pPr>
        <w:ind w:left="360"/>
        <w:rPr>
          <w:lang w:val="pl-PL"/>
        </w:rPr>
      </w:pPr>
      <w:r>
        <w:rPr>
          <w:noProof/>
        </w:rPr>
        <w:drawing>
          <wp:inline distT="0" distB="0" distL="0" distR="0">
            <wp:extent cx="6286500" cy="31242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542" w:rsidRDefault="002836EE" w:rsidP="00B87542">
      <w:pPr>
        <w:rPr>
          <w:rFonts w:ascii="Calibri" w:eastAsia="Times New Roman" w:hAnsi="Calibri" w:cs="Calibri"/>
          <w:color w:val="000000"/>
          <w:lang w:val="pl-PL" w:eastAsia="pl-PL"/>
        </w:rPr>
      </w:pPr>
      <w:r>
        <w:rPr>
          <w:lang w:val="pl-PL"/>
        </w:rPr>
        <w:t>A=</w:t>
      </w:r>
      <w:r w:rsidR="00FF63C2">
        <w:rPr>
          <w:lang w:val="pl-PL"/>
        </w:rPr>
        <w:t xml:space="preserve"> </w:t>
      </w:r>
      <w:r w:rsidR="00B87542" w:rsidRPr="00B87542">
        <w:rPr>
          <w:rFonts w:ascii="Calibri" w:eastAsia="Times New Roman" w:hAnsi="Calibri" w:cs="Calibri"/>
          <w:color w:val="000000"/>
          <w:lang w:val="pl-PL" w:eastAsia="pl-PL"/>
        </w:rPr>
        <w:t>-22,94</w:t>
      </w:r>
    </w:p>
    <w:p w:rsidR="00A83414" w:rsidRDefault="002836EE" w:rsidP="00B87542">
      <w:pPr>
        <w:rPr>
          <w:rFonts w:ascii="Calibri" w:eastAsia="Times New Roman" w:hAnsi="Calibri" w:cs="Calibri"/>
          <w:color w:val="000000"/>
          <w:lang w:val="pl-PL" w:eastAsia="pl-PL"/>
        </w:rPr>
      </w:pPr>
      <m:oMath>
        <m:r>
          <w:rPr>
            <w:rFonts w:ascii="Cambria Math" w:hAnsi="Cambria Math"/>
            <w:lang w:val="pl-PL"/>
          </w:rPr>
          <m:t>γ=</m:t>
        </m:r>
      </m:oMath>
      <w:r w:rsidR="003D1541">
        <w:rPr>
          <w:rFonts w:eastAsiaTheme="minorEastAsia"/>
          <w:lang w:val="pl-PL"/>
        </w:rPr>
        <w:t xml:space="preserve"> </w:t>
      </w:r>
      <w:r w:rsidR="00B87542" w:rsidRPr="00B87542">
        <w:rPr>
          <w:rFonts w:ascii="Calibri" w:eastAsia="Times New Roman" w:hAnsi="Calibri" w:cs="Calibri"/>
          <w:color w:val="000000"/>
          <w:lang w:val="pl-PL" w:eastAsia="pl-PL"/>
        </w:rPr>
        <w:t>34,32</w:t>
      </w:r>
    </w:p>
    <w:p w:rsidR="00B87542" w:rsidRPr="00B87542" w:rsidRDefault="002836EE" w:rsidP="00B87542">
      <w:pPr>
        <w:rPr>
          <w:rFonts w:ascii="Calibri" w:eastAsia="Times New Roman" w:hAnsi="Calibri" w:cs="Calibri"/>
          <w:color w:val="000000"/>
          <w:lang w:val="pl-PL" w:eastAsia="pl-PL"/>
        </w:rPr>
      </w:pPr>
      <m:oMath>
        <m:r>
          <w:rPr>
            <w:rFonts w:ascii="Cambria Math" w:hAnsi="Cambria Math"/>
            <w:lang w:val="pl-PL"/>
          </w:rPr>
          <m:t>∆L=</m:t>
        </m:r>
      </m:oMath>
      <w:r w:rsidR="00B87542" w:rsidRPr="00B87542">
        <w:rPr>
          <w:rFonts w:eastAsiaTheme="minorEastAsia"/>
          <w:lang w:val="pl-PL"/>
        </w:rPr>
        <w:t xml:space="preserve"> </w:t>
      </w:r>
      <w:r w:rsidR="00B87542" w:rsidRPr="00B87542">
        <w:rPr>
          <w:rFonts w:ascii="Calibri" w:eastAsia="Times New Roman" w:hAnsi="Calibri" w:cs="Calibri"/>
          <w:color w:val="000000"/>
          <w:lang w:val="pl-PL" w:eastAsia="pl-PL"/>
        </w:rPr>
        <w:t>1,4058</w:t>
      </w:r>
    </w:p>
    <w:p w:rsidR="002836EE" w:rsidRDefault="002836EE" w:rsidP="002836EE">
      <w:pPr>
        <w:pStyle w:val="Akapitzlist"/>
        <w:rPr>
          <w:rFonts w:eastAsiaTheme="minorEastAsia"/>
          <w:lang w:val="pl-PL"/>
        </w:rPr>
      </w:pPr>
    </w:p>
    <w:p w:rsidR="002836EE" w:rsidRDefault="002836EE" w:rsidP="002836EE">
      <w:pPr>
        <w:pStyle w:val="Akapitzlist"/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>Parametr</w:t>
      </w:r>
      <w:r w:rsidR="00B87542">
        <w:rPr>
          <w:rFonts w:eastAsiaTheme="minorEastAsia"/>
          <w:lang w:val="pl-PL"/>
        </w:rPr>
        <w:t xml:space="preserve"> </w:t>
      </w:r>
      <m:oMath>
        <m:r>
          <w:rPr>
            <w:rFonts w:ascii="Cambria Math" w:hAnsi="Cambria Math"/>
            <w:lang w:val="pl-PL"/>
          </w:rPr>
          <m:t>γ</m:t>
        </m:r>
      </m:oMath>
      <w:r>
        <w:rPr>
          <w:rFonts w:eastAsiaTheme="minorEastAsia"/>
          <w:lang w:val="pl-PL"/>
        </w:rPr>
        <w:t xml:space="preserve"> zbliżone do wartości</w:t>
      </w:r>
      <w:r w:rsidR="00B87542">
        <w:rPr>
          <w:rFonts w:eastAsiaTheme="minorEastAsia"/>
          <w:lang w:val="pl-PL"/>
        </w:rPr>
        <w:t xml:space="preserve"> </w:t>
      </w:r>
      <m:oMath>
        <m:r>
          <w:rPr>
            <w:rFonts w:ascii="Cambria Math" w:hAnsi="Cambria Math"/>
            <w:lang w:val="pl-PL"/>
          </w:rPr>
          <m:t>γ</m:t>
        </m:r>
      </m:oMath>
      <w:r w:rsidR="00B87542">
        <w:rPr>
          <w:rFonts w:eastAsiaTheme="minorEastAsia"/>
          <w:lang w:val="pl-PL"/>
        </w:rPr>
        <w:t xml:space="preserve"> </w:t>
      </w:r>
      <w:r>
        <w:rPr>
          <w:rFonts w:eastAsiaTheme="minorEastAsia"/>
          <w:lang w:val="pl-PL"/>
        </w:rPr>
        <w:t xml:space="preserve">dla środowiska </w:t>
      </w:r>
      <w:r w:rsidR="00B87542">
        <w:rPr>
          <w:rFonts w:eastAsiaTheme="minorEastAsia"/>
          <w:lang w:val="pl-PL"/>
        </w:rPr>
        <w:t>Office</w:t>
      </w:r>
      <w:r>
        <w:rPr>
          <w:rFonts w:eastAsiaTheme="minorEastAsia"/>
          <w:lang w:val="pl-PL"/>
        </w:rPr>
        <w:t xml:space="preserve"> </w:t>
      </w:r>
      <w:r w:rsidR="00B87542">
        <w:rPr>
          <w:rFonts w:eastAsiaTheme="minorEastAsia"/>
          <w:lang w:val="pl-PL"/>
        </w:rPr>
        <w:t>w częstotliwości 0.9GHz</w:t>
      </w:r>
    </w:p>
    <w:p w:rsidR="002836EE" w:rsidRDefault="002836EE" w:rsidP="002836EE">
      <w:pPr>
        <w:pStyle w:val="Akapitzlist"/>
        <w:rPr>
          <w:rFonts w:eastAsiaTheme="minorEastAsia"/>
          <w:lang w:val="pl-PL"/>
        </w:rPr>
      </w:pPr>
    </w:p>
    <w:p w:rsidR="002836EE" w:rsidRDefault="002836EE" w:rsidP="002836EE">
      <w:pPr>
        <w:pStyle w:val="Akapitzlist"/>
        <w:rPr>
          <w:lang w:val="pl-PL"/>
        </w:rPr>
      </w:pPr>
      <w:r>
        <w:rPr>
          <w:rFonts w:eastAsiaTheme="minorEastAsia"/>
          <w:lang w:val="pl-PL"/>
        </w:rPr>
        <w:t xml:space="preserve">Wykres wartości mocy odebranej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 w:rsidRPr="002836EE">
        <w:rPr>
          <w:rFonts w:eastAsiaTheme="minorEastAsia"/>
          <w:lang w:val="pl-PL"/>
        </w:rPr>
        <w:t xml:space="preserve"> (uzyskanych z użyciem </w:t>
      </w:r>
      <w:r>
        <w:rPr>
          <w:rFonts w:eastAsiaTheme="minorEastAsia"/>
          <w:lang w:val="pl-PL"/>
        </w:rPr>
        <w:t xml:space="preserve">estymowanych parametrów) </w:t>
      </w:r>
      <w:r>
        <w:rPr>
          <w:lang w:val="pl-PL"/>
        </w:rPr>
        <w:t>w funkcji wartości d</w:t>
      </w:r>
      <w:r w:rsidRPr="002836EE">
        <w:rPr>
          <w:vertAlign w:val="subscript"/>
          <w:lang w:val="pl-PL"/>
        </w:rPr>
        <w:t>i</w:t>
      </w:r>
      <w:r>
        <w:rPr>
          <w:lang w:val="pl-PL"/>
        </w:rPr>
        <w:t>.</w:t>
      </w:r>
      <w:r w:rsidR="00DE308D">
        <w:rPr>
          <w:lang w:val="pl-PL"/>
        </w:rPr>
        <w:t xml:space="preserve"> </w:t>
      </w:r>
      <w:r w:rsidRPr="00CD5471">
        <w:rPr>
          <w:b/>
          <w:lang w:val="pl-PL"/>
        </w:rPr>
        <w:t>Oś x w skali logarytmicznej</w:t>
      </w:r>
      <w:r>
        <w:rPr>
          <w:lang w:val="pl-PL"/>
        </w:rPr>
        <w:t>! Osobne serie (</w:t>
      </w:r>
      <w:r w:rsidR="00CD5471">
        <w:rPr>
          <w:lang w:val="pl-PL"/>
        </w:rPr>
        <w:t xml:space="preserve">np. </w:t>
      </w:r>
      <w:r>
        <w:rPr>
          <w:lang w:val="pl-PL"/>
        </w:rPr>
        <w:t>inne kolory) dla n</w:t>
      </w:r>
      <w:r w:rsidRPr="002836EE">
        <w:rPr>
          <w:vertAlign w:val="subscript"/>
          <w:lang w:val="pl-PL"/>
        </w:rPr>
        <w:t>i</w:t>
      </w:r>
      <w:r>
        <w:rPr>
          <w:lang w:val="pl-PL"/>
        </w:rPr>
        <w:t>=0, dla n</w:t>
      </w:r>
      <w:r w:rsidRPr="002836EE">
        <w:rPr>
          <w:vertAlign w:val="subscript"/>
          <w:lang w:val="pl-PL"/>
        </w:rPr>
        <w:t>i</w:t>
      </w:r>
      <w:r>
        <w:rPr>
          <w:lang w:val="pl-PL"/>
        </w:rPr>
        <w:t>=1 oraz n</w:t>
      </w:r>
      <w:r w:rsidRPr="002836EE">
        <w:rPr>
          <w:vertAlign w:val="subscript"/>
          <w:lang w:val="pl-PL"/>
        </w:rPr>
        <w:t>i</w:t>
      </w:r>
      <w:r>
        <w:rPr>
          <w:lang w:val="pl-PL"/>
        </w:rPr>
        <w:t>=2.</w:t>
      </w:r>
    </w:p>
    <w:p w:rsidR="002836EE" w:rsidRDefault="002836EE" w:rsidP="002836EE">
      <w:pPr>
        <w:pStyle w:val="Akapitzlist"/>
        <w:rPr>
          <w:lang w:val="pl-PL"/>
        </w:rPr>
      </w:pPr>
    </w:p>
    <w:p w:rsidR="002B6761" w:rsidRDefault="002B6761" w:rsidP="002836EE">
      <w:pPr>
        <w:pStyle w:val="Akapitzlist"/>
        <w:rPr>
          <w:lang w:val="pl-PL"/>
        </w:rPr>
      </w:pPr>
      <w:r>
        <w:rPr>
          <w:noProof/>
        </w:rPr>
        <w:drawing>
          <wp:inline distT="0" distB="0" distL="0" distR="0" wp14:anchorId="2517FC6E" wp14:editId="2358E070">
            <wp:extent cx="5884224" cy="2884170"/>
            <wp:effectExtent l="0" t="0" r="2540" b="11430"/>
            <wp:docPr id="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D131A199-8230-BCCB-7E64-A67E6F446D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836EE" w:rsidRDefault="002836EE" w:rsidP="002836EE">
      <w:pPr>
        <w:pStyle w:val="Akapitzlist"/>
        <w:rPr>
          <w:lang w:val="pl-PL"/>
        </w:rPr>
      </w:pPr>
      <w:r>
        <w:rPr>
          <w:lang w:val="pl-PL"/>
        </w:rPr>
        <w:t>Mapa punktów (x</w:t>
      </w:r>
      <w:r w:rsidRPr="002836EE">
        <w:rPr>
          <w:vertAlign w:val="subscript"/>
          <w:lang w:val="pl-PL"/>
        </w:rPr>
        <w:t>i</w:t>
      </w:r>
      <w:r>
        <w:rPr>
          <w:lang w:val="pl-PL"/>
        </w:rPr>
        <w:t>,y</w:t>
      </w:r>
      <w:r w:rsidRPr="002836EE">
        <w:rPr>
          <w:vertAlign w:val="subscript"/>
          <w:lang w:val="pl-PL"/>
        </w:rPr>
        <w:t>i</w:t>
      </w:r>
      <w:r>
        <w:rPr>
          <w:lang w:val="pl-PL"/>
        </w:rPr>
        <w:t>)</w:t>
      </w:r>
    </w:p>
    <w:p w:rsidR="002B6761" w:rsidRDefault="002B6761" w:rsidP="002836EE">
      <w:pPr>
        <w:pStyle w:val="Akapitzlist"/>
        <w:rPr>
          <w:lang w:val="pl-PL"/>
        </w:rPr>
      </w:pPr>
    </w:p>
    <w:p w:rsidR="002B6761" w:rsidRDefault="002B6761" w:rsidP="002836EE">
      <w:pPr>
        <w:pStyle w:val="Akapitzlist"/>
        <w:rPr>
          <w:lang w:val="pl-PL"/>
        </w:rPr>
      </w:pPr>
      <w:r>
        <w:rPr>
          <w:noProof/>
        </w:rPr>
        <w:drawing>
          <wp:inline distT="0" distB="0" distL="0" distR="0" wp14:anchorId="2097D5F5" wp14:editId="7178E37A">
            <wp:extent cx="4558290" cy="2743200"/>
            <wp:effectExtent l="0" t="0" r="13970" b="0"/>
            <wp:docPr id="3" name="Wykres 3">
              <a:extLst xmlns:a="http://schemas.openxmlformats.org/drawingml/2006/main">
                <a:ext uri="{FF2B5EF4-FFF2-40B4-BE49-F238E27FC236}">
                  <a16:creationId xmlns:a16="http://schemas.microsoft.com/office/drawing/2014/main" id="{5AF08389-2DDC-EFD6-5EDF-EE069AC99C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2836EE" w:rsidRDefault="002836EE" w:rsidP="002836EE">
      <w:pPr>
        <w:pStyle w:val="Akapitzlist"/>
        <w:rPr>
          <w:lang w:val="pl-PL"/>
        </w:rPr>
      </w:pPr>
    </w:p>
    <w:p w:rsidR="002836EE" w:rsidRDefault="002836EE" w:rsidP="002836EE">
      <w:pPr>
        <w:pStyle w:val="Akapitzlist"/>
        <w:rPr>
          <w:rFonts w:eastAsiaTheme="minorEastAsia"/>
          <w:lang w:val="pl-PL"/>
        </w:rPr>
      </w:pPr>
    </w:p>
    <w:p w:rsidR="002836EE" w:rsidRPr="002836EE" w:rsidRDefault="002836EE" w:rsidP="002836EE">
      <w:pPr>
        <w:pStyle w:val="Akapitzlist"/>
        <w:rPr>
          <w:rFonts w:eastAsiaTheme="minorEastAsia"/>
          <w:lang w:val="pl-PL"/>
        </w:rPr>
      </w:pPr>
    </w:p>
    <w:p w:rsidR="00CD5471" w:rsidRPr="00DC6D29" w:rsidRDefault="00CD5471" w:rsidP="00DC6D29">
      <w:pPr>
        <w:rPr>
          <w:rFonts w:ascii="Calibri" w:eastAsia="Times New Roman" w:hAnsi="Calibri" w:cs="Calibri"/>
          <w:color w:val="000000"/>
          <w:lang w:val="pl-PL" w:eastAsia="pl-PL"/>
        </w:rPr>
      </w:pPr>
      <w:r>
        <w:rPr>
          <w:lang w:val="pl-PL"/>
        </w:rPr>
        <w:t>Wartość średnia:</w:t>
      </w:r>
      <w:r w:rsidR="002B6761">
        <w:rPr>
          <w:lang w:val="pl-PL"/>
        </w:rPr>
        <w:t xml:space="preserve"> -4.5*e</w:t>
      </w:r>
      <w:r w:rsidR="002B6761">
        <w:rPr>
          <w:vertAlign w:val="superscript"/>
          <w:lang w:val="pl-PL"/>
        </w:rPr>
        <w:t>-6</w:t>
      </w:r>
      <w:r>
        <w:rPr>
          <w:lang w:val="pl-PL"/>
        </w:rPr>
        <w:t xml:space="preserve"> oraz odchylenie standardowe:</w:t>
      </w:r>
      <w:r w:rsidR="00DC6D29">
        <w:rPr>
          <w:lang w:val="pl-PL"/>
        </w:rPr>
        <w:t xml:space="preserve"> </w:t>
      </w:r>
      <w:r w:rsidR="00DC6D29" w:rsidRPr="00DC6D29">
        <w:rPr>
          <w:rFonts w:ascii="Calibri" w:eastAsia="Times New Roman" w:hAnsi="Calibri" w:cs="Calibri"/>
          <w:color w:val="000000"/>
          <w:lang w:val="pl-PL" w:eastAsia="pl-PL"/>
        </w:rPr>
        <w:t>6.9532</w:t>
      </w:r>
      <w:r w:rsidR="00DC6D29">
        <w:rPr>
          <w:rFonts w:ascii="Calibri" w:eastAsia="Times New Roman" w:hAnsi="Calibri" w:cs="Calibri"/>
          <w:color w:val="000000"/>
          <w:lang w:val="pl-PL" w:eastAsia="pl-PL"/>
        </w:rPr>
        <w:t xml:space="preserve"> </w:t>
      </w:r>
      <w:r w:rsidRPr="00DC6D29">
        <w:rPr>
          <w:lang w:val="pl-PL"/>
        </w:rPr>
        <w:t>dla różnicy między modelem i wartością pomiarów tzn. e</w:t>
      </w:r>
      <w:r w:rsidRPr="00DC6D29">
        <w:rPr>
          <w:vertAlign w:val="subscript"/>
          <w:lang w:val="pl-PL"/>
        </w:rPr>
        <w:t>i</w:t>
      </w:r>
      <w:r w:rsidRPr="00DC6D29">
        <w:rPr>
          <w:lang w:val="pl-PL"/>
        </w:rPr>
        <w:t>.</w:t>
      </w:r>
    </w:p>
    <w:p w:rsidR="00CD5471" w:rsidRDefault="00CD5471" w:rsidP="002836EE">
      <w:pPr>
        <w:pStyle w:val="Akapitzlist"/>
        <w:rPr>
          <w:lang w:val="pl-PL"/>
        </w:rPr>
      </w:pPr>
    </w:p>
    <w:p w:rsidR="00CD5471" w:rsidRDefault="00CD5471" w:rsidP="002836EE">
      <w:pPr>
        <w:pStyle w:val="Akapitzlist"/>
        <w:rPr>
          <w:lang w:val="pl-PL"/>
        </w:rPr>
      </w:pPr>
      <w:r>
        <w:rPr>
          <w:lang w:val="pl-PL"/>
        </w:rPr>
        <w:t>Czy wartości zbliżone do raportu ITU?</w:t>
      </w:r>
    </w:p>
    <w:p w:rsidR="0084798B" w:rsidRDefault="0084798B" w:rsidP="002836EE">
      <w:pPr>
        <w:pStyle w:val="Akapitzlist"/>
        <w:rPr>
          <w:lang w:val="pl-PL"/>
        </w:rPr>
      </w:pPr>
      <w:r>
        <w:rPr>
          <w:lang w:val="pl-PL"/>
        </w:rPr>
        <w:lastRenderedPageBreak/>
        <w:t>Mocno różnią się od tych podanych w ITU.</w:t>
      </w:r>
    </w:p>
    <w:p w:rsidR="00CD5471" w:rsidRDefault="00CD5471" w:rsidP="002836EE">
      <w:pPr>
        <w:pStyle w:val="Akapitzlist"/>
        <w:rPr>
          <w:lang w:val="pl-PL"/>
        </w:rPr>
      </w:pPr>
    </w:p>
    <w:p w:rsidR="00CD5471" w:rsidRDefault="00CD5471" w:rsidP="002836EE">
      <w:pPr>
        <w:pStyle w:val="Akapitzlist"/>
        <w:rPr>
          <w:lang w:val="pl-PL"/>
        </w:rPr>
      </w:pPr>
      <w:r>
        <w:rPr>
          <w:lang w:val="pl-PL"/>
        </w:rPr>
        <w:t>Histogram błędu (wartości e</w:t>
      </w:r>
      <w:r w:rsidRPr="00CD5471">
        <w:rPr>
          <w:vertAlign w:val="subscript"/>
          <w:lang w:val="pl-PL"/>
        </w:rPr>
        <w:t>i</w:t>
      </w:r>
      <w:r>
        <w:rPr>
          <w:lang w:val="pl-PL"/>
        </w:rPr>
        <w:t xml:space="preserve">) </w:t>
      </w:r>
    </w:p>
    <w:p w:rsidR="00CD5471" w:rsidRDefault="00CD5471" w:rsidP="002836EE">
      <w:pPr>
        <w:pStyle w:val="Akapitzlist"/>
        <w:rPr>
          <w:lang w:val="pl-PL"/>
        </w:rPr>
      </w:pPr>
    </w:p>
    <w:p w:rsidR="00CD5471" w:rsidRDefault="00DC6D29" w:rsidP="002836EE">
      <w:pPr>
        <w:pStyle w:val="Akapitzlist"/>
        <w:rPr>
          <w:lang w:val="pl-PL"/>
        </w:rPr>
      </w:pPr>
      <w:r>
        <w:rPr>
          <w:noProof/>
        </w:rPr>
        <w:drawing>
          <wp:inline distT="0" distB="0" distL="0" distR="0">
            <wp:extent cx="4246880" cy="3079750"/>
            <wp:effectExtent l="0" t="0" r="1270" b="635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471" w:rsidRDefault="00CD5471" w:rsidP="002836EE">
      <w:pPr>
        <w:pStyle w:val="Akapitzlist"/>
        <w:rPr>
          <w:lang w:val="pl-PL"/>
        </w:rPr>
      </w:pPr>
    </w:p>
    <w:p w:rsidR="00CD5471" w:rsidRDefault="00CD5471" w:rsidP="002836EE">
      <w:pPr>
        <w:pStyle w:val="Akapitzlist"/>
        <w:rPr>
          <w:lang w:val="pl-PL"/>
        </w:rPr>
      </w:pPr>
    </w:p>
    <w:p w:rsidR="00CD5471" w:rsidRDefault="00CD5471" w:rsidP="002836EE">
      <w:pPr>
        <w:pStyle w:val="Akapitzlist"/>
        <w:rPr>
          <w:lang w:val="pl-PL"/>
        </w:rPr>
      </w:pPr>
      <w:r>
        <w:rPr>
          <w:lang w:val="pl-PL"/>
        </w:rPr>
        <w:t>Czy można podejrzewać, że cieniowanie radi</w:t>
      </w:r>
      <w:r w:rsidR="00DC6D29">
        <w:rPr>
          <w:lang w:val="pl-PL"/>
        </w:rPr>
        <w:t>ow</w:t>
      </w:r>
      <w:r>
        <w:rPr>
          <w:lang w:val="pl-PL"/>
        </w:rPr>
        <w:t>e ma charakter logarytmiczno-normalny?</w:t>
      </w:r>
    </w:p>
    <w:p w:rsidR="00DC6D29" w:rsidRDefault="00DC6D29" w:rsidP="002836EE">
      <w:pPr>
        <w:pStyle w:val="Akapitzlist"/>
        <w:rPr>
          <w:lang w:val="pl-PL"/>
        </w:rPr>
      </w:pPr>
    </w:p>
    <w:p w:rsidR="00DC6D29" w:rsidRDefault="00DC6D29" w:rsidP="002836EE">
      <w:pPr>
        <w:pStyle w:val="Akapitzlist"/>
        <w:rPr>
          <w:lang w:val="pl-PL"/>
        </w:rPr>
      </w:pPr>
      <w:r>
        <w:rPr>
          <w:lang w:val="pl-PL"/>
        </w:rPr>
        <w:t>Widać że histogram jest bardzo zbliżony do</w:t>
      </w:r>
      <w:r w:rsidR="0084798B">
        <w:rPr>
          <w:lang w:val="pl-PL"/>
        </w:rPr>
        <w:t xml:space="preserve"> wartości</w:t>
      </w:r>
      <w:r>
        <w:rPr>
          <w:lang w:val="pl-PL"/>
        </w:rPr>
        <w:t xml:space="preserve"> rozkładu </w:t>
      </w:r>
      <w:r w:rsidR="0084798B">
        <w:rPr>
          <w:lang w:val="pl-PL"/>
        </w:rPr>
        <w:t>logarytmiczno-</w:t>
      </w:r>
      <w:r>
        <w:rPr>
          <w:lang w:val="pl-PL"/>
        </w:rPr>
        <w:t>normalnego</w:t>
      </w:r>
      <w:r w:rsidR="0084798B">
        <w:rPr>
          <w:lang w:val="pl-PL"/>
        </w:rPr>
        <w:t>,</w:t>
      </w:r>
      <w:r>
        <w:rPr>
          <w:lang w:val="pl-PL"/>
        </w:rPr>
        <w:t xml:space="preserve"> najwięcej wartości jest wokół zera- nie ma/ bardzo mały błąd.</w:t>
      </w:r>
    </w:p>
    <w:p w:rsidR="00DC6D29" w:rsidRDefault="00DC6D29" w:rsidP="002836EE">
      <w:pPr>
        <w:pStyle w:val="Akapitzlist"/>
        <w:rPr>
          <w:lang w:val="pl-PL"/>
        </w:rPr>
      </w:pPr>
    </w:p>
    <w:p w:rsidR="00DC6D29" w:rsidRPr="002836EE" w:rsidRDefault="00DC6D29" w:rsidP="002836EE">
      <w:pPr>
        <w:pStyle w:val="Akapitzlist"/>
        <w:rPr>
          <w:lang w:val="pl-PL"/>
        </w:rPr>
      </w:pPr>
      <w:r>
        <w:rPr>
          <w:lang w:val="pl-PL"/>
        </w:rPr>
        <w:t>Na histogramie widać również, że pojawiały się wartości z dużym błędem.</w:t>
      </w:r>
    </w:p>
    <w:sectPr w:rsidR="00DC6D29" w:rsidRPr="002836EE" w:rsidSect="00197F27">
      <w:pgSz w:w="12240" w:h="15840"/>
      <w:pgMar w:top="567" w:right="616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41711"/>
    <w:multiLevelType w:val="hybridMultilevel"/>
    <w:tmpl w:val="12000640"/>
    <w:lvl w:ilvl="0" w:tplc="A0FC7F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xNDczNTAzNrI0tLBQ0lEKTi0uzszPAykwrgUAbAzAYiwAAAA="/>
  </w:docVars>
  <w:rsids>
    <w:rsidRoot w:val="00A93A7A"/>
    <w:rsid w:val="00005478"/>
    <w:rsid w:val="00022E04"/>
    <w:rsid w:val="000A6DD4"/>
    <w:rsid w:val="00197F27"/>
    <w:rsid w:val="002836EE"/>
    <w:rsid w:val="002B6761"/>
    <w:rsid w:val="003D1541"/>
    <w:rsid w:val="00411B6B"/>
    <w:rsid w:val="004317CB"/>
    <w:rsid w:val="006F5586"/>
    <w:rsid w:val="007B169E"/>
    <w:rsid w:val="0084798B"/>
    <w:rsid w:val="00A83414"/>
    <w:rsid w:val="00A93A7A"/>
    <w:rsid w:val="00B87542"/>
    <w:rsid w:val="00CD5471"/>
    <w:rsid w:val="00DC6D29"/>
    <w:rsid w:val="00DE308D"/>
    <w:rsid w:val="00E27143"/>
    <w:rsid w:val="00E929EA"/>
    <w:rsid w:val="00FF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8FED7"/>
  <w15:docId w15:val="{5F87BAF8-B2C8-408B-BBC4-A4E3703A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05478"/>
    <w:pPr>
      <w:ind w:left="720"/>
      <w:contextualSpacing/>
    </w:pPr>
  </w:style>
  <w:style w:type="table" w:styleId="Tabela-Siatka">
    <w:name w:val="Table Grid"/>
    <w:basedOn w:val="Standardowy"/>
    <w:uiPriority w:val="59"/>
    <w:rsid w:val="00005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2836EE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83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836EE"/>
    <w:rPr>
      <w:rFonts w:ascii="Tahoma" w:hAnsi="Tahoma" w:cs="Tahoma"/>
      <w:sz w:val="16"/>
      <w:szCs w:val="16"/>
    </w:rPr>
  </w:style>
  <w:style w:type="paragraph" w:styleId="Poprawka">
    <w:name w:val="Revision"/>
    <w:hidden/>
    <w:uiPriority w:val="99"/>
    <w:semiHidden/>
    <w:rsid w:val="00FF63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ti\Downloads\empiryczn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ti\Downloads\empiryczn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1"/>
          <c:order val="1"/>
          <c:tx>
            <c:v>parter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xVal>
            <c:numRef>
              <c:f>Arkusz1!$K$9:$K$38</c:f>
              <c:numCache>
                <c:formatCode>General</c:formatCode>
                <c:ptCount val="30"/>
                <c:pt idx="0">
                  <c:v>28.16</c:v>
                </c:pt>
                <c:pt idx="1">
                  <c:v>23.19</c:v>
                </c:pt>
                <c:pt idx="2">
                  <c:v>22.09</c:v>
                </c:pt>
                <c:pt idx="3">
                  <c:v>23.54</c:v>
                </c:pt>
                <c:pt idx="4">
                  <c:v>19.239999999999998</c:v>
                </c:pt>
                <c:pt idx="5">
                  <c:v>19.100000000000001</c:v>
                </c:pt>
                <c:pt idx="6">
                  <c:v>14.56</c:v>
                </c:pt>
                <c:pt idx="7">
                  <c:v>14.32</c:v>
                </c:pt>
                <c:pt idx="8">
                  <c:v>10.77</c:v>
                </c:pt>
                <c:pt idx="9">
                  <c:v>6.4</c:v>
                </c:pt>
                <c:pt idx="10">
                  <c:v>5.83</c:v>
                </c:pt>
                <c:pt idx="11">
                  <c:v>4</c:v>
                </c:pt>
                <c:pt idx="12">
                  <c:v>6.71</c:v>
                </c:pt>
                <c:pt idx="13">
                  <c:v>10.3</c:v>
                </c:pt>
                <c:pt idx="14">
                  <c:v>13.04</c:v>
                </c:pt>
                <c:pt idx="15">
                  <c:v>26.08</c:v>
                </c:pt>
                <c:pt idx="16">
                  <c:v>19.239999999999998</c:v>
                </c:pt>
                <c:pt idx="17">
                  <c:v>14.14</c:v>
                </c:pt>
                <c:pt idx="18">
                  <c:v>22.36</c:v>
                </c:pt>
                <c:pt idx="19">
                  <c:v>17.89</c:v>
                </c:pt>
                <c:pt idx="20">
                  <c:v>22.36</c:v>
                </c:pt>
                <c:pt idx="21">
                  <c:v>25.55</c:v>
                </c:pt>
                <c:pt idx="22">
                  <c:v>26.25</c:v>
                </c:pt>
                <c:pt idx="23">
                  <c:v>27.59</c:v>
                </c:pt>
                <c:pt idx="24">
                  <c:v>29.07</c:v>
                </c:pt>
                <c:pt idx="25">
                  <c:v>33.020000000000003</c:v>
                </c:pt>
                <c:pt idx="26">
                  <c:v>36.06</c:v>
                </c:pt>
                <c:pt idx="27">
                  <c:v>35.36</c:v>
                </c:pt>
                <c:pt idx="28">
                  <c:v>42.54</c:v>
                </c:pt>
                <c:pt idx="29">
                  <c:v>46.52</c:v>
                </c:pt>
              </c:numCache>
            </c:numRef>
          </c:xVal>
          <c:yVal>
            <c:numRef>
              <c:f>Arkusz1!$AA$2:$AA$31</c:f>
              <c:numCache>
                <c:formatCode>0.00</c:formatCode>
                <c:ptCount val="30"/>
                <c:pt idx="0">
                  <c:v>-72.686000000000007</c:v>
                </c:pt>
                <c:pt idx="1">
                  <c:v>-69.792000000000002</c:v>
                </c:pt>
                <c:pt idx="2">
                  <c:v>-69.066999999999993</c:v>
                </c:pt>
                <c:pt idx="3">
                  <c:v>-70.015000000000001</c:v>
                </c:pt>
                <c:pt idx="4">
                  <c:v>-67.009</c:v>
                </c:pt>
                <c:pt idx="5">
                  <c:v>-66.900000000000006</c:v>
                </c:pt>
                <c:pt idx="6">
                  <c:v>-62.854999999999997</c:v>
                </c:pt>
                <c:pt idx="7">
                  <c:v>-62.606999999999999</c:v>
                </c:pt>
                <c:pt idx="8">
                  <c:v>-58.360999999999997</c:v>
                </c:pt>
                <c:pt idx="9">
                  <c:v>-50.603999999999999</c:v>
                </c:pt>
                <c:pt idx="10">
                  <c:v>-49.213000000000001</c:v>
                </c:pt>
                <c:pt idx="11">
                  <c:v>-43.598999999999997</c:v>
                </c:pt>
                <c:pt idx="12">
                  <c:v>-51.308999999999997</c:v>
                </c:pt>
                <c:pt idx="13">
                  <c:v>-57.695999999999998</c:v>
                </c:pt>
                <c:pt idx="14">
                  <c:v>-61.210999999999999</c:v>
                </c:pt>
                <c:pt idx="15">
                  <c:v>-71.542000000000002</c:v>
                </c:pt>
                <c:pt idx="16">
                  <c:v>-67.009</c:v>
                </c:pt>
                <c:pt idx="17">
                  <c:v>-62.417999999999999</c:v>
                </c:pt>
                <c:pt idx="18">
                  <c:v>-69.248000000000005</c:v>
                </c:pt>
                <c:pt idx="19">
                  <c:v>-65.924000000000007</c:v>
                </c:pt>
                <c:pt idx="20">
                  <c:v>-69.248000000000005</c:v>
                </c:pt>
                <c:pt idx="21">
                  <c:v>-71.236000000000004</c:v>
                </c:pt>
                <c:pt idx="22">
                  <c:v>-71.638999999999996</c:v>
                </c:pt>
                <c:pt idx="23">
                  <c:v>-72.381</c:v>
                </c:pt>
                <c:pt idx="24">
                  <c:v>-73.16</c:v>
                </c:pt>
                <c:pt idx="25">
                  <c:v>-75.058999999999997</c:v>
                </c:pt>
                <c:pt idx="26">
                  <c:v>-76.370999999999995</c:v>
                </c:pt>
                <c:pt idx="27">
                  <c:v>-76.078999999999994</c:v>
                </c:pt>
                <c:pt idx="28">
                  <c:v>-78.834000000000003</c:v>
                </c:pt>
                <c:pt idx="29">
                  <c:v>-80.167000000000002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4A8-4D59-829A-A6316EB7B904}"/>
            </c:ext>
          </c:extLst>
        </c:ser>
        <c:ser>
          <c:idx val="2"/>
          <c:order val="2"/>
          <c:tx>
            <c:v>pietro1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xVal>
            <c:numRef>
              <c:f>Arkusz1!$K$39:$K$68</c:f>
              <c:numCache>
                <c:formatCode>General</c:formatCode>
                <c:ptCount val="30"/>
                <c:pt idx="0">
                  <c:v>47.18</c:v>
                </c:pt>
                <c:pt idx="1">
                  <c:v>43.57</c:v>
                </c:pt>
                <c:pt idx="2">
                  <c:v>40.020000000000003</c:v>
                </c:pt>
                <c:pt idx="3">
                  <c:v>36.840000000000003</c:v>
                </c:pt>
                <c:pt idx="4">
                  <c:v>33.659999999999997</c:v>
                </c:pt>
                <c:pt idx="5">
                  <c:v>32.450000000000003</c:v>
                </c:pt>
                <c:pt idx="6">
                  <c:v>30.87</c:v>
                </c:pt>
                <c:pt idx="7">
                  <c:v>30.68</c:v>
                </c:pt>
                <c:pt idx="8">
                  <c:v>27.87</c:v>
                </c:pt>
                <c:pt idx="9">
                  <c:v>27.31</c:v>
                </c:pt>
                <c:pt idx="10">
                  <c:v>23.66</c:v>
                </c:pt>
                <c:pt idx="11">
                  <c:v>24.68</c:v>
                </c:pt>
                <c:pt idx="12">
                  <c:v>22.91</c:v>
                </c:pt>
                <c:pt idx="13">
                  <c:v>20.78</c:v>
                </c:pt>
                <c:pt idx="14">
                  <c:v>17.03</c:v>
                </c:pt>
                <c:pt idx="15">
                  <c:v>12.08</c:v>
                </c:pt>
                <c:pt idx="16">
                  <c:v>9.3800000000000008</c:v>
                </c:pt>
                <c:pt idx="17">
                  <c:v>7.81</c:v>
                </c:pt>
                <c:pt idx="18">
                  <c:v>6</c:v>
                </c:pt>
                <c:pt idx="19">
                  <c:v>6.4</c:v>
                </c:pt>
                <c:pt idx="20">
                  <c:v>6</c:v>
                </c:pt>
                <c:pt idx="21">
                  <c:v>7.55</c:v>
                </c:pt>
                <c:pt idx="22">
                  <c:v>9.43</c:v>
                </c:pt>
                <c:pt idx="23">
                  <c:v>12.08</c:v>
                </c:pt>
                <c:pt idx="24">
                  <c:v>13.93</c:v>
                </c:pt>
                <c:pt idx="25">
                  <c:v>16.760000000000002</c:v>
                </c:pt>
                <c:pt idx="26">
                  <c:v>18.55</c:v>
                </c:pt>
                <c:pt idx="27">
                  <c:v>20.49</c:v>
                </c:pt>
                <c:pt idx="28">
                  <c:v>23.43</c:v>
                </c:pt>
                <c:pt idx="29">
                  <c:v>24.52</c:v>
                </c:pt>
              </c:numCache>
            </c:numRef>
          </c:xVal>
          <c:yVal>
            <c:numRef>
              <c:f>Arkusz1!$AA$32:$AA$61</c:f>
              <c:numCache>
                <c:formatCode>0.00</c:formatCode>
                <c:ptCount val="30"/>
                <c:pt idx="0">
                  <c:v>-81.783000000000001</c:v>
                </c:pt>
                <c:pt idx="1">
                  <c:v>-80.596999999999994</c:v>
                </c:pt>
                <c:pt idx="2">
                  <c:v>-79.33</c:v>
                </c:pt>
                <c:pt idx="3">
                  <c:v>-78.096000000000004</c:v>
                </c:pt>
                <c:pt idx="4">
                  <c:v>-76.751000000000005</c:v>
                </c:pt>
                <c:pt idx="5">
                  <c:v>-76.204999999999998</c:v>
                </c:pt>
                <c:pt idx="6">
                  <c:v>-75.460999999999999</c:v>
                </c:pt>
                <c:pt idx="7">
                  <c:v>-75.369</c:v>
                </c:pt>
                <c:pt idx="8">
                  <c:v>-73.936999999999998</c:v>
                </c:pt>
                <c:pt idx="9">
                  <c:v>-73.635000000000005</c:v>
                </c:pt>
                <c:pt idx="10">
                  <c:v>-71.497</c:v>
                </c:pt>
                <c:pt idx="11">
                  <c:v>-72.126000000000005</c:v>
                </c:pt>
                <c:pt idx="12">
                  <c:v>-71.016000000000005</c:v>
                </c:pt>
                <c:pt idx="13">
                  <c:v>-69.561999999999998</c:v>
                </c:pt>
                <c:pt idx="14">
                  <c:v>-66.596000000000004</c:v>
                </c:pt>
                <c:pt idx="15">
                  <c:v>-61.476999999999997</c:v>
                </c:pt>
                <c:pt idx="16">
                  <c:v>-57.707000000000001</c:v>
                </c:pt>
                <c:pt idx="17">
                  <c:v>-54.976999999999997</c:v>
                </c:pt>
                <c:pt idx="18">
                  <c:v>-51.048000000000002</c:v>
                </c:pt>
                <c:pt idx="19">
                  <c:v>-52.009</c:v>
                </c:pt>
                <c:pt idx="20">
                  <c:v>-51.048000000000002</c:v>
                </c:pt>
                <c:pt idx="21">
                  <c:v>-54.472000000000001</c:v>
                </c:pt>
                <c:pt idx="22">
                  <c:v>-57.786000000000001</c:v>
                </c:pt>
                <c:pt idx="23">
                  <c:v>-61.476999999999997</c:v>
                </c:pt>
                <c:pt idx="24">
                  <c:v>-63.600999999999999</c:v>
                </c:pt>
                <c:pt idx="25">
                  <c:v>-66.358000000000004</c:v>
                </c:pt>
                <c:pt idx="26">
                  <c:v>-67.87</c:v>
                </c:pt>
                <c:pt idx="27">
                  <c:v>-69.352999999999994</c:v>
                </c:pt>
                <c:pt idx="28">
                  <c:v>-71.350999999999999</c:v>
                </c:pt>
                <c:pt idx="29">
                  <c:v>-72.028999999999996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4A8-4D59-829A-A6316EB7B904}"/>
            </c:ext>
          </c:extLst>
        </c:ser>
        <c:ser>
          <c:idx val="3"/>
          <c:order val="3"/>
          <c:tx>
            <c:v>pietro2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4"/>
                </a:solidFill>
                <a:round/>
              </a:ln>
              <a:effectLst/>
            </c:spPr>
          </c:marker>
          <c:xVal>
            <c:numRef>
              <c:f>Arkusz1!$K$69:$K$98</c:f>
              <c:numCache>
                <c:formatCode>General</c:formatCode>
                <c:ptCount val="30"/>
                <c:pt idx="0">
                  <c:v>24.43</c:v>
                </c:pt>
                <c:pt idx="1">
                  <c:v>24.43</c:v>
                </c:pt>
                <c:pt idx="2">
                  <c:v>20.71</c:v>
                </c:pt>
                <c:pt idx="3">
                  <c:v>19.8</c:v>
                </c:pt>
                <c:pt idx="4">
                  <c:v>18.329999999999998</c:v>
                </c:pt>
                <c:pt idx="5">
                  <c:v>16.61</c:v>
                </c:pt>
                <c:pt idx="6">
                  <c:v>14.18</c:v>
                </c:pt>
                <c:pt idx="7">
                  <c:v>12.37</c:v>
                </c:pt>
                <c:pt idx="8">
                  <c:v>9.64</c:v>
                </c:pt>
                <c:pt idx="9">
                  <c:v>8.94</c:v>
                </c:pt>
                <c:pt idx="10">
                  <c:v>9.8000000000000007</c:v>
                </c:pt>
                <c:pt idx="11">
                  <c:v>12.73</c:v>
                </c:pt>
                <c:pt idx="12">
                  <c:v>17.579999999999998</c:v>
                </c:pt>
                <c:pt idx="13">
                  <c:v>14.18</c:v>
                </c:pt>
                <c:pt idx="14">
                  <c:v>23.85</c:v>
                </c:pt>
                <c:pt idx="15">
                  <c:v>28.65</c:v>
                </c:pt>
                <c:pt idx="16">
                  <c:v>28.44</c:v>
                </c:pt>
                <c:pt idx="17">
                  <c:v>21.56</c:v>
                </c:pt>
                <c:pt idx="18">
                  <c:v>21.91</c:v>
                </c:pt>
                <c:pt idx="19">
                  <c:v>23.35</c:v>
                </c:pt>
                <c:pt idx="20">
                  <c:v>25.16</c:v>
                </c:pt>
                <c:pt idx="21">
                  <c:v>26.83</c:v>
                </c:pt>
                <c:pt idx="22">
                  <c:v>28.72</c:v>
                </c:pt>
                <c:pt idx="23">
                  <c:v>30.79</c:v>
                </c:pt>
                <c:pt idx="24">
                  <c:v>33</c:v>
                </c:pt>
                <c:pt idx="25">
                  <c:v>33.76</c:v>
                </c:pt>
                <c:pt idx="26">
                  <c:v>36.119999999999997</c:v>
                </c:pt>
                <c:pt idx="27">
                  <c:v>39.409999999999997</c:v>
                </c:pt>
                <c:pt idx="28">
                  <c:v>42.81</c:v>
                </c:pt>
                <c:pt idx="29">
                  <c:v>47.69</c:v>
                </c:pt>
              </c:numCache>
            </c:numRef>
          </c:xVal>
          <c:yVal>
            <c:numRef>
              <c:f>Arkusz1!$AA$62:$AA$91</c:f>
              <c:numCache>
                <c:formatCode>0.00</c:formatCode>
                <c:ptCount val="30"/>
                <c:pt idx="0">
                  <c:v>-73.38</c:v>
                </c:pt>
                <c:pt idx="1">
                  <c:v>-73.38</c:v>
                </c:pt>
                <c:pt idx="2">
                  <c:v>-70.918000000000006</c:v>
                </c:pt>
                <c:pt idx="3">
                  <c:v>-70.248000000000005</c:v>
                </c:pt>
                <c:pt idx="4">
                  <c:v>-69.097999999999999</c:v>
                </c:pt>
                <c:pt idx="5">
                  <c:v>-67.63</c:v>
                </c:pt>
                <c:pt idx="6">
                  <c:v>-65.272000000000006</c:v>
                </c:pt>
                <c:pt idx="7">
                  <c:v>-63.237000000000002</c:v>
                </c:pt>
                <c:pt idx="8">
                  <c:v>-59.52</c:v>
                </c:pt>
                <c:pt idx="9">
                  <c:v>-58.396999999999998</c:v>
                </c:pt>
                <c:pt idx="10">
                  <c:v>-59.765999999999998</c:v>
                </c:pt>
                <c:pt idx="11">
                  <c:v>-63.664000000000001</c:v>
                </c:pt>
                <c:pt idx="12">
                  <c:v>-68.474999999999994</c:v>
                </c:pt>
                <c:pt idx="13">
                  <c:v>-65.272000000000006</c:v>
                </c:pt>
                <c:pt idx="14">
                  <c:v>-73.022000000000006</c:v>
                </c:pt>
                <c:pt idx="15">
                  <c:v>-75.754999999999995</c:v>
                </c:pt>
                <c:pt idx="16">
                  <c:v>-75.644999999999996</c:v>
                </c:pt>
                <c:pt idx="17">
                  <c:v>-71.516999999999996</c:v>
                </c:pt>
                <c:pt idx="18">
                  <c:v>-71.757000000000005</c:v>
                </c:pt>
                <c:pt idx="19">
                  <c:v>-72.706000000000003</c:v>
                </c:pt>
                <c:pt idx="20">
                  <c:v>-73.819000000000003</c:v>
                </c:pt>
                <c:pt idx="21">
                  <c:v>-74.775999999999996</c:v>
                </c:pt>
                <c:pt idx="22">
                  <c:v>-75.790999999999997</c:v>
                </c:pt>
                <c:pt idx="23">
                  <c:v>-76.828000000000003</c:v>
                </c:pt>
                <c:pt idx="24">
                  <c:v>-77.861000000000004</c:v>
                </c:pt>
                <c:pt idx="25">
                  <c:v>-78.200999999999993</c:v>
                </c:pt>
                <c:pt idx="26">
                  <c:v>-79.207999999999998</c:v>
                </c:pt>
                <c:pt idx="27">
                  <c:v>-80.507000000000005</c:v>
                </c:pt>
                <c:pt idx="28">
                  <c:v>-81.739999999999995</c:v>
                </c:pt>
                <c:pt idx="29">
                  <c:v>-83.349000000000004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4A8-4D59-829A-A6316EB7B9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4730024"/>
        <c:axId val="414733304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Arkusz1!$AE$8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gradFill rotWithShape="1">
                      <a:gsLst>
                        <a:gs pos="0">
                          <a:schemeClr val="accent1">
                            <a:satMod val="103000"/>
                            <a:lumMod val="102000"/>
                            <a:tint val="94000"/>
                          </a:schemeClr>
                        </a:gs>
                        <a:gs pos="50000">
                          <a:schemeClr val="accent1">
                            <a:satMod val="110000"/>
                            <a:lumMod val="100000"/>
                            <a:shade val="100000"/>
                          </a:schemeClr>
                        </a:gs>
                        <a:gs pos="100000">
                          <a:schemeClr val="accent1">
                            <a:lumMod val="99000"/>
                            <a:satMod val="120000"/>
                            <a:shade val="78000"/>
                          </a:schemeClr>
                        </a:gs>
                      </a:gsLst>
                      <a:lin ang="5400000" scaled="0"/>
                    </a:gradFill>
                    <a:ln w="9525">
                      <a:solidFill>
                        <a:schemeClr val="accent1"/>
                      </a:solidFill>
                      <a:round/>
                    </a:ln>
                    <a:effectLst/>
                  </c:spPr>
                </c:marker>
                <c:yVal>
                  <c:numRef>
                    <c:extLst>
                      <c:ext uri="{02D57815-91ED-43cb-92C2-25804820EDAC}">
                        <c15:formulaRef>
                          <c15:sqref>Arkusz1!$AE$9</c15:sqref>
                        </c15:formulaRef>
                      </c:ext>
                    </c:extLst>
                    <c:numCache>
                      <c:formatCode>General</c:formatCode>
                      <c:ptCount val="1"/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3-D4A8-4D59-829A-A6316EB7B904}"/>
                  </c:ext>
                </c:extLst>
              </c15:ser>
            </c15:filteredScatterSeries>
          </c:ext>
        </c:extLst>
      </c:scatterChart>
      <c:valAx>
        <c:axId val="414730024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odległość od odbiornika w skali</a:t>
                </a:r>
                <a:r>
                  <a:rPr lang="pl-PL" baseline="0"/>
                  <a:t> logarytmicznej </a:t>
                </a:r>
                <a:r>
                  <a:rPr lang="pl-PL"/>
                  <a:t> [m]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14733304"/>
        <c:crosses val="autoZero"/>
        <c:crossBetween val="midCat"/>
      </c:valAx>
      <c:valAx>
        <c:axId val="414733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estymowane Y [dBm]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147300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mapa punktów x</a:t>
            </a:r>
            <a:r>
              <a:rPr lang="pl-PL" baseline="-25000"/>
              <a:t>i,</a:t>
            </a:r>
            <a:r>
              <a:rPr lang="pl-PL" baseline="0"/>
              <a:t> y</a:t>
            </a:r>
            <a:r>
              <a:rPr lang="pl-PL" baseline="-25000"/>
              <a:t>i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parter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Arkusz1!$I$9:$I$38</c:f>
              <c:numCache>
                <c:formatCode>General</c:formatCode>
                <c:ptCount val="30"/>
                <c:pt idx="0">
                  <c:v>57</c:v>
                </c:pt>
                <c:pt idx="1">
                  <c:v>52</c:v>
                </c:pt>
                <c:pt idx="2">
                  <c:v>51</c:v>
                </c:pt>
                <c:pt idx="3">
                  <c:v>52</c:v>
                </c:pt>
                <c:pt idx="4">
                  <c:v>48</c:v>
                </c:pt>
                <c:pt idx="5">
                  <c:v>48</c:v>
                </c:pt>
                <c:pt idx="6">
                  <c:v>43</c:v>
                </c:pt>
                <c:pt idx="7">
                  <c:v>43</c:v>
                </c:pt>
                <c:pt idx="8">
                  <c:v>39</c:v>
                </c:pt>
                <c:pt idx="9">
                  <c:v>34</c:v>
                </c:pt>
                <c:pt idx="10">
                  <c:v>32</c:v>
                </c:pt>
                <c:pt idx="11">
                  <c:v>29</c:v>
                </c:pt>
                <c:pt idx="12">
                  <c:v>26</c:v>
                </c:pt>
                <c:pt idx="13">
                  <c:v>20</c:v>
                </c:pt>
                <c:pt idx="14">
                  <c:v>18</c:v>
                </c:pt>
                <c:pt idx="15">
                  <c:v>3</c:v>
                </c:pt>
                <c:pt idx="16">
                  <c:v>10</c:v>
                </c:pt>
                <c:pt idx="17">
                  <c:v>15</c:v>
                </c:pt>
                <c:pt idx="18">
                  <c:v>7</c:v>
                </c:pt>
                <c:pt idx="19">
                  <c:v>13</c:v>
                </c:pt>
                <c:pt idx="20">
                  <c:v>9</c:v>
                </c:pt>
                <c:pt idx="21">
                  <c:v>7</c:v>
                </c:pt>
                <c:pt idx="22">
                  <c:v>9</c:v>
                </c:pt>
                <c:pt idx="23">
                  <c:v>10</c:v>
                </c:pt>
                <c:pt idx="24">
                  <c:v>10</c:v>
                </c:pt>
                <c:pt idx="25">
                  <c:v>10</c:v>
                </c:pt>
                <c:pt idx="26">
                  <c:v>9</c:v>
                </c:pt>
                <c:pt idx="27">
                  <c:v>12</c:v>
                </c:pt>
                <c:pt idx="28">
                  <c:v>8</c:v>
                </c:pt>
                <c:pt idx="29">
                  <c:v>9</c:v>
                </c:pt>
              </c:numCache>
            </c:numRef>
          </c:xVal>
          <c:yVal>
            <c:numRef>
              <c:f>Arkusz1!$J$9:$J$38</c:f>
              <c:numCache>
                <c:formatCode>General</c:formatCode>
                <c:ptCount val="30"/>
                <c:pt idx="0">
                  <c:v>14</c:v>
                </c:pt>
                <c:pt idx="1">
                  <c:v>14</c:v>
                </c:pt>
                <c:pt idx="2">
                  <c:v>15</c:v>
                </c:pt>
                <c:pt idx="3">
                  <c:v>22</c:v>
                </c:pt>
                <c:pt idx="4">
                  <c:v>14</c:v>
                </c:pt>
                <c:pt idx="5">
                  <c:v>15</c:v>
                </c:pt>
                <c:pt idx="6">
                  <c:v>13</c:v>
                </c:pt>
                <c:pt idx="7">
                  <c:v>14</c:v>
                </c:pt>
                <c:pt idx="8">
                  <c:v>13</c:v>
                </c:pt>
                <c:pt idx="9">
                  <c:v>13</c:v>
                </c:pt>
                <c:pt idx="10">
                  <c:v>12</c:v>
                </c:pt>
                <c:pt idx="11">
                  <c:v>13</c:v>
                </c:pt>
                <c:pt idx="12">
                  <c:v>11</c:v>
                </c:pt>
                <c:pt idx="13">
                  <c:v>12</c:v>
                </c:pt>
                <c:pt idx="14">
                  <c:v>10</c:v>
                </c:pt>
                <c:pt idx="15">
                  <c:v>15</c:v>
                </c:pt>
                <c:pt idx="16">
                  <c:v>14</c:v>
                </c:pt>
                <c:pt idx="17">
                  <c:v>19</c:v>
                </c:pt>
                <c:pt idx="18">
                  <c:v>21</c:v>
                </c:pt>
                <c:pt idx="19">
                  <c:v>25</c:v>
                </c:pt>
                <c:pt idx="20">
                  <c:v>27</c:v>
                </c:pt>
                <c:pt idx="21">
                  <c:v>30</c:v>
                </c:pt>
                <c:pt idx="22">
                  <c:v>34</c:v>
                </c:pt>
                <c:pt idx="23">
                  <c:v>37</c:v>
                </c:pt>
                <c:pt idx="24">
                  <c:v>39</c:v>
                </c:pt>
                <c:pt idx="25">
                  <c:v>44</c:v>
                </c:pt>
                <c:pt idx="26">
                  <c:v>47</c:v>
                </c:pt>
                <c:pt idx="27">
                  <c:v>48</c:v>
                </c:pt>
                <c:pt idx="28">
                  <c:v>54</c:v>
                </c:pt>
                <c:pt idx="29">
                  <c:v>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7F6-40C1-9953-90A3D65EEC96}"/>
            </c:ext>
          </c:extLst>
        </c:ser>
        <c:ser>
          <c:idx val="1"/>
          <c:order val="1"/>
          <c:tx>
            <c:v>pietro1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xVal>
            <c:numRef>
              <c:f>Arkusz1!$I$39:$I$68</c:f>
              <c:numCache>
                <c:formatCode>General</c:formatCode>
                <c:ptCount val="30"/>
                <c:pt idx="0">
                  <c:v>10</c:v>
                </c:pt>
                <c:pt idx="1">
                  <c:v>10</c:v>
                </c:pt>
                <c:pt idx="2">
                  <c:v>10</c:v>
                </c:pt>
                <c:pt idx="3">
                  <c:v>8</c:v>
                </c:pt>
                <c:pt idx="4">
                  <c:v>8</c:v>
                </c:pt>
                <c:pt idx="5">
                  <c:v>10</c:v>
                </c:pt>
                <c:pt idx="6">
                  <c:v>10</c:v>
                </c:pt>
                <c:pt idx="7">
                  <c:v>8</c:v>
                </c:pt>
                <c:pt idx="8">
                  <c:v>10</c:v>
                </c:pt>
                <c:pt idx="9">
                  <c:v>8</c:v>
                </c:pt>
                <c:pt idx="10">
                  <c:v>9</c:v>
                </c:pt>
                <c:pt idx="11">
                  <c:v>6</c:v>
                </c:pt>
                <c:pt idx="12">
                  <c:v>7</c:v>
                </c:pt>
                <c:pt idx="13">
                  <c:v>9</c:v>
                </c:pt>
                <c:pt idx="14">
                  <c:v>14</c:v>
                </c:pt>
                <c:pt idx="15">
                  <c:v>20</c:v>
                </c:pt>
                <c:pt idx="16">
                  <c:v>23</c:v>
                </c:pt>
                <c:pt idx="17">
                  <c:v>26</c:v>
                </c:pt>
                <c:pt idx="18">
                  <c:v>27</c:v>
                </c:pt>
                <c:pt idx="19">
                  <c:v>29</c:v>
                </c:pt>
                <c:pt idx="20">
                  <c:v>31</c:v>
                </c:pt>
                <c:pt idx="21">
                  <c:v>24</c:v>
                </c:pt>
                <c:pt idx="22">
                  <c:v>37</c:v>
                </c:pt>
                <c:pt idx="23">
                  <c:v>40</c:v>
                </c:pt>
                <c:pt idx="24">
                  <c:v>42</c:v>
                </c:pt>
                <c:pt idx="25">
                  <c:v>45</c:v>
                </c:pt>
                <c:pt idx="26">
                  <c:v>47</c:v>
                </c:pt>
                <c:pt idx="27">
                  <c:v>49</c:v>
                </c:pt>
                <c:pt idx="28">
                  <c:v>52</c:v>
                </c:pt>
                <c:pt idx="29">
                  <c:v>53</c:v>
                </c:pt>
              </c:numCache>
            </c:numRef>
          </c:xVal>
          <c:yVal>
            <c:numRef>
              <c:f>Arkusz1!$J$39:$J$68</c:f>
              <c:numCache>
                <c:formatCode>General</c:formatCode>
                <c:ptCount val="30"/>
                <c:pt idx="0">
                  <c:v>60</c:v>
                </c:pt>
                <c:pt idx="1">
                  <c:v>56</c:v>
                </c:pt>
                <c:pt idx="2">
                  <c:v>52</c:v>
                </c:pt>
                <c:pt idx="3">
                  <c:v>47</c:v>
                </c:pt>
                <c:pt idx="4">
                  <c:v>43</c:v>
                </c:pt>
                <c:pt idx="5">
                  <c:v>43</c:v>
                </c:pt>
                <c:pt idx="6">
                  <c:v>41</c:v>
                </c:pt>
                <c:pt idx="7">
                  <c:v>39</c:v>
                </c:pt>
                <c:pt idx="8">
                  <c:v>37</c:v>
                </c:pt>
                <c:pt idx="9">
                  <c:v>34</c:v>
                </c:pt>
                <c:pt idx="10">
                  <c:v>29</c:v>
                </c:pt>
                <c:pt idx="11">
                  <c:v>25</c:v>
                </c:pt>
                <c:pt idx="12">
                  <c:v>22</c:v>
                </c:pt>
                <c:pt idx="13">
                  <c:v>13</c:v>
                </c:pt>
                <c:pt idx="14">
                  <c:v>10</c:v>
                </c:pt>
                <c:pt idx="15">
                  <c:v>10</c:v>
                </c:pt>
                <c:pt idx="16">
                  <c:v>11</c:v>
                </c:pt>
                <c:pt idx="17">
                  <c:v>11</c:v>
                </c:pt>
                <c:pt idx="18">
                  <c:v>13</c:v>
                </c:pt>
                <c:pt idx="19">
                  <c:v>12</c:v>
                </c:pt>
                <c:pt idx="20">
                  <c:v>13</c:v>
                </c:pt>
                <c:pt idx="21">
                  <c:v>13</c:v>
                </c:pt>
                <c:pt idx="22">
                  <c:v>14</c:v>
                </c:pt>
                <c:pt idx="23">
                  <c:v>14</c:v>
                </c:pt>
                <c:pt idx="24">
                  <c:v>14</c:v>
                </c:pt>
                <c:pt idx="25">
                  <c:v>14</c:v>
                </c:pt>
                <c:pt idx="26">
                  <c:v>15</c:v>
                </c:pt>
                <c:pt idx="27">
                  <c:v>15</c:v>
                </c:pt>
                <c:pt idx="28">
                  <c:v>15</c:v>
                </c:pt>
                <c:pt idx="29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7F6-40C1-9953-90A3D65EEC96}"/>
            </c:ext>
          </c:extLst>
        </c:ser>
        <c:ser>
          <c:idx val="2"/>
          <c:order val="2"/>
          <c:tx>
            <c:v>pietro2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xVal>
            <c:numRef>
              <c:f>Arkusz1!$I$69:$I$98</c:f>
              <c:numCache>
                <c:formatCode>General</c:formatCode>
                <c:ptCount val="30"/>
                <c:pt idx="0">
                  <c:v>52</c:v>
                </c:pt>
                <c:pt idx="1">
                  <c:v>52</c:v>
                </c:pt>
                <c:pt idx="2">
                  <c:v>48</c:v>
                </c:pt>
                <c:pt idx="3">
                  <c:v>47</c:v>
                </c:pt>
                <c:pt idx="4">
                  <c:v>45</c:v>
                </c:pt>
                <c:pt idx="5">
                  <c:v>43</c:v>
                </c:pt>
                <c:pt idx="6">
                  <c:v>40</c:v>
                </c:pt>
                <c:pt idx="7">
                  <c:v>37</c:v>
                </c:pt>
                <c:pt idx="8">
                  <c:v>31</c:v>
                </c:pt>
                <c:pt idx="9">
                  <c:v>29</c:v>
                </c:pt>
                <c:pt idx="10">
                  <c:v>25</c:v>
                </c:pt>
                <c:pt idx="11">
                  <c:v>22</c:v>
                </c:pt>
                <c:pt idx="12">
                  <c:v>15</c:v>
                </c:pt>
                <c:pt idx="13">
                  <c:v>18</c:v>
                </c:pt>
                <c:pt idx="14">
                  <c:v>8</c:v>
                </c:pt>
                <c:pt idx="15">
                  <c:v>3</c:v>
                </c:pt>
                <c:pt idx="16">
                  <c:v>2</c:v>
                </c:pt>
                <c:pt idx="17">
                  <c:v>9</c:v>
                </c:pt>
                <c:pt idx="18">
                  <c:v>9</c:v>
                </c:pt>
                <c:pt idx="19">
                  <c:v>9</c:v>
                </c:pt>
                <c:pt idx="20">
                  <c:v>9</c:v>
                </c:pt>
                <c:pt idx="21">
                  <c:v>9</c:v>
                </c:pt>
                <c:pt idx="22">
                  <c:v>9</c:v>
                </c:pt>
                <c:pt idx="23">
                  <c:v>9</c:v>
                </c:pt>
                <c:pt idx="24">
                  <c:v>9</c:v>
                </c:pt>
                <c:pt idx="25">
                  <c:v>9</c:v>
                </c:pt>
                <c:pt idx="26">
                  <c:v>9</c:v>
                </c:pt>
                <c:pt idx="27">
                  <c:v>9</c:v>
                </c:pt>
                <c:pt idx="28">
                  <c:v>9</c:v>
                </c:pt>
                <c:pt idx="29">
                  <c:v>10</c:v>
                </c:pt>
              </c:numCache>
            </c:numRef>
          </c:xVal>
          <c:yVal>
            <c:numRef>
              <c:f>Arkusz1!$J$69:$J$98</c:f>
              <c:numCache>
                <c:formatCode>General</c:formatCode>
                <c:ptCount val="30"/>
                <c:pt idx="0">
                  <c:v>19</c:v>
                </c:pt>
                <c:pt idx="1">
                  <c:v>15</c:v>
                </c:pt>
                <c:pt idx="2">
                  <c:v>15</c:v>
                </c:pt>
                <c:pt idx="3">
                  <c:v>15</c:v>
                </c:pt>
                <c:pt idx="4">
                  <c:v>13</c:v>
                </c:pt>
                <c:pt idx="5">
                  <c:v>13</c:v>
                </c:pt>
                <c:pt idx="6">
                  <c:v>13</c:v>
                </c:pt>
                <c:pt idx="7">
                  <c:v>12</c:v>
                </c:pt>
                <c:pt idx="8">
                  <c:v>12</c:v>
                </c:pt>
                <c:pt idx="9">
                  <c:v>13</c:v>
                </c:pt>
                <c:pt idx="10">
                  <c:v>13</c:v>
                </c:pt>
                <c:pt idx="11">
                  <c:v>10</c:v>
                </c:pt>
                <c:pt idx="12">
                  <c:v>10</c:v>
                </c:pt>
                <c:pt idx="13">
                  <c:v>13</c:v>
                </c:pt>
                <c:pt idx="14">
                  <c:v>9</c:v>
                </c:pt>
                <c:pt idx="15">
                  <c:v>8</c:v>
                </c:pt>
                <c:pt idx="16">
                  <c:v>13</c:v>
                </c:pt>
                <c:pt idx="17">
                  <c:v>16</c:v>
                </c:pt>
                <c:pt idx="18">
                  <c:v>21</c:v>
                </c:pt>
                <c:pt idx="19">
                  <c:v>26</c:v>
                </c:pt>
                <c:pt idx="20">
                  <c:v>30</c:v>
                </c:pt>
                <c:pt idx="21">
                  <c:v>33</c:v>
                </c:pt>
                <c:pt idx="22">
                  <c:v>36</c:v>
                </c:pt>
                <c:pt idx="23">
                  <c:v>39</c:v>
                </c:pt>
                <c:pt idx="24">
                  <c:v>42</c:v>
                </c:pt>
                <c:pt idx="25">
                  <c:v>43</c:v>
                </c:pt>
                <c:pt idx="26">
                  <c:v>46</c:v>
                </c:pt>
                <c:pt idx="27">
                  <c:v>50</c:v>
                </c:pt>
                <c:pt idx="28">
                  <c:v>54</c:v>
                </c:pt>
                <c:pt idx="29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7F6-40C1-9953-90A3D65EEC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6409184"/>
        <c:axId val="866411264"/>
      </c:scatterChart>
      <c:valAx>
        <c:axId val="866409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866411264"/>
        <c:crosses val="autoZero"/>
        <c:crossBetween val="midCat"/>
      </c:valAx>
      <c:valAx>
        <c:axId val="866411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866409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5</Pages>
  <Words>459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Mati Ridi</cp:lastModifiedBy>
  <cp:revision>8</cp:revision>
  <dcterms:created xsi:type="dcterms:W3CDTF">2021-09-30T17:47:00Z</dcterms:created>
  <dcterms:modified xsi:type="dcterms:W3CDTF">2023-01-25T00:07:00Z</dcterms:modified>
</cp:coreProperties>
</file>