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360" w:line="240" w:lineRule="auto"/>
        <w:ind w:left="0" w:right="0" w:firstLine="0"/>
        <w:jc w:val="both"/>
        <w:rPr>
          <w:rFonts w:ascii="Arial" w:cs="Arial" w:eastAsia="Arial" w:hAnsi="Arial"/>
          <w:b w:val="1"/>
          <w:color w:val="212121"/>
        </w:rPr>
      </w:pPr>
      <w:r w:rsidDel="00000000" w:rsidR="00000000" w:rsidRPr="00000000">
        <w:rPr>
          <w:rFonts w:ascii="Arial" w:cs="Arial" w:eastAsia="Arial" w:hAnsi="Arial"/>
          <w:i w:val="0"/>
          <w:smallCaps w:val="0"/>
          <w:strike w:val="0"/>
          <w:color w:val="000000"/>
          <w:u w:val="none"/>
          <w:shd w:fill="auto" w:val="clear"/>
          <w:vertAlign w:val="baseline"/>
          <w:rtl w:val="0"/>
        </w:rPr>
        <w:t xml:space="preserve">Title of metanalysis :</w:t>
      </w:r>
      <w:r w:rsidDel="00000000" w:rsidR="00000000" w:rsidRPr="00000000">
        <w:rPr>
          <w:rFonts w:ascii="Arial" w:cs="Arial" w:eastAsia="Arial" w:hAnsi="Arial"/>
          <w:b w:val="1"/>
          <w:color w:val="212121"/>
          <w:rtl w:val="0"/>
        </w:rPr>
        <w:t xml:space="preserve">Vortioxetine for depression in adults: A systematic review and dose-response meta-analysis of randomized controlled trials</w:t>
      </w:r>
    </w:p>
    <w:p w:rsidR="00000000" w:rsidDel="00000000" w:rsidP="00000000" w:rsidRDefault="00000000" w:rsidRPr="00000000" w14:paraId="00000002">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3">
      <w:pPr>
        <w:jc w:val="both"/>
        <w:rPr>
          <w:rFonts w:ascii="Arial" w:cs="Arial" w:eastAsia="Arial" w:hAnsi="Arial"/>
          <w:color w:val="212121"/>
        </w:rPr>
      </w:pPr>
      <w:r w:rsidDel="00000000" w:rsidR="00000000" w:rsidRPr="00000000">
        <w:rPr>
          <w:rFonts w:ascii="Arial" w:cs="Arial" w:eastAsia="Arial" w:hAnsi="Arial"/>
          <w:color w:val="000000"/>
          <w:rtl w:val="0"/>
        </w:rPr>
        <w:t xml:space="preserve">PubMed ID of metaanalysis:</w:t>
      </w:r>
      <w:r w:rsidDel="00000000" w:rsidR="00000000" w:rsidRPr="00000000">
        <w:rPr>
          <w:rFonts w:ascii="Arial" w:cs="Arial" w:eastAsia="Arial" w:hAnsi="Arial"/>
          <w:color w:val="212121"/>
          <w:rtl w:val="0"/>
        </w:rPr>
        <w:t xml:space="preserve">38957929</w:t>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000000"/>
        </w:rPr>
      </w:pPr>
      <w:r w:rsidDel="00000000" w:rsidR="00000000" w:rsidRPr="00000000">
        <w:rPr>
          <w:rFonts w:ascii="Arial" w:cs="Arial" w:eastAsia="Arial" w:hAnsi="Arial"/>
          <w:b w:val="1"/>
          <w:color w:val="ff0000"/>
          <w:u w:val="single"/>
          <w:rtl w:val="0"/>
        </w:rPr>
        <w:t xml:space="preserve">Search terms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6">
      <w:pPr>
        <w:widowControl w:val="0"/>
        <w:jc w:val="both"/>
        <w:rPr>
          <w:rFonts w:ascii="Arial" w:cs="Arial" w:eastAsia="Arial" w:hAnsi="Arial"/>
        </w:rPr>
      </w:pPr>
      <w:r w:rsidDel="00000000" w:rsidR="00000000" w:rsidRPr="00000000">
        <w:rPr>
          <w:rtl w:val="0"/>
        </w:rPr>
      </w:r>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6237"/>
        <w:gridCol w:w="1355"/>
        <w:tblGridChange w:id="0">
          <w:tblGrid>
            <w:gridCol w:w="704"/>
            <w:gridCol w:w="6237"/>
            <w:gridCol w:w="1355"/>
          </w:tblGrid>
        </w:tblGridChange>
      </w:tblGrid>
      <w:tr>
        <w:trPr>
          <w:cantSplit w:val="0"/>
          <w:tblHeader w:val="0"/>
        </w:trPr>
        <w:tc>
          <w:tcPr>
            <w:shd w:fill="d9d9d9" w:val="clear"/>
          </w:tcPr>
          <w:p w:rsidR="00000000" w:rsidDel="00000000" w:rsidP="00000000" w:rsidRDefault="00000000" w:rsidRPr="00000000" w14:paraId="00000007">
            <w:pPr>
              <w:widowControl w:val="0"/>
              <w:jc w:val="both"/>
              <w:rPr>
                <w:rFonts w:ascii="Arial" w:cs="Arial" w:eastAsia="Arial" w:hAnsi="Arial"/>
              </w:rPr>
            </w:pPr>
            <w:bookmarkStart w:colFirst="0" w:colLast="0" w:name="_heading=h.30j0zll" w:id="0"/>
            <w:bookmarkEnd w:id="0"/>
            <w:r w:rsidDel="00000000" w:rsidR="00000000" w:rsidRPr="00000000">
              <w:rPr>
                <w:rFonts w:ascii="Arial" w:cs="Arial" w:eastAsia="Arial" w:hAnsi="Arial"/>
                <w:rtl w:val="0"/>
              </w:rPr>
              <w:t xml:space="preserve">No.</w:t>
            </w:r>
          </w:p>
        </w:tc>
        <w:tc>
          <w:tcPr>
            <w:shd w:fill="d9d9d9" w:val="clear"/>
          </w:tcPr>
          <w:p w:rsidR="00000000" w:rsidDel="00000000" w:rsidP="00000000" w:rsidRDefault="00000000" w:rsidRPr="00000000" w14:paraId="00000008">
            <w:pPr>
              <w:widowControl w:val="0"/>
              <w:jc w:val="both"/>
              <w:rPr>
                <w:rFonts w:ascii="Arial" w:cs="Arial" w:eastAsia="Arial" w:hAnsi="Arial"/>
              </w:rPr>
            </w:pPr>
            <w:r w:rsidDel="00000000" w:rsidR="00000000" w:rsidRPr="00000000">
              <w:rPr>
                <w:rFonts w:ascii="Arial" w:cs="Arial" w:eastAsia="Arial" w:hAnsi="Arial"/>
                <w:rtl w:val="0"/>
              </w:rPr>
              <w:t xml:space="preserve">Query</w:t>
            </w:r>
          </w:p>
        </w:tc>
        <w:tc>
          <w:tcPr>
            <w:shd w:fill="d9d9d9" w:val="clear"/>
          </w:tcPr>
          <w:p w:rsidR="00000000" w:rsidDel="00000000" w:rsidP="00000000" w:rsidRDefault="00000000" w:rsidRPr="00000000" w14:paraId="00000009">
            <w:pPr>
              <w:widowControl w:val="0"/>
              <w:jc w:val="both"/>
              <w:rPr>
                <w:rFonts w:ascii="Arial" w:cs="Arial" w:eastAsia="Arial" w:hAnsi="Arial"/>
              </w:rPr>
            </w:pPr>
            <w:r w:rsidDel="00000000" w:rsidR="00000000" w:rsidRPr="00000000">
              <w:rPr>
                <w:rFonts w:ascii="Arial" w:cs="Arial" w:eastAsia="Arial" w:hAnsi="Arial"/>
                <w:rtl w:val="0"/>
              </w:rPr>
              <w:t xml:space="preserve">Results</w:t>
            </w:r>
          </w:p>
        </w:tc>
      </w:tr>
      <w:tr>
        <w:trPr>
          <w:cantSplit w:val="0"/>
          <w:tblHeader w:val="0"/>
        </w:trPr>
        <w:tc>
          <w:tcPr/>
          <w:p w:rsidR="00000000" w:rsidDel="00000000" w:rsidP="00000000" w:rsidRDefault="00000000" w:rsidRPr="00000000" w14:paraId="0000000A">
            <w:pPr>
              <w:widowControl w:val="0"/>
              <w:jc w:val="both"/>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0B">
            <w:pPr>
              <w:widowControl w:val="0"/>
              <w:jc w:val="both"/>
              <w:rPr>
                <w:rFonts w:ascii="Arial" w:cs="Arial" w:eastAsia="Arial" w:hAnsi="Arial"/>
              </w:rPr>
            </w:pPr>
            <w:r w:rsidDel="00000000" w:rsidR="00000000" w:rsidRPr="00000000">
              <w:rPr>
                <w:rFonts w:ascii="Arial" w:cs="Arial" w:eastAsia="Arial" w:hAnsi="Arial"/>
                <w:rtl w:val="0"/>
              </w:rPr>
              <w:t xml:space="preserve">depressive disorder[MeSH Terms] OR depressive disorder, major[MeSH Terms] OR mood disorders[MeSH Terms] OR dysthymic disorder[MeSH Terms] OR depression[Text Word] OR depressive[Text Word] OR depressed[Text Word] OR dysthymia[Text Word] OR dysthymic[Text Word] OR affective symptoms[MeSH Terms] OR mdd[Title/Abstract] OR affective disorders[All Fields]</w:t>
            </w:r>
          </w:p>
        </w:tc>
        <w:tc>
          <w:tcPr/>
          <w:p w:rsidR="00000000" w:rsidDel="00000000" w:rsidP="00000000" w:rsidRDefault="00000000" w:rsidRPr="00000000" w14:paraId="0000000C">
            <w:pPr>
              <w:widowControl w:val="0"/>
              <w:jc w:val="both"/>
              <w:rPr>
                <w:rFonts w:ascii="Arial" w:cs="Arial" w:eastAsia="Arial" w:hAnsi="Arial"/>
              </w:rPr>
            </w:pPr>
            <w:r w:rsidDel="00000000" w:rsidR="00000000" w:rsidRPr="00000000">
              <w:rPr>
                <w:rFonts w:ascii="Arial" w:cs="Arial" w:eastAsia="Arial" w:hAnsi="Arial"/>
                <w:rtl w:val="0"/>
              </w:rPr>
              <w:t xml:space="preserve">704661</w:t>
            </w:r>
          </w:p>
        </w:tc>
      </w:tr>
      <w:tr>
        <w:trPr>
          <w:cantSplit w:val="0"/>
          <w:tblHeader w:val="0"/>
        </w:trPr>
        <w:tc>
          <w:tcPr/>
          <w:p w:rsidR="00000000" w:rsidDel="00000000" w:rsidP="00000000" w:rsidRDefault="00000000" w:rsidRPr="00000000" w14:paraId="0000000D">
            <w:pPr>
              <w:widowControl w:val="0"/>
              <w:jc w:val="both"/>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0E">
            <w:pPr>
              <w:widowControl w:val="0"/>
              <w:jc w:val="both"/>
              <w:rPr>
                <w:rFonts w:ascii="Arial" w:cs="Arial" w:eastAsia="Arial" w:hAnsi="Arial"/>
              </w:rPr>
            </w:pPr>
            <w:r w:rsidDel="00000000" w:rsidR="00000000" w:rsidRPr="00000000">
              <w:rPr>
                <w:rFonts w:ascii="Arial" w:cs="Arial" w:eastAsia="Arial" w:hAnsi="Arial"/>
                <w:rtl w:val="0"/>
              </w:rPr>
              <w:t xml:space="preserve">"vortioxetine"[MeSH Terms] OR "vortioxetine"[Title/Abstract] OR "Lu AA21004"[All Fields]</w:t>
            </w:r>
          </w:p>
        </w:tc>
        <w:tc>
          <w:tcPr/>
          <w:p w:rsidR="00000000" w:rsidDel="00000000" w:rsidP="00000000" w:rsidRDefault="00000000" w:rsidRPr="00000000" w14:paraId="0000000F">
            <w:pPr>
              <w:widowControl w:val="0"/>
              <w:jc w:val="both"/>
              <w:rPr>
                <w:rFonts w:ascii="Arial" w:cs="Arial" w:eastAsia="Arial" w:hAnsi="Arial"/>
              </w:rPr>
            </w:pPr>
            <w:r w:rsidDel="00000000" w:rsidR="00000000" w:rsidRPr="00000000">
              <w:rPr>
                <w:rFonts w:ascii="Arial" w:cs="Arial" w:eastAsia="Arial" w:hAnsi="Arial"/>
                <w:rtl w:val="0"/>
              </w:rPr>
              <w:t xml:space="preserve">731</w:t>
            </w:r>
          </w:p>
        </w:tc>
      </w:tr>
      <w:tr>
        <w:trPr>
          <w:cantSplit w:val="0"/>
          <w:tblHeader w:val="0"/>
        </w:trPr>
        <w:tc>
          <w:tcPr/>
          <w:p w:rsidR="00000000" w:rsidDel="00000000" w:rsidP="00000000" w:rsidRDefault="00000000" w:rsidRPr="00000000" w14:paraId="00000010">
            <w:pPr>
              <w:widowControl w:val="0"/>
              <w:jc w:val="both"/>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11">
            <w:pPr>
              <w:widowControl w:val="0"/>
              <w:jc w:val="both"/>
              <w:rPr>
                <w:rFonts w:ascii="Arial" w:cs="Arial" w:eastAsia="Arial" w:hAnsi="Arial"/>
              </w:rPr>
            </w:pPr>
            <w:r w:rsidDel="00000000" w:rsidR="00000000" w:rsidRPr="00000000">
              <w:rPr>
                <w:rFonts w:ascii="Arial" w:cs="Arial" w:eastAsia="Arial" w:hAnsi="Arial"/>
                <w:rtl w:val="0"/>
              </w:rPr>
              <w:t xml:space="preserve">(randomized controlled trial[Publication Type] OR controlled clinical trial[Publication Type] OR randomized[Title/Abstract] OR placebo[Title/Abstract] OR double-blind[Title/Abstract] OR controlled[Title/Abstract] OR randomly[Title/Abstract] OR trial[Title/Abstract] OR groups[Title/Abstract]) NOT ("animals"[MeSH Terms])</w:t>
            </w:r>
          </w:p>
        </w:tc>
        <w:tc>
          <w:tcPr/>
          <w:p w:rsidR="00000000" w:rsidDel="00000000" w:rsidP="00000000" w:rsidRDefault="00000000" w:rsidRPr="00000000" w14:paraId="00000012">
            <w:pPr>
              <w:widowControl w:val="0"/>
              <w:jc w:val="both"/>
              <w:rPr>
                <w:rFonts w:ascii="Arial" w:cs="Arial" w:eastAsia="Arial" w:hAnsi="Arial"/>
              </w:rPr>
            </w:pPr>
            <w:r w:rsidDel="00000000" w:rsidR="00000000" w:rsidRPr="00000000">
              <w:rPr>
                <w:rFonts w:ascii="Arial" w:cs="Arial" w:eastAsia="Arial" w:hAnsi="Arial"/>
                <w:rtl w:val="0"/>
              </w:rPr>
              <w:t xml:space="preserve">926749</w:t>
            </w:r>
          </w:p>
        </w:tc>
      </w:tr>
      <w:tr>
        <w:trPr>
          <w:cantSplit w:val="0"/>
          <w:tblHeader w:val="0"/>
        </w:trPr>
        <w:tc>
          <w:tcPr/>
          <w:p w:rsidR="00000000" w:rsidDel="00000000" w:rsidP="00000000" w:rsidRDefault="00000000" w:rsidRPr="00000000" w14:paraId="00000013">
            <w:pPr>
              <w:widowControl w:val="0"/>
              <w:jc w:val="both"/>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14">
            <w:pPr>
              <w:widowControl w:val="0"/>
              <w:jc w:val="both"/>
              <w:rPr>
                <w:rFonts w:ascii="Arial" w:cs="Arial" w:eastAsia="Arial" w:hAnsi="Arial"/>
              </w:rPr>
            </w:pPr>
            <w:r w:rsidDel="00000000" w:rsidR="00000000" w:rsidRPr="00000000">
              <w:rPr>
                <w:rFonts w:ascii="Arial" w:cs="Arial" w:eastAsia="Arial" w:hAnsi="Arial"/>
                <w:rtl w:val="0"/>
              </w:rPr>
              <w:t xml:space="preserve">1 AND 2 AND 3</w:t>
            </w:r>
          </w:p>
        </w:tc>
        <w:tc>
          <w:tcPr/>
          <w:p w:rsidR="00000000" w:rsidDel="00000000" w:rsidP="00000000" w:rsidRDefault="00000000" w:rsidRPr="00000000" w14:paraId="00000015">
            <w:pPr>
              <w:widowControl w:val="0"/>
              <w:jc w:val="both"/>
              <w:rPr>
                <w:rFonts w:ascii="Arial" w:cs="Arial" w:eastAsia="Arial" w:hAnsi="Arial"/>
              </w:rPr>
            </w:pPr>
            <w:r w:rsidDel="00000000" w:rsidR="00000000" w:rsidRPr="00000000">
              <w:rPr>
                <w:rFonts w:ascii="Arial" w:cs="Arial" w:eastAsia="Arial" w:hAnsi="Arial"/>
                <w:rtl w:val="0"/>
              </w:rPr>
              <w:t xml:space="preserve">66</w:t>
            </w:r>
          </w:p>
        </w:tc>
      </w:tr>
    </w:tbl>
    <w:p w:rsidR="00000000" w:rsidDel="00000000" w:rsidP="00000000" w:rsidRDefault="00000000" w:rsidRPr="00000000" w14:paraId="00000016">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17">
      <w:pPr>
        <w:jc w:val="both"/>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1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color w:val="ff0000"/>
          <w:u w:val="single"/>
        </w:rPr>
      </w:pPr>
      <w:r w:rsidDel="00000000" w:rsidR="00000000" w:rsidRPr="00000000">
        <w:rPr>
          <w:rFonts w:ascii="Arial" w:cs="Arial" w:eastAsia="Arial" w:hAnsi="Arial"/>
          <w:b w:val="1"/>
          <w:color w:val="ff0000"/>
          <w:u w:val="single"/>
          <w:rtl w:val="0"/>
        </w:rPr>
        <w:t xml:space="preserve">Inclusion Criteria:</w:t>
      </w:r>
    </w:p>
    <w:p w:rsidR="00000000" w:rsidDel="00000000" w:rsidP="00000000" w:rsidRDefault="00000000" w:rsidRPr="00000000" w14:paraId="0000001A">
      <w:pPr>
        <w:jc w:val="both"/>
        <w:rPr>
          <w:rFonts w:ascii="Arial" w:cs="Arial" w:eastAsia="Arial" w:hAnsi="Arial"/>
          <w:b w:val="1"/>
          <w:color w:val="ff0000"/>
          <w:u w:val="single"/>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212121"/>
        </w:rPr>
      </w:pPr>
      <w:r w:rsidDel="00000000" w:rsidR="00000000" w:rsidRPr="00000000">
        <w:rPr>
          <w:rFonts w:ascii="Arial" w:cs="Arial" w:eastAsia="Arial" w:hAnsi="Arial"/>
          <w:color w:val="212121"/>
          <w:rtl w:val="0"/>
        </w:rPr>
        <w:t xml:space="preserve">We included randomized controlled trials meeting the following criteria:</w:t>
      </w:r>
    </w:p>
    <w:p w:rsidR="00000000" w:rsidDel="00000000" w:rsidP="00000000" w:rsidRDefault="00000000" w:rsidRPr="00000000" w14:paraId="0000001C">
      <w:pPr>
        <w:jc w:val="both"/>
        <w:rPr>
          <w:rFonts w:ascii="Arial" w:cs="Arial" w:eastAsia="Arial" w:hAnsi="Arial"/>
          <w:color w:val="212121"/>
        </w:rPr>
      </w:pPr>
      <w:r w:rsidDel="00000000" w:rsidR="00000000" w:rsidRPr="00000000">
        <w:rPr>
          <w:rFonts w:ascii="Arial" w:cs="Arial" w:eastAsia="Arial" w:hAnsi="Arial"/>
          <w:color w:val="212121"/>
          <w:rtl w:val="0"/>
        </w:rPr>
        <w:t xml:space="preserve">(a) Participant: Adults aged 18 years and older diagnosed withMDD based on versions of the DSM or the SCID (e.g., DSM-IV,SCID-5).</w:t>
      </w:r>
    </w:p>
    <w:p w:rsidR="00000000" w:rsidDel="00000000" w:rsidP="00000000" w:rsidRDefault="00000000" w:rsidRPr="00000000" w14:paraId="0000001D">
      <w:pPr>
        <w:jc w:val="both"/>
        <w:rPr>
          <w:rFonts w:ascii="Arial" w:cs="Arial" w:eastAsia="Arial" w:hAnsi="Arial"/>
          <w:color w:val="212121"/>
        </w:rPr>
      </w:pPr>
      <w:r w:rsidDel="00000000" w:rsidR="00000000" w:rsidRPr="00000000">
        <w:rPr>
          <w:rFonts w:ascii="Arial" w:cs="Arial" w:eastAsia="Arial" w:hAnsi="Arial"/>
          <w:color w:val="212121"/>
          <w:rtl w:val="0"/>
        </w:rPr>
        <w:t xml:space="preserve">(b) Intervention: Vortioxetine or Lu AA21004.</w:t>
      </w:r>
    </w:p>
    <w:p w:rsidR="00000000" w:rsidDel="00000000" w:rsidP="00000000" w:rsidRDefault="00000000" w:rsidRPr="00000000" w14:paraId="0000001E">
      <w:pPr>
        <w:jc w:val="both"/>
        <w:rPr>
          <w:rFonts w:ascii="Arial" w:cs="Arial" w:eastAsia="Arial" w:hAnsi="Arial"/>
          <w:color w:val="212121"/>
        </w:rPr>
      </w:pPr>
      <w:r w:rsidDel="00000000" w:rsidR="00000000" w:rsidRPr="00000000">
        <w:rPr>
          <w:rFonts w:ascii="Arial" w:cs="Arial" w:eastAsia="Arial" w:hAnsi="Arial"/>
          <w:color w:val="212121"/>
          <w:rtl w:val="0"/>
        </w:rPr>
        <w:t xml:space="preserve">(c) Comparison: Placebo control or other antidepressants.</w:t>
      </w:r>
    </w:p>
    <w:p w:rsidR="00000000" w:rsidDel="00000000" w:rsidP="00000000" w:rsidRDefault="00000000" w:rsidRPr="00000000" w14:paraId="0000001F">
      <w:pPr>
        <w:jc w:val="both"/>
        <w:rPr>
          <w:rFonts w:ascii="Arial" w:cs="Arial" w:eastAsia="Arial" w:hAnsi="Arial"/>
          <w:color w:val="212121"/>
        </w:rPr>
      </w:pPr>
      <w:r w:rsidDel="00000000" w:rsidR="00000000" w:rsidRPr="00000000">
        <w:rPr>
          <w:rFonts w:ascii="Arial" w:cs="Arial" w:eastAsia="Arial" w:hAnsi="Arial"/>
          <w:color w:val="212121"/>
          <w:rtl w:val="0"/>
        </w:rPr>
        <w:t xml:space="preserve">(d) Outcome: We included the following outcomes assessed after 6–8 weeks of treatment: (1) Primary outcomes: Change inMontgomery-Åsberg Depression Scale (MADRS)/Hamilton Depres-sion Rating Scale (HAM-D) total score from baseline to the last visit(mean  SD) between the intervention and control groups. Any other validated scale was used when these two scales were not available.(2) Secondary outcomes: Response (deﬁned as a reduction of 50% or more in the total score on the scale for depression), dropout for any reason (as an overall measure of treatment acceptability), dropout due to adverse events (as an assessment of tolerability), and the rate of any adverse events (as a safety assessment).</w:t>
      </w:r>
    </w:p>
    <w:p w:rsidR="00000000" w:rsidDel="00000000" w:rsidP="00000000" w:rsidRDefault="00000000" w:rsidRPr="00000000" w14:paraId="00000020">
      <w:pPr>
        <w:jc w:val="both"/>
        <w:rPr>
          <w:rFonts w:ascii="Arial" w:cs="Arial" w:eastAsia="Arial" w:hAnsi="Arial"/>
          <w:color w:val="212121"/>
        </w:rPr>
      </w:pPr>
      <w:r w:rsidDel="00000000" w:rsidR="00000000" w:rsidRPr="00000000">
        <w:rPr>
          <w:rFonts w:ascii="Arial" w:cs="Arial" w:eastAsia="Arial" w:hAnsi="Arial"/>
          <w:color w:val="212121"/>
          <w:rtl w:val="0"/>
        </w:rPr>
        <w:t xml:space="preserve">(e) Study design: Only randomized controlled studies were included. For studies examining the dose–response relationship, we included all studies within the same trial comparing two or more ﬁxedor ﬂexible dose treatment groups (including placebo). There were no restrictions on the dose of vortioxetine in the included studies.found in the article text</w:t>
      </w:r>
    </w:p>
    <w:p w:rsidR="00000000" w:rsidDel="00000000" w:rsidP="00000000" w:rsidRDefault="00000000" w:rsidRPr="00000000" w14:paraId="00000021">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color w:val="ff0000"/>
          <w:u w:val="single"/>
        </w:rPr>
      </w:pPr>
      <w:r w:rsidDel="00000000" w:rsidR="00000000" w:rsidRPr="00000000">
        <w:rPr>
          <w:rFonts w:ascii="Arial" w:cs="Arial" w:eastAsia="Arial" w:hAnsi="Arial"/>
          <w:b w:val="1"/>
          <w:color w:val="ff0000"/>
          <w:u w:val="single"/>
          <w:rtl w:val="0"/>
        </w:rPr>
        <w:t xml:space="preserve">Exclusion Criteria:</w:t>
      </w:r>
    </w:p>
    <w:p w:rsidR="00000000" w:rsidDel="00000000" w:rsidP="00000000" w:rsidRDefault="00000000" w:rsidRPr="00000000" w14:paraId="00000023">
      <w:pPr>
        <w:jc w:val="both"/>
        <w:rPr>
          <w:rFonts w:ascii="Arial" w:cs="Arial" w:eastAsia="Arial" w:hAnsi="Arial"/>
          <w:b w:val="1"/>
          <w:color w:val="ff0000"/>
          <w:u w:val="single"/>
        </w:rPr>
      </w:pPr>
      <w:r w:rsidDel="00000000" w:rsidR="00000000" w:rsidRPr="00000000">
        <w:rPr>
          <w:rtl w:val="0"/>
        </w:rPr>
      </w:r>
    </w:p>
    <w:p w:rsidR="00000000" w:rsidDel="00000000" w:rsidP="00000000" w:rsidRDefault="00000000" w:rsidRPr="00000000" w14:paraId="00000024">
      <w:pPr>
        <w:jc w:val="both"/>
        <w:rPr>
          <w:rFonts w:ascii="Arial" w:cs="Arial" w:eastAsia="Arial" w:hAnsi="Arial"/>
          <w:color w:val="000000"/>
        </w:rPr>
      </w:pPr>
      <w:r w:rsidDel="00000000" w:rsidR="00000000" w:rsidRPr="00000000">
        <w:rPr>
          <w:rFonts w:ascii="Arial" w:cs="Arial" w:eastAsia="Arial" w:hAnsi="Arial"/>
          <w:color w:val="212121"/>
          <w:rtl w:val="0"/>
        </w:rPr>
        <w:t xml:space="preserve">We excluded studies meeting any of the following criteria:(1) Patients under 18 or those with other psychiatric disorders(e.g., generalized anxiety disorder, social anxiety disorder, etc.);(2) studies not published in English; (3) studies lacking outcomes of interest to us. </w:t>
      </w:r>
      <w:r w:rsidDel="00000000" w:rsidR="00000000" w:rsidRPr="00000000">
        <w:rPr>
          <w:rtl w:val="0"/>
        </w:rPr>
      </w:r>
    </w:p>
    <w:p w:rsidR="00000000" w:rsidDel="00000000" w:rsidP="00000000" w:rsidRDefault="00000000" w:rsidRPr="00000000" w14:paraId="00000025">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color w:val="000000"/>
          <w:rtl w:val="0"/>
        </w:rPr>
        <w:t xml:space="preserve">Search Date: 8 February, 2024</w:t>
      </w:r>
      <w:r w:rsidDel="00000000" w:rsidR="00000000" w:rsidRPr="00000000">
        <w:rPr>
          <w:rtl w:val="0"/>
        </w:rPr>
      </w:r>
    </w:p>
    <w:p w:rsidR="00000000" w:rsidDel="00000000" w:rsidP="00000000" w:rsidRDefault="00000000" w:rsidRPr="00000000" w14:paraId="00000029">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jc w:val="both"/>
        <w:rPr>
          <w:rFonts w:ascii="Arial" w:cs="Arial" w:eastAsia="Arial" w:hAnsi="Arial"/>
          <w:color w:val="000000"/>
        </w:rPr>
      </w:pPr>
      <w:r w:rsidDel="00000000" w:rsidR="00000000" w:rsidRPr="00000000">
        <w:rPr>
          <w:rFonts w:ascii="Arial" w:cs="Arial" w:eastAsia="Arial" w:hAnsi="Arial"/>
          <w:color w:val="000000"/>
          <w:rtl w:val="0"/>
        </w:rPr>
        <w:t xml:space="preserve">Included studies:</w:t>
      </w:r>
    </w:p>
    <w:p w:rsidR="00000000" w:rsidDel="00000000" w:rsidP="00000000" w:rsidRDefault="00000000" w:rsidRPr="00000000" w14:paraId="0000002B">
      <w:pPr>
        <w:jc w:val="both"/>
        <w:rPr>
          <w:rFonts w:ascii="Arial" w:cs="Arial" w:eastAsia="Arial" w:hAnsi="Arial"/>
          <w:color w:val="000000"/>
        </w:rPr>
      </w:pPr>
      <w:r w:rsidDel="00000000" w:rsidR="00000000" w:rsidRPr="00000000">
        <w:rPr>
          <w:rtl w:val="0"/>
        </w:rPr>
      </w:r>
    </w:p>
    <w:tbl>
      <w:tblPr>
        <w:tblStyle w:val="Table2"/>
        <w:tblW w:w="8981.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0"/>
        <w:gridCol w:w="4491"/>
        <w:tblGridChange w:id="0">
          <w:tblGrid>
            <w:gridCol w:w="4490"/>
            <w:gridCol w:w="4491"/>
          </w:tblGrid>
        </w:tblGridChange>
      </w:tblGrid>
      <w:tr>
        <w:trPr>
          <w:cantSplit w:val="0"/>
          <w:tblHeader w:val="0"/>
        </w:trPr>
        <w:tc>
          <w:tcPr/>
          <w:p w:rsidR="00000000" w:rsidDel="00000000" w:rsidP="00000000" w:rsidRDefault="00000000" w:rsidRPr="00000000" w14:paraId="0000002C">
            <w:pPr>
              <w:jc w:val="both"/>
              <w:rPr>
                <w:rFonts w:ascii="Arial" w:cs="Arial" w:eastAsia="Arial" w:hAnsi="Arial"/>
                <w:color w:val="000000"/>
              </w:rPr>
            </w:pPr>
            <w:r w:rsidDel="00000000" w:rsidR="00000000" w:rsidRPr="00000000">
              <w:rPr>
                <w:rFonts w:ascii="Arial" w:cs="Arial" w:eastAsia="Arial" w:hAnsi="Arial"/>
                <w:color w:val="000000"/>
                <w:rtl w:val="0"/>
              </w:rPr>
              <w:t xml:space="preserve">Study title </w:t>
            </w:r>
          </w:p>
        </w:tc>
        <w:tc>
          <w:tcPr/>
          <w:p w:rsidR="00000000" w:rsidDel="00000000" w:rsidP="00000000" w:rsidRDefault="00000000" w:rsidRPr="00000000" w14:paraId="0000002D">
            <w:pPr>
              <w:jc w:val="both"/>
              <w:rPr>
                <w:rFonts w:ascii="Arial" w:cs="Arial" w:eastAsia="Arial" w:hAnsi="Arial"/>
                <w:color w:val="000000"/>
              </w:rPr>
            </w:pPr>
            <w:r w:rsidDel="00000000" w:rsidR="00000000" w:rsidRPr="00000000">
              <w:rPr>
                <w:rFonts w:ascii="Arial" w:cs="Arial" w:eastAsia="Arial" w:hAnsi="Arial"/>
                <w:color w:val="000000"/>
                <w:rtl w:val="0"/>
              </w:rPr>
              <w:t xml:space="preserve">Pubmed ID of included study</w:t>
            </w:r>
          </w:p>
        </w:tc>
      </w:tr>
      <w:tr>
        <w:trPr>
          <w:cantSplit w:val="0"/>
          <w:tblHeader w:val="0"/>
        </w:trPr>
        <w:tc>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Alvarez E, Perez V, Dragheim M, Loft H, Artigas F. A double-blind,randomized, placebo-controlled, active reference study of Lu AA21004 inpatients with major depressive disorder. Int. J. Neuropsychopharmacol.2012; 15: 589–600</w:t>
            </w:r>
          </w:p>
        </w:tc>
        <w:tc>
          <w:tcPr/>
          <w:p w:rsidR="00000000" w:rsidDel="00000000" w:rsidP="00000000" w:rsidRDefault="00000000" w:rsidRPr="00000000" w14:paraId="0000002F">
            <w:pPr>
              <w:numPr>
                <w:ilvl w:val="0"/>
                <w:numId w:val="19"/>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21767441</w:t>
            </w:r>
          </w:p>
          <w:p w:rsidR="00000000" w:rsidDel="00000000" w:rsidP="00000000" w:rsidRDefault="00000000" w:rsidRPr="00000000" w14:paraId="00000030">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Baldwin DS, Loft H, Dragheim M. A randomised, double-blind, placebo controlled, duloxetine-referenced, ﬁxed-dose study of three dosages of Lu AA21004 in acute treatment of major depressive disorder (MDD).Eur. Neuropsychopharmacol. 2012; 22: 482–491</w:t>
            </w:r>
          </w:p>
        </w:tc>
        <w:tc>
          <w:tcPr/>
          <w:p w:rsidR="00000000" w:rsidDel="00000000" w:rsidP="00000000" w:rsidRDefault="00000000" w:rsidRPr="00000000" w14:paraId="00000032">
            <w:pPr>
              <w:numPr>
                <w:ilvl w:val="0"/>
                <w:numId w:val="2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22209361</w:t>
            </w:r>
          </w:p>
          <w:p w:rsidR="00000000" w:rsidDel="00000000" w:rsidP="00000000" w:rsidRDefault="00000000" w:rsidRPr="00000000" w14:paraId="00000033">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Henigsberg N, Mahableshwarkar AR, Jacobsen P, Chen Y, Thase ME. A randomized, double-blind, placebo-controlled 8-week trial of the efﬁcacyand tolerability of multiple doses of Lu AA21004 in adults with major depressive disorder. J. Clin. Psychiatry 2012; 73: 953–959.</w:t>
            </w:r>
          </w:p>
        </w:tc>
        <w:tc>
          <w:tcPr/>
          <w:p w:rsidR="00000000" w:rsidDel="00000000" w:rsidP="00000000" w:rsidRDefault="00000000" w:rsidRPr="00000000" w14:paraId="00000035">
            <w:pPr>
              <w:numPr>
                <w:ilvl w:val="0"/>
                <w:numId w:val="10"/>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22901346</w:t>
            </w:r>
          </w:p>
          <w:p w:rsidR="00000000" w:rsidDel="00000000" w:rsidP="00000000" w:rsidRDefault="00000000" w:rsidRPr="00000000" w14:paraId="00000036">
            <w:pPr>
              <w:shd w:fill="ffffff" w:val="clear"/>
              <w:jc w:val="both"/>
              <w:rPr>
                <w:rFonts w:ascii="Arial" w:cs="Arial" w:eastAsia="Arial" w:hAnsi="Arial"/>
                <w:highlight w:val="white"/>
              </w:rPr>
            </w:pPr>
            <w:r w:rsidDel="00000000" w:rsidR="00000000" w:rsidRPr="00000000">
              <w:rPr>
                <w:rtl w:val="0"/>
              </w:rPr>
            </w:r>
          </w:p>
        </w:tc>
      </w:tr>
      <w:tr>
        <w:trPr>
          <w:cantSplit w:val="0"/>
          <w:trHeight w:val="2642.8125" w:hRule="atLeast"/>
          <w:tblHeader w:val="0"/>
        </w:trPr>
        <w:tc>
          <w:tcPr/>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Katona C, Hansen T, Olsen CK. A randomized, double-blind, placebo-controlled, duloxetine-referenced, ﬁxed-dose study comparing theefﬁcacy and safety of Lu AA21004 in elderly patients with major depres-sive disorder. Int. Clin. Psychopharmacol. 2012; 27: 215–223</w:t>
            </w:r>
          </w:p>
        </w:tc>
        <w:tc>
          <w:tcPr/>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22572889</w:t>
            </w:r>
          </w:p>
          <w:p w:rsidR="00000000" w:rsidDel="00000000" w:rsidP="00000000" w:rsidRDefault="00000000" w:rsidRPr="00000000" w14:paraId="00000039">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Jain R, Mahableshwarkar AR, Jacobsen PL, Chen Y, Thase ME. A ran-domized, double-blind, placebo-controlled 6-wk trial of the efﬁcacy and tolerability of 5 mg vortioxetine in adults with major depressive disorder.Int. J. Neuropsychopharmacol. 2013; 16: 313–321.</w:t>
            </w:r>
          </w:p>
        </w:tc>
        <w:tc>
          <w:tcPr/>
          <w:p w:rsidR="00000000" w:rsidDel="00000000" w:rsidP="00000000" w:rsidRDefault="00000000" w:rsidRPr="00000000" w14:paraId="0000003B">
            <w:pPr>
              <w:numPr>
                <w:ilvl w:val="0"/>
                <w:numId w:val="17"/>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22963932</w:t>
            </w:r>
          </w:p>
          <w:p w:rsidR="00000000" w:rsidDel="00000000" w:rsidP="00000000" w:rsidRDefault="00000000" w:rsidRPr="00000000" w14:paraId="0000003C">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 xml:space="preserve">Mahableshwarkar AR, Jacobsen PL, Chen Y. A randomized, double-blind trial of 2.5 mg and 5 mg vortioxetine (Lu AA21004) versus placebo for 8 weeks in adults with major depressive disorder. Curr. Med.Res. Opin. 2013; 29: 217–226.</w:t>
            </w:r>
          </w:p>
        </w:tc>
        <w:tc>
          <w:tcPr/>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23252878</w:t>
            </w:r>
          </w:p>
          <w:p w:rsidR="00000000" w:rsidDel="00000000" w:rsidP="00000000" w:rsidRDefault="00000000" w:rsidRPr="00000000" w14:paraId="0000003F">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Boulenger JP, Loft H, Olsen CK. Efﬁcacy and safety of vortioxetine(Lu AA21004), 15 and 20 mg/day: A randomized, double-blind,placebo-controlled, duloxetine-referenced study in the acute treatment of adult patients with major depressive disorder. Int. Clin.Psychopharmacol. 2014; 29: 138–149</w:t>
            </w:r>
          </w:p>
        </w:tc>
        <w:tc>
          <w:tcPr/>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24257717</w:t>
            </w:r>
          </w:p>
          <w:p w:rsidR="00000000" w:rsidDel="00000000" w:rsidP="00000000" w:rsidRDefault="00000000" w:rsidRPr="00000000" w14:paraId="00000042">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McIntyre RS, Lophaven S, Olsen CK. A randomized, double-blind,placebo-controlled study of vortioxetine on cognitive function in depressed adults. Int. J. Neuropsychopharmacol. 2014; 17: 1557–1567.</w:t>
            </w:r>
          </w:p>
        </w:tc>
        <w:tc>
          <w:tcPr/>
          <w:p w:rsidR="00000000" w:rsidDel="00000000" w:rsidP="00000000" w:rsidRDefault="00000000" w:rsidRPr="00000000" w14:paraId="00000044">
            <w:pPr>
              <w:numPr>
                <w:ilvl w:val="0"/>
                <w:numId w:val="18"/>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24787143</w:t>
            </w:r>
          </w:p>
          <w:p w:rsidR="00000000" w:rsidDel="00000000" w:rsidP="00000000" w:rsidRDefault="00000000" w:rsidRPr="00000000" w14:paraId="00000045">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Montgomery SA, Nielsen RZ, Poulsen LH, Haggstrom L. A randomised,double-blind study in adults with major depressive disorder with an inadequate response to a single course of selective serotonin reuptake inhibitor or serotonin-noradrenaline reuptake inhibitor treatment switched to vortioxetine or agomelatine. Hum. Psychopharmacol. 2014; 29:470–482</w:t>
            </w:r>
          </w:p>
        </w:tc>
        <w:tc>
          <w:tcPr/>
          <w:p w:rsidR="00000000" w:rsidDel="00000000" w:rsidP="00000000" w:rsidRDefault="00000000" w:rsidRPr="00000000" w14:paraId="00000047">
            <w:pPr>
              <w:numPr>
                <w:ilvl w:val="0"/>
                <w:numId w:val="1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25087600</w:t>
            </w:r>
          </w:p>
          <w:p w:rsidR="00000000" w:rsidDel="00000000" w:rsidP="00000000" w:rsidRDefault="00000000" w:rsidRPr="00000000" w14:paraId="00000048">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Jacobsen PL, Mahableshwarkar AR, Serenko M, Chan S, Trivedi MH. A randomized, double-blind, placebo-controlled study of the efﬁcacy andsafety of vortioxetine 10 mg and 20 mg in adults with major depressive disorder. J. Clin. Psychiatry 2015; 76: 575–582</w:t>
            </w:r>
          </w:p>
        </w:tc>
        <w:tc>
          <w:tcPr/>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26035185</w:t>
            </w:r>
          </w:p>
          <w:p w:rsidR="00000000" w:rsidDel="00000000" w:rsidP="00000000" w:rsidRDefault="00000000" w:rsidRPr="00000000" w14:paraId="0000004B">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Mahableshwarkar AR, Jacobsen PL, Chen Y, Serenko M, Trivedi MH.A randomized, double-blind, duloxetine-referenced study comparing efﬁ-cacy and tolerability of 2 ﬁxed doses of vortioxetine in the acute treat-ment of adults with MDD. Psychopharmacology 2015; 232: 2061–2070</w:t>
            </w:r>
          </w:p>
        </w:tc>
        <w:tc>
          <w:tcPr/>
          <w:p w:rsidR="00000000" w:rsidDel="00000000" w:rsidP="00000000" w:rsidRDefault="00000000" w:rsidRPr="00000000" w14:paraId="0000004D">
            <w:pPr>
              <w:numPr>
                <w:ilvl w:val="0"/>
                <w:numId w:val="2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25575488</w:t>
            </w:r>
          </w:p>
          <w:p w:rsidR="00000000" w:rsidDel="00000000" w:rsidP="00000000" w:rsidRDefault="00000000" w:rsidRPr="00000000" w14:paraId="0000004E">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Mahableshwarkar AR, Jacobsen PL, Serenko M, Chen Y, Trivedi MH.A randomized, double-blind, placebo-controlled study of the efﬁcacy andsafety of 2 doses of vortioxetine in adults with major depressive disorder.J. Clin. Psychiatry 2015; 76: 583–591.</w:t>
            </w:r>
          </w:p>
        </w:tc>
        <w:tc>
          <w:tcPr/>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26035186</w:t>
            </w:r>
          </w:p>
          <w:p w:rsidR="00000000" w:rsidDel="00000000" w:rsidP="00000000" w:rsidRDefault="00000000" w:rsidRPr="00000000" w14:paraId="00000051">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Mahableshwarkar AR, Zajecka J, Jacobson W, Chen Y, Keefe RS. A randomized, placebo-controlled, active-reference, double-blind, ﬂexible-dose study of the efﬁcacy of vortioxetine on cognitive function in major depressive disorder. Neuropsychopharmacology 2015; 40: 2025–2037</w:t>
            </w:r>
            <w:r w:rsidDel="00000000" w:rsidR="00000000" w:rsidRPr="00000000">
              <w:rPr>
                <w:rtl w:val="0"/>
              </w:rPr>
            </w:r>
          </w:p>
        </w:tc>
        <w:tc>
          <w:tcPr/>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25687662</w:t>
            </w:r>
          </w:p>
          <w:p w:rsidR="00000000" w:rsidDel="00000000" w:rsidP="00000000" w:rsidRDefault="00000000" w:rsidRPr="00000000" w14:paraId="00000054">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Wang G, Gislum M, Filippov G, Montgomery S. Comparison of vortioxetine versus venlafaxine XR in adults in Asia with major depres-sive disorder: A randomized, double-blind study. Curr. Med. Res. Opin.2015; 31: 785–794</w:t>
            </w:r>
          </w:p>
        </w:tc>
        <w:tc>
          <w:tcPr/>
          <w:p w:rsidR="00000000" w:rsidDel="00000000" w:rsidP="00000000" w:rsidRDefault="00000000" w:rsidRPr="00000000" w14:paraId="00000056">
            <w:pPr>
              <w:numPr>
                <w:ilvl w:val="0"/>
                <w:numId w:val="16"/>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25650503</w:t>
            </w:r>
          </w:p>
          <w:p w:rsidR="00000000" w:rsidDel="00000000" w:rsidP="00000000" w:rsidRDefault="00000000" w:rsidRPr="00000000" w14:paraId="00000057">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Baune BT, Sluth LB, Olsen CK. The effects of vortioxetine on cognitive performance in working patients with major depressive disorder: A short-term, randomized, double-blind, exploratory study. J. Affect. Dis-ord. 2018; 229: 421–428.</w:t>
            </w:r>
          </w:p>
        </w:tc>
        <w:tc>
          <w:tcPr/>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29331703</w:t>
            </w:r>
          </w:p>
          <w:p w:rsidR="00000000" w:rsidDel="00000000" w:rsidP="00000000" w:rsidRDefault="00000000" w:rsidRPr="00000000" w14:paraId="0000005A">
            <w:pPr>
              <w:shd w:fill="ffffff" w:val="clear"/>
              <w:jc w:val="both"/>
              <w:rPr>
                <w:rFonts w:ascii="Arial" w:cs="Arial" w:eastAsia="Arial" w:hAnsi="Arial"/>
                <w:highlight w:val="white"/>
              </w:rPr>
            </w:pPr>
            <w:r w:rsidDel="00000000" w:rsidR="00000000" w:rsidRPr="00000000">
              <w:rPr>
                <w:rtl w:val="0"/>
              </w:rPr>
            </w:r>
          </w:p>
        </w:tc>
      </w:tr>
      <w:tr>
        <w:trPr>
          <w:cantSplit w:val="0"/>
          <w:trHeight w:val="2597.8125" w:hRule="atLeast"/>
          <w:tblHeader w:val="0"/>
        </w:trPr>
        <w:tc>
          <w:tcPr/>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Inoue T, Nishimura A, Sasai K, Kitagawa T. Randomized, 8-week,double-blind, placebo-controlled trial of vortioxetine in Japanese adults with major depressive disorder, followed by a 52-week open-label exten-sion trial. Psychiatry Clin. Neurosci. 2018; 72: 103–115</w:t>
            </w:r>
          </w:p>
        </w:tc>
        <w:tc>
          <w:tcPr/>
          <w:p w:rsidR="00000000" w:rsidDel="00000000" w:rsidP="00000000" w:rsidRDefault="00000000" w:rsidRPr="00000000" w14:paraId="0000005C">
            <w:pPr>
              <w:numPr>
                <w:ilvl w:val="0"/>
                <w:numId w:val="23"/>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29160598</w:t>
            </w:r>
          </w:p>
          <w:p w:rsidR="00000000" w:rsidDel="00000000" w:rsidP="00000000" w:rsidRDefault="00000000" w:rsidRPr="00000000" w14:paraId="0000005D">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Nishimura A, Aritomi Y, Sasai K, Kitagawa T, Mahableshwarkar AR.Randomized, double-blind, placebo-controlled 8-week trial of the efﬁ-cacy, safety, and tolerability of 5, 10, and 20 mg/day vortioxetine in adults with major depressive disorder. Psychiatry Clin. Neurosci. 2018;72: 64–72.</w:t>
            </w:r>
          </w:p>
        </w:tc>
        <w:tc>
          <w:tcPr/>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28858412</w:t>
            </w:r>
          </w:p>
          <w:p w:rsidR="00000000" w:rsidDel="00000000" w:rsidP="00000000" w:rsidRDefault="00000000" w:rsidRPr="00000000" w14:paraId="00000060">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Vieta E, Sluth LB, Olsen CK. The effects of vortioxetine on cognitive dys-function in patients with inadequate response to current antidepressants in major depressive disorder: A short-term, randomized, double-blind, explor-atory study versus escitalopram. J. Affect. Disord. 2018; 227: 803–809.</w:t>
            </w:r>
          </w:p>
        </w:tc>
        <w:tc>
          <w:tcPr/>
          <w:p w:rsidR="00000000" w:rsidDel="00000000" w:rsidP="00000000" w:rsidRDefault="00000000" w:rsidRPr="00000000" w14:paraId="00000062">
            <w:pPr>
              <w:numPr>
                <w:ilvl w:val="0"/>
                <w:numId w:val="14"/>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29673132</w:t>
            </w:r>
          </w:p>
          <w:p w:rsidR="00000000" w:rsidDel="00000000" w:rsidP="00000000" w:rsidRDefault="00000000" w:rsidRPr="00000000" w14:paraId="00000063">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Borhannejad F, Shariati B, Naderi S et al. Comparison of vortioxetine and sertraline for treatment of major depressive disorder in elderly patients: Adouble-blind randomized trial. J. Clin. Pharm. Ther. 2020; 45: 804–811.</w:t>
            </w:r>
          </w:p>
        </w:tc>
        <w:tc>
          <w:tcPr/>
          <w:p w:rsidR="00000000" w:rsidDel="00000000" w:rsidP="00000000" w:rsidRDefault="00000000" w:rsidRPr="00000000" w14:paraId="00000065">
            <w:pPr>
              <w:numPr>
                <w:ilvl w:val="0"/>
                <w:numId w:val="20"/>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32420649</w:t>
            </w:r>
          </w:p>
          <w:p w:rsidR="00000000" w:rsidDel="00000000" w:rsidP="00000000" w:rsidRDefault="00000000" w:rsidRPr="00000000" w14:paraId="00000066">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Inoue T, Sasai K, Kitagawa T, Nishimura A, Inada I. Randomized,double-blind, placebo-controlled study to assess the efﬁcacy and safety of vortioxetine in Japanese patients with major depressive disorder.Psychiatry Clin. Neurosci. 2020; 74: 140–148.</w:t>
            </w:r>
          </w:p>
        </w:tc>
        <w:tc>
          <w:tcPr/>
          <w:p w:rsidR="00000000" w:rsidDel="00000000" w:rsidP="00000000" w:rsidRDefault="00000000" w:rsidRPr="00000000" w14:paraId="00000068">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31725942</w:t>
            </w:r>
          </w:p>
          <w:p w:rsidR="00000000" w:rsidDel="00000000" w:rsidP="00000000" w:rsidRDefault="00000000" w:rsidRPr="00000000" w14:paraId="00000069">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Lee SH, Jeon SW, Shin C et al. Acute efﬁcacy and safety of escitalopram versus desvenlafaxine and vortioxetine in the treatment of depression with cognitive complaint: A rater-blinded randomized com-parative study. Psychiatry Investig. 2022; 19: 500</w:t>
            </w:r>
          </w:p>
        </w:tc>
        <w:tc>
          <w:tcPr/>
          <w:p w:rsidR="00000000" w:rsidDel="00000000" w:rsidP="00000000" w:rsidRDefault="00000000" w:rsidRPr="00000000" w14:paraId="0000006B">
            <w:pPr>
              <w:numPr>
                <w:ilvl w:val="0"/>
                <w:numId w:val="15"/>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35753689</w:t>
            </w:r>
          </w:p>
          <w:p w:rsidR="00000000" w:rsidDel="00000000" w:rsidP="00000000" w:rsidRDefault="00000000" w:rsidRPr="00000000" w14:paraId="0000006C">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McIntyre RS, Florea I, Pedersen MM, Christensen MC. Head-to-head comparison of vortioxetine versus desvenlafaxine in patients with major depressive disorder with partial response to SSRI therapy. J. Clin. Psychi-atry 2023; 84: 23m14780.</w:t>
            </w:r>
          </w:p>
        </w:tc>
        <w:tc>
          <w:tcPr/>
          <w:p w:rsidR="00000000" w:rsidDel="00000000" w:rsidP="00000000" w:rsidRDefault="00000000" w:rsidRPr="00000000" w14:paraId="0000006E">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37227402</w:t>
            </w:r>
          </w:p>
          <w:p w:rsidR="00000000" w:rsidDel="00000000" w:rsidP="00000000" w:rsidRDefault="00000000" w:rsidRPr="00000000" w14:paraId="0000006F">
            <w:pPr>
              <w:shd w:fill="ffffff" w:val="clear"/>
              <w:jc w:val="both"/>
              <w:rPr>
                <w:rFonts w:ascii="Arial" w:cs="Arial" w:eastAsia="Arial" w:hAnsi="Arial"/>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Shin C, Jeon SW, Lee S-H et al. Efﬁcacy and safety of escitalopram,desvenlafaxine, and vortioxetine in the acute treatment of anxious depression: A randomized rater-blinded 6-week clinical trial. Clin.Psychopharmacol. Neurosci. 2023; 21: 135–146.</w:t>
            </w:r>
          </w:p>
        </w:tc>
        <w:tc>
          <w:tcPr/>
          <w:p w:rsidR="00000000" w:rsidDel="00000000" w:rsidP="00000000" w:rsidRDefault="00000000" w:rsidRPr="00000000" w14:paraId="00000071">
            <w:pPr>
              <w:numPr>
                <w:ilvl w:val="0"/>
                <w:numId w:val="1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Arial" w:cs="Arial" w:eastAsia="Arial" w:hAnsi="Arial"/>
                <w:highlight w:val="white"/>
              </w:rPr>
            </w:pPr>
            <w:r w:rsidDel="00000000" w:rsidR="00000000" w:rsidRPr="00000000">
              <w:rPr>
                <w:rFonts w:ascii="Arial" w:cs="Arial" w:eastAsia="Arial" w:hAnsi="Arial"/>
                <w:color w:val="212121"/>
                <w:highlight w:val="white"/>
                <w:rtl w:val="0"/>
              </w:rPr>
              <w:t xml:space="preserve">36700320</w:t>
            </w:r>
          </w:p>
          <w:p w:rsidR="00000000" w:rsidDel="00000000" w:rsidP="00000000" w:rsidRDefault="00000000" w:rsidRPr="00000000" w14:paraId="00000072">
            <w:pPr>
              <w:shd w:fill="ffffff" w:val="clear"/>
              <w:jc w:val="both"/>
              <w:rPr>
                <w:rFonts w:ascii="Arial" w:cs="Arial" w:eastAsia="Arial" w:hAnsi="Arial"/>
                <w:highlight w:val="white"/>
              </w:rPr>
            </w:pPr>
            <w:r w:rsidDel="00000000" w:rsidR="00000000" w:rsidRPr="00000000">
              <w:rPr>
                <w:rtl w:val="0"/>
              </w:rPr>
            </w:r>
          </w:p>
        </w:tc>
      </w:tr>
    </w:tbl>
    <w:p w:rsidR="00000000" w:rsidDel="00000000" w:rsidP="00000000" w:rsidRDefault="00000000" w:rsidRPr="00000000" w14:paraId="00000073">
      <w:pPr>
        <w:jc w:val="both"/>
        <w:rPr>
          <w:rFonts w:ascii="Arial" w:cs="Arial" w:eastAsia="Arial" w:hAnsi="Arial"/>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F62C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Standard"/>
    <w:link w:val="berschrift2Zchn"/>
    <w:uiPriority w:val="9"/>
    <w:semiHidden w:val="1"/>
    <w:unhideWhenUsed w:val="1"/>
    <w:qFormat w:val="1"/>
    <w:rsid w:val="00F62C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Standard"/>
    <w:link w:val="berschrift3Zchn"/>
    <w:uiPriority w:val="9"/>
    <w:semiHidden w:val="1"/>
    <w:unhideWhenUsed w:val="1"/>
    <w:qFormat w:val="1"/>
    <w:rsid w:val="00F62C09"/>
    <w:pPr>
      <w:keepNext w:val="1"/>
      <w:keepLines w:val="1"/>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Standard"/>
    <w:link w:val="berschrift4Zchn"/>
    <w:uiPriority w:val="9"/>
    <w:semiHidden w:val="1"/>
    <w:unhideWhenUsed w:val="1"/>
    <w:qFormat w:val="1"/>
    <w:rsid w:val="00F62C09"/>
    <w:pPr>
      <w:keepNext w:val="1"/>
      <w:keepLines w:val="1"/>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Standard"/>
    <w:link w:val="berschrift5Zchn"/>
    <w:uiPriority w:val="9"/>
    <w:semiHidden w:val="1"/>
    <w:unhideWhenUsed w:val="1"/>
    <w:qFormat w:val="1"/>
    <w:rsid w:val="00F62C09"/>
    <w:pPr>
      <w:keepNext w:val="1"/>
      <w:keepLines w:val="1"/>
      <w:spacing w:after="40" w:before="80"/>
      <w:outlineLvl w:val="4"/>
    </w:pPr>
    <w:rPr>
      <w:rFonts w:cstheme="majorBidi" w:eastAsiaTheme="majorEastAsia"/>
      <w:color w:val="0f4761" w:themeColor="accent1" w:themeShade="0000BF"/>
    </w:rPr>
  </w:style>
  <w:style w:type="paragraph" w:styleId="berschrift6">
    <w:name w:val="heading 6"/>
    <w:basedOn w:val="Standard"/>
    <w:next w:val="Standard"/>
    <w:link w:val="berschrift6Zchn"/>
    <w:uiPriority w:val="9"/>
    <w:semiHidden w:val="1"/>
    <w:unhideWhenUsed w:val="1"/>
    <w:qFormat w:val="1"/>
    <w:rsid w:val="00F62C09"/>
    <w:pPr>
      <w:keepNext w:val="1"/>
      <w:keepLines w:val="1"/>
      <w:spacing w:before="40"/>
      <w:outlineLvl w:val="5"/>
    </w:pPr>
    <w:rPr>
      <w:rFonts w:cstheme="majorBidi" w:eastAsiaTheme="majorEastAsia"/>
      <w:i w:val="1"/>
      <w:iCs w:val="1"/>
      <w:color w:val="595959" w:themeColor="text1" w:themeTint="0000A6"/>
    </w:rPr>
  </w:style>
  <w:style w:type="paragraph" w:styleId="berschrift7">
    <w:name w:val="heading 7"/>
    <w:basedOn w:val="Standard"/>
    <w:next w:val="Standard"/>
    <w:link w:val="berschrift7Zchn"/>
    <w:uiPriority w:val="9"/>
    <w:semiHidden w:val="1"/>
    <w:unhideWhenUsed w:val="1"/>
    <w:qFormat w:val="1"/>
    <w:rsid w:val="00F62C09"/>
    <w:pPr>
      <w:keepNext w:val="1"/>
      <w:keepLines w:val="1"/>
      <w:spacing w:before="40"/>
      <w:outlineLvl w:val="6"/>
    </w:pPr>
    <w:rPr>
      <w:rFonts w:cstheme="majorBidi" w:eastAsiaTheme="majorEastAsia"/>
      <w:color w:val="595959" w:themeColor="text1" w:themeTint="0000A6"/>
    </w:rPr>
  </w:style>
  <w:style w:type="paragraph" w:styleId="berschrift8">
    <w:name w:val="heading 8"/>
    <w:basedOn w:val="Standard"/>
    <w:next w:val="Standard"/>
    <w:link w:val="berschrift8Zchn"/>
    <w:uiPriority w:val="9"/>
    <w:semiHidden w:val="1"/>
    <w:unhideWhenUsed w:val="1"/>
    <w:qFormat w:val="1"/>
    <w:rsid w:val="00F62C09"/>
    <w:pPr>
      <w:keepNext w:val="1"/>
      <w:keepLines w:val="1"/>
      <w:outlineLvl w:val="7"/>
    </w:pPr>
    <w:rPr>
      <w:rFonts w:cstheme="majorBidi" w:eastAsiaTheme="majorEastAsia"/>
      <w:i w:val="1"/>
      <w:iCs w:val="1"/>
      <w:color w:val="272727" w:themeColor="text1" w:themeTint="0000D8"/>
    </w:rPr>
  </w:style>
  <w:style w:type="paragraph" w:styleId="berschrift9">
    <w:name w:val="heading 9"/>
    <w:basedOn w:val="Standard"/>
    <w:next w:val="Standard"/>
    <w:link w:val="berschrift9Zchn"/>
    <w:uiPriority w:val="9"/>
    <w:semiHidden w:val="1"/>
    <w:unhideWhenUsed w:val="1"/>
    <w:qFormat w:val="1"/>
    <w:rsid w:val="00F62C09"/>
    <w:pPr>
      <w:keepNext w:val="1"/>
      <w:keepLines w:val="1"/>
      <w:outlineLvl w:val="8"/>
    </w:pPr>
    <w:rPr>
      <w:rFonts w:cstheme="majorBidi" w:eastAsiaTheme="majorEastAsia"/>
      <w:color w:val="272727" w:themeColor="text1" w:themeTint="0000D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F62C09"/>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F62C09"/>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F62C09"/>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F62C09"/>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F62C09"/>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F62C09"/>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F62C09"/>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F62C09"/>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F62C09"/>
    <w:rPr>
      <w:rFonts w:cstheme="majorBidi" w:eastAsiaTheme="majorEastAsia"/>
      <w:color w:val="272727" w:themeColor="text1" w:themeTint="0000D8"/>
    </w:rPr>
  </w:style>
  <w:style w:type="paragraph" w:styleId="Titel">
    <w:name w:val="Title"/>
    <w:basedOn w:val="Standard"/>
    <w:next w:val="Standard"/>
    <w:link w:val="TitelZchn"/>
    <w:uiPriority w:val="10"/>
    <w:qFormat w:val="1"/>
    <w:rsid w:val="00F62C09"/>
    <w:pPr>
      <w:spacing w:after="80"/>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F62C09"/>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F62C09"/>
    <w:pPr>
      <w:numPr>
        <w:ilvl w:val="1"/>
      </w:numPr>
      <w:spacing w:after="160"/>
    </w:pPr>
    <w:rPr>
      <w:rFonts w:cstheme="majorBidi" w:eastAsiaTheme="majorEastAsia"/>
      <w:color w:val="595959" w:themeColor="text1" w:themeTint="0000A6"/>
      <w:spacing w:val="15"/>
      <w:sz w:val="28"/>
      <w:szCs w:val="28"/>
    </w:rPr>
  </w:style>
  <w:style w:type="character" w:styleId="UntertitelZchn" w:customStyle="1">
    <w:name w:val="Untertitel Zchn"/>
    <w:basedOn w:val="Absatz-Standardschriftart"/>
    <w:link w:val="Untertitel"/>
    <w:uiPriority w:val="11"/>
    <w:rsid w:val="00F62C09"/>
    <w:rPr>
      <w:rFonts w:cstheme="majorBidi" w:eastAsiaTheme="majorEastAsia"/>
      <w:color w:val="595959" w:themeColor="text1" w:themeTint="0000A6"/>
      <w:spacing w:val="15"/>
      <w:sz w:val="28"/>
      <w:szCs w:val="28"/>
    </w:rPr>
  </w:style>
  <w:style w:type="paragraph" w:styleId="Zitat">
    <w:name w:val="Quote"/>
    <w:basedOn w:val="Standard"/>
    <w:next w:val="Standard"/>
    <w:link w:val="ZitatZchn"/>
    <w:uiPriority w:val="29"/>
    <w:qFormat w:val="1"/>
    <w:rsid w:val="00F62C09"/>
    <w:pPr>
      <w:spacing w:after="160" w:before="160"/>
      <w:jc w:val="center"/>
    </w:pPr>
    <w:rPr>
      <w:i w:val="1"/>
      <w:iCs w:val="1"/>
      <w:color w:val="404040" w:themeColor="text1" w:themeTint="0000BF"/>
    </w:rPr>
  </w:style>
  <w:style w:type="character" w:styleId="ZitatZchn" w:customStyle="1">
    <w:name w:val="Zitat Zchn"/>
    <w:basedOn w:val="Absatz-Standardschriftart"/>
    <w:link w:val="Zitat"/>
    <w:uiPriority w:val="29"/>
    <w:rsid w:val="00F62C09"/>
    <w:rPr>
      <w:i w:val="1"/>
      <w:iCs w:val="1"/>
      <w:color w:val="404040" w:themeColor="text1" w:themeTint="0000BF"/>
    </w:rPr>
  </w:style>
  <w:style w:type="paragraph" w:styleId="Listenabsatz">
    <w:name w:val="List Paragraph"/>
    <w:basedOn w:val="Standard"/>
    <w:uiPriority w:val="34"/>
    <w:qFormat w:val="1"/>
    <w:rsid w:val="00F62C09"/>
    <w:pPr>
      <w:ind w:left="720"/>
      <w:contextualSpacing w:val="1"/>
    </w:pPr>
  </w:style>
  <w:style w:type="character" w:styleId="IntensiveHervorhebung">
    <w:name w:val="Intense Emphasis"/>
    <w:basedOn w:val="Absatz-Standardschriftart"/>
    <w:uiPriority w:val="21"/>
    <w:qFormat w:val="1"/>
    <w:rsid w:val="00F62C09"/>
    <w:rPr>
      <w:i w:val="1"/>
      <w:iCs w:val="1"/>
      <w:color w:val="0f4761" w:themeColor="accent1" w:themeShade="0000BF"/>
    </w:rPr>
  </w:style>
  <w:style w:type="paragraph" w:styleId="IntensivesZitat">
    <w:name w:val="Intense Quote"/>
    <w:basedOn w:val="Standard"/>
    <w:next w:val="Standard"/>
    <w:link w:val="IntensivesZitatZchn"/>
    <w:uiPriority w:val="30"/>
    <w:qFormat w:val="1"/>
    <w:rsid w:val="00F62C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ivesZitatZchn" w:customStyle="1">
    <w:name w:val="Intensives Zitat Zchn"/>
    <w:basedOn w:val="Absatz-Standardschriftart"/>
    <w:link w:val="IntensivesZitat"/>
    <w:uiPriority w:val="30"/>
    <w:rsid w:val="00F62C09"/>
    <w:rPr>
      <w:i w:val="1"/>
      <w:iCs w:val="1"/>
      <w:color w:val="0f4761" w:themeColor="accent1" w:themeShade="0000BF"/>
    </w:rPr>
  </w:style>
  <w:style w:type="character" w:styleId="IntensiverVerweis">
    <w:name w:val="Intense Reference"/>
    <w:basedOn w:val="Absatz-Standardschriftart"/>
    <w:uiPriority w:val="32"/>
    <w:qFormat w:val="1"/>
    <w:rsid w:val="00F62C09"/>
    <w:rPr>
      <w:b w:val="1"/>
      <w:bCs w:val="1"/>
      <w:smallCaps w:val="1"/>
      <w:color w:val="0f4761" w:themeColor="accent1" w:themeShade="0000BF"/>
      <w:spacing w:val="5"/>
    </w:rPr>
  </w:style>
  <w:style w:type="paragraph" w:styleId="Default" w:customStyle="1">
    <w:name w:val="Default"/>
    <w:rsid w:val="00F62C09"/>
    <w:pPr>
      <w:autoSpaceDE w:val="0"/>
      <w:autoSpaceDN w:val="0"/>
      <w:adjustRightInd w:val="0"/>
    </w:pPr>
    <w:rPr>
      <w:rFonts w:ascii="Times New Roman" w:cs="Times New Roman" w:hAnsi="Times New Roman"/>
      <w:color w:val="000000"/>
      <w:kern w:val="0"/>
    </w:rPr>
  </w:style>
  <w:style w:type="table" w:styleId="Tabellenraster">
    <w:name w:val="Table Grid"/>
    <w:basedOn w:val="NormaleTabelle"/>
    <w:uiPriority w:val="39"/>
    <w:rsid w:val="00D456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ett">
    <w:name w:val="Strong"/>
    <w:basedOn w:val="Absatz-Standardschriftart"/>
    <w:uiPriority w:val="22"/>
    <w:qFormat w:val="1"/>
    <w:rsid w:val="00D456EA"/>
    <w:rPr>
      <w:b w:val="1"/>
      <w:bCs w:val="1"/>
    </w:rPr>
  </w:style>
  <w:style w:type="character" w:styleId="Hyperlink">
    <w:name w:val="Hyperlink"/>
    <w:basedOn w:val="Absatz-Standardschriftart"/>
    <w:uiPriority w:val="99"/>
    <w:semiHidden w:val="1"/>
    <w:unhideWhenUsed w:val="1"/>
    <w:rsid w:val="00D456EA"/>
    <w:rPr>
      <w:color w:val="0000ff"/>
      <w:u w:val="single"/>
    </w:rPr>
  </w:style>
  <w:style w:type="character" w:styleId="docsum-pmid" w:customStyle="1">
    <w:name w:val="docsum-pmid"/>
    <w:basedOn w:val="Absatz-Standardschriftart"/>
    <w:rsid w:val="00D456EA"/>
  </w:style>
  <w:style w:type="paragraph" w:styleId="Pa13" w:customStyle="1">
    <w:name w:val="Pa13"/>
    <w:basedOn w:val="Default"/>
    <w:next w:val="Default"/>
    <w:uiPriority w:val="99"/>
    <w:rsid w:val="00D456EA"/>
    <w:pPr>
      <w:spacing w:line="140" w:lineRule="atLeast"/>
    </w:pPr>
    <w:rPr>
      <w:rFonts w:ascii="Shaker 2 Lancet" w:hAnsi="Shaker 2 Lancet" w:cstheme="minorBidi"/>
      <w:color w:val="auto"/>
    </w:rPr>
  </w:style>
  <w:style w:type="character" w:styleId="id-label" w:customStyle="1">
    <w:name w:val="id-label"/>
    <w:basedOn w:val="Absatz-Standardschriftart"/>
    <w:rsid w:val="00796881"/>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OzsIpswvuMVPk2FSdMilx1tsw==">CgMxLjAyCWguMzBqMHpsbDgAciExX1U5QzlkTjNHU3NFRzBBcnJVMGpORE5JS3Q3aTBjRVY=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2024-03-24T19:45:00Z</dcterms:created>
  <dc:creator>Abosabie, Salma</dc:creator>
</cp:coreProperties>
</file>