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7254A1"/>
          <w:sz w:val="20"/>
          <w:szCs w:val="20"/>
        </w:rPr>
        <w:t xml:space="preserve">PROJECT DOCUMENTATION</w:t>
      </w:r>
    </w:p>
    <w:p>
      <w:pPr>
        <w:spacing w:after="200"/>
        <w:jc w:val="left"/>
      </w:pPr>
      <w:r>
        <w:rPr>
          <w:rFonts w:ascii="Georgia" w:cs="Georgia" w:eastAsia="Georgia" w:hAnsi="Georgia"/>
          <w:b/>
          <w:bCs/>
          <w:color w:val="1B1812"/>
          <w:sz w:val="64"/>
          <w:szCs w:val="64"/>
        </w:rPr>
        <w:t xml:space="preserve">Pepiros</w:t>
      </w:r>
    </w:p>
    <w:p>
      <w:pPr>
        <w:spacing w:after="800"/>
        <w:jc w:val="left"/>
      </w:pPr>
      <w:r>
        <w:rPr>
          <w:rFonts w:ascii="Georgia" w:cs="Georgia" w:eastAsia="Georgia" w:hAnsi="Georgia"/>
          <w:i/>
          <w:iCs/>
          <w:color w:val="5C564A"/>
          <w:sz w:val="26"/>
          <w:szCs w:val="26"/>
        </w:rPr>
        <w:t xml:space="preserve">Installation and Setup Guide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564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1B1812"/>
          <w:sz w:val="20"/>
          <w:szCs w:val="20"/>
        </w:rPr>
        <w:t xml:space="preserve">0.1.1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564A"/>
          <w:sz w:val="20"/>
          <w:szCs w:val="20"/>
        </w:rPr>
        <w:t xml:space="preserve">Requires: </w:t>
      </w:r>
      <w:r>
        <w:rPr>
          <w:rFonts w:ascii="Arial" w:cs="Arial" w:eastAsia="Arial" w:hAnsi="Arial"/>
          <w:color w:val="1B1812"/>
          <w:sz w:val="20"/>
          <w:szCs w:val="20"/>
        </w:rPr>
        <w:t xml:space="preserve">Node.js 22 or newer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564A"/>
          <w:sz w:val="20"/>
          <w:szCs w:val="20"/>
        </w:rPr>
        <w:t xml:space="preserve">Prepared: </w:t>
      </w:r>
      <w:r>
        <w:rPr>
          <w:rFonts w:ascii="Arial" w:cs="Arial" w:eastAsia="Arial" w:hAnsi="Arial"/>
          <w:color w:val="1B1812"/>
          <w:sz w:val="20"/>
          <w:szCs w:val="20"/>
        </w:rPr>
        <w:t xml:space="preserve">24 August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B1812"/>
        </w:rPr>
        <w:t xml:space="preserve">1. Prerequisites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Node.js 22+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(the repository's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.nvmrc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package.json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engines field both pin this; CI runs Node 22).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Git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to clone the repository.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Python 3 with PyMuPDF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only if you plan to ingest a real PDF locally (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pip install -r scripts/requirements.txt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). Not needed to run the app against its bundled demo data.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A Groq or Featherless API key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only if you plan to exercise chat or the generator pipeline. Not needed to browse the bundled fixture workspace.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A Supabase project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only if you plan to run real accounts, real ingest persistence, or the weekly catalog indexer against a real Postgres database. The app runs fully without one, against a bundled JSON fixture.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B1812"/>
        </w:rPr>
        <w:t xml:space="preserve">2. Quick start (no configuration required)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The fastest path to a running instance needs no environment file, database, or API key at all:</w:t>
      </w:r>
    </w:p>
    <w:p>
      <w:pPr>
        <w:pBdr>
          <w:top w:val="single" w:color="CBBEA3" w:sz="4"/>
          <w:bottom w:val="single" w:color="CBBEA3" w:sz="4"/>
          <w:left w:val="single" w:color="CBBEA3" w:sz="4"/>
          <w:right w:val="single" w:color="CBBEA3" w:sz="4"/>
        </w:pBdr>
        <w:shd w:color="EBE5D6" w:val="solid"/>
        <w:spacing w:after="240" w:before="120"/>
      </w:pPr>
      <w:r>
        <w:rPr>
          <w:rFonts w:ascii="Consolas" w:cs="Consolas" w:eastAsia="Consolas" w:hAnsi="Consolas"/>
          <w:color w:val="1B1812"/>
          <w:sz w:val="18"/>
          <w:szCs w:val="18"/>
        </w:rPr>
        <w:t xml:space="preserve">git clone https://github.com/StudentSuite/pepiros.git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cd pepiros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npm install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npm run dev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Then open </w:t>
      </w: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http://localhost:3000/w/ws-1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in a browser.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ws-1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is the workspace id the bundled fixture defines: three papers, a contradiction pair, a cross-paper citation link, and one deliberately planted misattribution that the verifier correctly demotes to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unsupported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so the grounding spine's own behavior is visible immediately.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B1812"/>
        </w:rPr>
        <w:t xml:space="preserve">3. Full environment configuration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Copy the example file once a real backend is wanted, and fill in only the sections that apply:</w:t>
      </w:r>
    </w:p>
    <w:p>
      <w:pPr>
        <w:pBdr>
          <w:top w:val="single" w:color="CBBEA3" w:sz="4"/>
          <w:bottom w:val="single" w:color="CBBEA3" w:sz="4"/>
          <w:left w:val="single" w:color="CBBEA3" w:sz="4"/>
          <w:right w:val="single" w:color="CBBEA3" w:sz="4"/>
        </w:pBdr>
        <w:shd w:color="EBE5D6" w:val="solid"/>
        <w:spacing w:after="240" w:before="120"/>
      </w:pPr>
      <w:r>
        <w:rPr>
          <w:rFonts w:ascii="Consolas" w:cs="Consolas" w:eastAsia="Consolas" w:hAnsi="Consolas"/>
          <w:color w:val="1B1812"/>
          <w:sz w:val="18"/>
          <w:szCs w:val="18"/>
        </w:rPr>
        <w:t xml:space="preserve">cp .env.example .env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3.1 Database and platform backend (Supabase)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Variable</w:t>
            </w:r>
          </w:p>
        </w:tc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NEXT_PUBLIC_SUPABASE_URL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Supabase project 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NEXT_PUBLIC_SUPABASE_ANON_KEY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Supabase anonymous/public key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SUPABASE_SERVICE_ROLE_KEY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Service-role key; also used for the private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papers</w:t>
            </w: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 Storage bucket that holds ingested PDFs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DATABASE_URL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Direct Postgres connection string, used by Drizzle for the grounding-domain schema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PEPIROS_PLATFORM_BACKEND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Set to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supabase</w:t>
            </w: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 once the platform migrations below are applied; unset serves accounts/posts/comments from a deterministic in-memory seed instead, so the guest demo still works with no backend at all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B1812"/>
        </w:rPr>
        <w:t xml:space="preserve">Applying migrations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Create a Supabase project and copy its URL/keys into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.env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Apply the grounding-domain schema: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npm run db:generate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npm run db:migrate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(Drizzle Kit, reads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DATABASE_URL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Apply the platform-domain schema by running the SQL files under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supabase/migrations/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against the same project, in numeric order (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0001_platform.sql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through the latest), via the Supabase SQL editor or the Supabase CLI.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Create the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papers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Storage bucket using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supabase/migrations/0006_papers_storage_bucket.sql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so an ingested PDF persists across deployments rather than only to local disk.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Set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PEPIROS_PLATFORM_BACKEND=supabase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3.2 LLM providers (Groq primary, Featherless fallback)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Every model call in this codebase requires structured output support. On Groq, only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openai/gpt-oss-20b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openai/gpt-oss-120b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support that at all (confirmed against the live API, not assumed from documentation) -- do not swap either model id without checking Groq's own structured-output support list first.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Variable</w:t>
            </w:r>
          </w:p>
        </w:tc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GROQ_API_KEY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Primary provider (console.groq.com/keys)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GROQ_MODEL_FAST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Defaults to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openai/gpt-oss-20b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GROQ_MODEL_STRONG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Defaults to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openai/gpt-oss-120b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FEATHERLESS_API_KEY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Fallback, used only when Groq returns 401/402/403/429 or a provider-marked-retryable error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FEATHERLESS_MODEL_FAST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Defaults to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Qwen/Qwen2.5-7B-Instruct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FEATHERLESS_MODEL_STRONG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Defaults to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Qwen/Qwen2.5-72B-Instruct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OPENROUTER_API_KEY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The one vision-capable tier, used for the figure-captioning generator; also serves as a large-context fallback tier</w:t>
            </w:r>
          </w:p>
        </w:tc>
      </w:tr>
    </w:tbl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Either Groq or Featherless works alone. Chat and the claim generators need at least one of the two keys set; every other feature runs without one.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3.3 Session and MCP token signing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Variable</w:t>
            </w:r>
          </w:p>
        </w:tc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SESSION_SECRET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Signs the app's own session cookie. Any long random string, e.g.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openssl rand -hex 32</w:t>
            </w: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. Falls back to a known constant in development; production refuses to start without one.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MCP_TOKEN_SECRET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Signs MCP access tokens. Self-generated, any long random string.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3.4 Optional, free, no key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Variable</w:t>
            </w:r>
          </w:p>
        </w:tc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NEXT_PUBLIC_APP_URL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The app's own origin, used so MCP results can carry deep links back into the reader/canvas. Defaults to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http://localhost:3000</w:t>
            </w: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OPENALEX_MAILTO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Moves OpenAlex citation-expansion requests into the polite rate-limit pool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CROSSREF_MAILTO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Same, for Crossref DOI resolution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SEMANTIC_SCHOLAR_API_KEY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Optional; unauthenticated access is enough unless the related-papers rail starts returning 429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UNPAYWALL_EMAIL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Required by Unpaywall's API to resolve a pasted DOI to an open-access PDF; unset means a DOI upload fails with a named reason rather than doing nothing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CRON_SECRET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Authenticates the weekly catalog-indexing cron job; a manual trigger must present the same value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3.5 Enabling Google sign-in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Google sign-in is enabled per-Supabase-project, not per environment variable: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In the </w:t>
      </w: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Google Cloud Console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create an OAuth 2.0 client (Web application) and set its authorized redirect URI to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https://&lt;your-project&gt;.supabase.co/auth/v1/callback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In the </w:t>
      </w:r>
      <w:r>
        <w:rPr>
          <w:rFonts w:ascii="Georgia" w:cs="Georgia" w:eastAsia="Georgia" w:hAnsi="Georgia"/>
          <w:b/>
          <w:bCs/>
          <w:color w:val="1B1812"/>
          <w:sz w:val="22"/>
          <w:szCs w:val="22"/>
        </w:rPr>
        <w:t xml:space="preserve">Supabase dashboard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go to Authentication -&gt; Providers -&gt; Google, paste the client ID and secret, and add your app's origin (e.g.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http://localhost:3000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in development) under Authentication -&gt; URL Configuration -&gt; Redirect URLs.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Until both steps are done the Google sign-in button still renders and fails with an honest message rather than a dead-end provider error. Username/password sign-in and guest browsing are unaffected either way.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B1812"/>
        </w:rPr>
        <w:t xml:space="preserve">4. Running the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Command</w:t>
            </w:r>
          </w:p>
        </w:tc>
        <w:tc>
          <w:tcPr>
            <w:shd w:color="EBE5D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Start the Next.js development server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build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Production build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start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Serve a production build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typecheck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tsc --noEmit</w:t>
            </w: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 across the repository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lint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ESLint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test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Vitest, over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lib/**/*.test.ts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db:generate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Drizzle Kit: generate a migration from schema changes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db:migrate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Drizzle Kit: apply migrations to </w:t>
            </w:r>
            <w:r>
              <w:rPr>
                <w:rFonts w:ascii="Consolas" w:cs="Consolas" w:eastAsia="Consolas" w:hAnsi="Consolas"/>
                <w:color w:val="553780"/>
                <w:sz w:val="20"/>
                <w:szCs w:val="20"/>
              </w:rPr>
              <w:t xml:space="preserve">DATABASE_URL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db:studio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Drizzle Kit's own database browser UI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seed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Bulk-load a corpus into Postgres (still a stub)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npm run mcp:stdio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Georgia" w:cs="Georgia" w:eastAsia="Georgia" w:hAnsi="Georgia"/>
                <w:color w:val="5C564A"/>
                <w:sz w:val="22"/>
                <w:szCs w:val="22"/>
              </w:rPr>
              <w:t xml:space="preserve">Run the MCP server directly over stdio, from source</w:t>
            </w:r>
          </w:p>
        </w:tc>
      </w:tr>
    </w:tbl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One operational note worth knowing before it causes confusion: do not run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npm run build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while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npm run dev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is already running against the same directory. The production build overwrites the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.next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directory the dev server is reading from, and the dev server then fails with a missing-module error that looks like a real bug but is not. Stop the dev server, run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rm -rf .next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and restart.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B1812"/>
        </w:rPr>
        <w:t xml:space="preserve">5. Setting up PDF ingest (optional, local only)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Ingesting a real, user-supplied PDF (rather than browsing the bundled fixture) runs a local Python script and is not available on the hosted deployment, because Vercel's Node runtime has no Python interpreter. To ingest locally:</w:t>
      </w:r>
    </w:p>
    <w:p>
      <w:pPr>
        <w:pBdr>
          <w:top w:val="single" w:color="CBBEA3" w:sz="4"/>
          <w:bottom w:val="single" w:color="CBBEA3" w:sz="4"/>
          <w:left w:val="single" w:color="CBBEA3" w:sz="4"/>
          <w:right w:val="single" w:color="CBBEA3" w:sz="4"/>
        </w:pBdr>
        <w:shd w:color="EBE5D6" w:val="solid"/>
        <w:spacing w:after="240" w:before="120"/>
      </w:pPr>
      <w:r>
        <w:rPr>
          <w:rFonts w:ascii="Consolas" w:cs="Consolas" w:eastAsia="Consolas" w:hAnsi="Consolas"/>
          <w:color w:val="1B1812"/>
          <w:sz w:val="18"/>
          <w:szCs w:val="18"/>
        </w:rPr>
        <w:t xml:space="preserve">pip install -r scripts/requirements.txt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with a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GROQ_API_KEY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FEATHERLESS_API_KEY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set in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.env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. Uploading a PDF that is a scanned image with no text layer fails the ingest job with a clear, specific message rather than silently producing nothing -- OCR recovery for that case is not yet built.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B1812"/>
        </w:rPr>
        <w:t xml:space="preserve">6. Setting up the MCP server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Two ways to connect an MCP-compatible client (Claude Desktop, Claude Code, or any other MCP client) to Pepiros. See the Technical Reference document for the full tool list.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6.1 Published package (no clone needed)</w:t>
      </w:r>
    </w:p>
    <w:p>
      <w:pPr>
        <w:pBdr>
          <w:top w:val="single" w:color="CBBEA3" w:sz="4"/>
          <w:bottom w:val="single" w:color="CBBEA3" w:sz="4"/>
          <w:left w:val="single" w:color="CBBEA3" w:sz="4"/>
          <w:right w:val="single" w:color="CBBEA3" w:sz="4"/>
        </w:pBdr>
        <w:shd w:color="EBE5D6" w:val="solid"/>
        <w:spacing w:after="240" w:before="120"/>
      </w:pPr>
      <w:r>
        <w:rPr>
          <w:rFonts w:ascii="Consolas" w:cs="Consolas" w:eastAsia="Consolas" w:hAnsi="Consolas"/>
          <w:color w:val="1B1812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"mcpServers": {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"pepiros": {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  "command": "npx",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  "args": ["-y", "pepiros-mcp"]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6.2 From a local clone (for testing a change to mcp/*)</w:t>
      </w:r>
    </w:p>
    <w:p>
      <w:pPr>
        <w:pBdr>
          <w:top w:val="single" w:color="CBBEA3" w:sz="4"/>
          <w:bottom w:val="single" w:color="CBBEA3" w:sz="4"/>
          <w:left w:val="single" w:color="CBBEA3" w:sz="4"/>
          <w:right w:val="single" w:color="CBBEA3" w:sz="4"/>
        </w:pBdr>
        <w:shd w:color="EBE5D6" w:val="solid"/>
        <w:spacing w:after="240" w:before="120"/>
      </w:pPr>
      <w:r>
        <w:rPr>
          <w:rFonts w:ascii="Consolas" w:cs="Consolas" w:eastAsia="Consolas" w:hAnsi="Consolas"/>
          <w:color w:val="1B1812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"mcpServers": {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"pepiros": {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  "command": "npx",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  "args": ["tsx", "mcp/stdio.ts"],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  "cwd": "/absolute/path/to/pepiros"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1B1812"/>
          <w:sz w:val="18"/>
          <w:szCs w:val="18"/>
        </w:rPr>
        <w:br/>
        <w:t xml:space="preserve">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1812"/>
        </w:rPr>
        <w:t xml:space="preserve">6.3 Remote connector (hosted, OAuth-secured)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For a hosted MCP client that can only reach a URL rather than spawn a local process, point it at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/api/mcp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on the deployment's own origin (for example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https://pepiros.vercel.app/api/mcp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). The client discovers the OAuth 2.1 flow (dynamic client registration, PKCE) automatically from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/.well-known/oauth-authorization-server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-- no manual token setup is required on the client side.</w:t>
      </w:r>
    </w:p>
    <w:p>
      <w:pPr>
        <w:pStyle w:val="Heading1"/>
        <w:spacing w:after="240" w:before="480"/>
      </w:pPr>
      <w:r>
        <w:rPr>
          <w:rFonts w:ascii="Georgia" w:cs="Georgia" w:eastAsia="Georgia" w:hAnsi="Georgia"/>
          <w:b/>
          <w:bCs/>
          <w:color w:val="1B1812"/>
        </w:rPr>
        <w:t xml:space="preserve">7. Continuous integration</w:t>
      </w:r>
    </w:p>
    <w:p>
      <w:pPr>
        <w:spacing w:after="160" w:line="300"/>
      </w:pPr>
      <w:r>
        <w:rPr>
          <w:rFonts w:ascii="Georgia" w:cs="Georgia" w:eastAsia="Georgia" w:hAnsi="Georgia"/>
          <w:color w:val="5C564A"/>
          <w:sz w:val="22"/>
          <w:szCs w:val="22"/>
        </w:rPr>
        <w:t xml:space="preserve">Every push and pull request against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main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 runs, in order, against a real ephemeral Postgres service container: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npm run db:migrate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npm run typecheck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53780"/>
          <w:sz w:val="20"/>
          <w:szCs w:val="20"/>
        </w:rPr>
        <w:t xml:space="preserve">npm run lint</w:t>
      </w:r>
      <w:r>
        <w:rPr>
          <w:rFonts w:ascii="Georgia" w:cs="Georgia" w:eastAsia="Georgia" w:hAnsi="Georgia"/>
          <w:color w:val="5C564A"/>
          <w:sz w:val="22"/>
          <w:szCs w:val="22"/>
        </w:rPr>
        <w:t xml:space="preserve">, the no-em-dash house style check, the generator-count consistency check, the full test suite, and a production build. All of these can be run locally with the same commands before pushing.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8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2026-08-23T19:51:44.027Z</dcterms:created>
  <dcterms:modified xsi:type="dcterms:W3CDTF">2026-08-23T19:51:44.028Z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