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</w:p>
    <w:p>
      <w:pPr>
        <w:spacing w:after="200"/>
        <w:jc w:val="left"/>
      </w:pPr>
      <w:r>
        <w:rPr>
          <w:rFonts w:ascii="Arial" w:cs="Arial" w:eastAsia="Arial" w:hAnsi="Arial"/>
          <w:b/>
          <w:bCs/>
          <w:color w:val="7254A1"/>
          <w:sz w:val="20"/>
          <w:szCs w:val="20"/>
        </w:rPr>
        <w:t xml:space="preserve">PROJECT DOCUMENTATION</w:t>
      </w:r>
    </w:p>
    <w:p>
      <w:pPr>
        <w:spacing w:after="200"/>
        <w:jc w:val="left"/>
      </w:pPr>
      <w:r>
        <w:rPr>
          <w:rFonts w:ascii="Georgia" w:cs="Georgia" w:eastAsia="Georgia" w:hAnsi="Georgia"/>
          <w:b/>
          <w:bCs/>
          <w:color w:val="1B1812"/>
          <w:sz w:val="64"/>
          <w:szCs w:val="64"/>
        </w:rPr>
        <w:t xml:space="preserve">Pepiros</w:t>
      </w:r>
    </w:p>
    <w:p>
      <w:pPr>
        <w:spacing w:after="800"/>
        <w:jc w:val="left"/>
      </w:pPr>
      <w:r>
        <w:rPr>
          <w:rFonts w:ascii="Georgia" w:cs="Georgia" w:eastAsia="Georgia" w:hAnsi="Georgia"/>
          <w:i/>
          <w:iCs/>
          <w:color w:val="5C564A"/>
          <w:sz w:val="26"/>
          <w:szCs w:val="26"/>
        </w:rPr>
        <w:t xml:space="preserve">Installation and Setup Guide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5C564A"/>
          <w:sz w:val="20"/>
          <w:szCs w:val="20"/>
        </w:rPr>
        <w:t xml:space="preserve">Version: </w:t>
      </w:r>
      <w:r>
        <w:rPr>
          <w:rFonts w:ascii="Arial" w:cs="Arial" w:eastAsia="Arial" w:hAnsi="Arial"/>
          <w:color w:val="1B1812"/>
          <w:sz w:val="20"/>
          <w:szCs w:val="20"/>
        </w:rPr>
        <w:t xml:space="preserve">Unreleased (post-0.1.1)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5C564A"/>
          <w:sz w:val="20"/>
          <w:szCs w:val="20"/>
        </w:rPr>
        <w:t xml:space="preserve">Requires: </w:t>
      </w:r>
      <w:r>
        <w:rPr>
          <w:rFonts w:ascii="Arial" w:cs="Arial" w:eastAsia="Arial" w:hAnsi="Arial"/>
          <w:color w:val="1B1812"/>
          <w:sz w:val="20"/>
          <w:szCs w:val="20"/>
        </w:rPr>
        <w:t xml:space="preserve">Node.js 20 or newer (Node 22 recommended)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5C564A"/>
          <w:sz w:val="20"/>
          <w:szCs w:val="20"/>
        </w:rPr>
        <w:t xml:space="preserve">Prepared: </w:t>
      </w:r>
      <w:r>
        <w:rPr>
          <w:rFonts w:ascii="Arial" w:cs="Arial" w:eastAsia="Arial" w:hAnsi="Arial"/>
          <w:color w:val="1B1812"/>
          <w:sz w:val="20"/>
          <w:szCs w:val="20"/>
        </w:rPr>
        <w:t xml:space="preserve">24 August 2026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1. Prerequisites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Node.js 20+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(the repository's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.nvmrc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and CI both pin Node 22).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Git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to clone the repository.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Python 3 with PyMuPDF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only if you plan to ingest a real PDF locally (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pip install -r scripts/requirements.txt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). Not needed to run the app against its bundled demo data.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A Groq or Featherless API key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only if you plan to exercise chat or the generator pipeline. Not needed to browse the bundled fixture workspace.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A Supabase project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only if you plan to run real accounts, real ingest persistence, or the weekly catalog indexer against a real Postgres database. The app runs fully without one, against a bundled JSON fixture.</w:t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2. Quick start (no configuration required)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The fastest path to a running instance needs no environment file, database, or API key at all:</w:t>
      </w:r>
    </w:p>
    <w:p>
      <w:pPr>
        <w:pBdr>
          <w:top w:val="single" w:color="CBBEA3" w:sz="4"/>
          <w:bottom w:val="single" w:color="CBBEA3" w:sz="4"/>
          <w:left w:val="single" w:color="CBBEA3" w:sz="4"/>
          <w:right w:val="single" w:color="CBBEA3" w:sz="4"/>
        </w:pBdr>
        <w:shd w:color="EBE5D6" w:val="solid"/>
        <w:spacing w:after="240" w:before="120"/>
      </w:pPr>
      <w:r>
        <w:rPr>
          <w:rFonts w:ascii="Consolas" w:cs="Consolas" w:eastAsia="Consolas" w:hAnsi="Consolas"/>
          <w:color w:val="1B1812"/>
          <w:sz w:val="18"/>
          <w:szCs w:val="18"/>
        </w:rPr>
        <w:t xml:space="preserve">git clone https://github.com/StudentSuite/pepiros.git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cd pepiros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npm install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npm run dev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Then open </w:t>
      </w: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http://localhost:3000/w/ws-1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in a browser.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ws-1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is the workspace id the bundled fixture defines: three papers, a contradiction pair, a cross-paper citation link, and one deliberately planted misattribution that the verifier correctly demotes to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unsupported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so the grounding spine's own behavior is visible immediately.</w:t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3. Full environment configuration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Copy the example file once a real backend is wanted, and fill in only the sections that apply:</w:t>
      </w:r>
    </w:p>
    <w:p>
      <w:pPr>
        <w:pBdr>
          <w:top w:val="single" w:color="CBBEA3" w:sz="4"/>
          <w:bottom w:val="single" w:color="CBBEA3" w:sz="4"/>
          <w:left w:val="single" w:color="CBBEA3" w:sz="4"/>
          <w:right w:val="single" w:color="CBBEA3" w:sz="4"/>
        </w:pBdr>
        <w:shd w:color="EBE5D6" w:val="solid"/>
        <w:spacing w:after="240" w:before="120"/>
      </w:pPr>
      <w:r>
        <w:rPr>
          <w:rFonts w:ascii="Consolas" w:cs="Consolas" w:eastAsia="Consolas" w:hAnsi="Consolas"/>
          <w:color w:val="1B1812"/>
          <w:sz w:val="18"/>
          <w:szCs w:val="18"/>
        </w:rPr>
        <w:t xml:space="preserve">cp .env.example .env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3.1 Database and platform backend (Supabase)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Variable</w:t>
            </w:r>
          </w:p>
        </w:tc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NEXT_PUBLIC_SUPABASE_URL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Supabase project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NEXT_PUBLIC_SUPABASE_ANON_KEY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Supabase anonymous/public key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SUPABASE_SERVICE_ROLE_KEY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Service-role key; also used for the private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papers</w:t>
            </w: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 Storage bucket that holds ingested PDFs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DATABASE_URL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Direct Postgres connection string, used by Drizzle for the grounding-domain schema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PEPIROS_PLATFORM_BACKEND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Set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supabase</w:t>
            </w: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 once the platform migrations below are applied; unset serves accounts/posts/comments from a deterministic in-memory seed instead, so the guest demo still works with no backend at all</w:t>
            </w:r>
          </w:p>
        </w:tc>
      </w:tr>
    </w:tbl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B1812"/>
        </w:rPr>
        <w:t xml:space="preserve">Applying migrations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Create a Supabase project and copy its URL/keys into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.env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Apply the grounding-domain schema: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db:generate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then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db:migrate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(Drizzle Kit, reads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DATABASE_URL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Apply the platform-domain schema by running the SQL files under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supabase/migrations/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against the same project, in numeric order (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0001_platform.sql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through the latest), via the Supabase SQL editor or the Supabase CLI.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Create the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papers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Storage bucket using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supabase/migrations/0006_papers_storage_bucket.sql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so an ingested PDF persists across deployments rather than only to local disk.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Set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PEPIROS_PLATFORM_BACKEND=supabase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3.2 LLM providers (Groq primary, Featherless fallback)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Every model call in this codebase requires structured output support. On Groq, only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openai/gpt-oss-20b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and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openai/gpt-oss-120b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support that at all (confirmed against the live API, not assumed from documentation) -- do not swap either model id without checking Groq's own structured-output support list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Variable</w:t>
            </w:r>
          </w:p>
        </w:tc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GROQ_API_KEY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Primary provider (console.groq.com/keys)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GROQ_MODEL_FAST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Defaults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openai/gpt-oss-20b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GROQ_MODEL_STRONG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Defaults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openai/gpt-oss-120b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FEATHERLESS_API_KEY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Fallback, used only when Groq returns 401/402/403/429 or a provider-marked-retryable error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FEATHERLESS_MODEL_FAST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Defaults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Qwen/Qwen2.5-7B-Instruct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FEATHERLESS_MODEL_STRONG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Defaults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Qwen/Qwen2.5-72B-Instruct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OPENROUTER_API_KEY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The one vision-capable tier, used for the figure-captioning generator; also serves as a large-context fallback tier</w:t>
            </w:r>
          </w:p>
        </w:tc>
      </w:tr>
    </w:tbl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Either Groq or Featherless works alone. Chat and the claim generators need at least one of the two keys set; every other feature runs without one.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3.3 Session and MCP token signing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Variable</w:t>
            </w:r>
          </w:p>
        </w:tc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SESSION_SECRET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Signs the app's own session cookie. Any long random string, e.g.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openssl rand -hex 32</w:t>
            </w: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. Falls back to a known constant in development; production refuses to start without one.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MCP_TOKEN_SECRET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Signs MCP access tokens. Self-generated, any long random string.</w:t>
            </w:r>
          </w:p>
        </w:tc>
      </w:tr>
    </w:tbl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3.4 Optional, free, no key required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Variable</w:t>
            </w:r>
          </w:p>
        </w:tc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NEXT_PUBLIC_APP_URL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The app's own origin, used so MCP results can carry deep links back into the reader/canvas. Defaults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http://localhost:3000</w:t>
            </w: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OPENALEX_MAILTO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Moves OpenAlex citation-expansion requests into the polite rate-limit pool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CROSSREF_MAILTO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Same, for Crossref DOI resolution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SEMANTIC_SCHOLAR_API_KEY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Optional; unauthenticated access is enough unless the related-papers rail starts returning 429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UNPAYWALL_EMAIL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Required by Unpaywall's API to resolve a pasted DOI to an open-access PDF; unset means a DOI upload fails with a named reason rather than doing nothing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CRON_SECRET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Authenticates the weekly catalog-indexing cron job; a manual trigger must present the same value</w:t>
            </w:r>
          </w:p>
        </w:tc>
      </w:tr>
    </w:tbl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3.5 Enabling Google sign-in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Google sign-in is enabled per-Supabase-project, not per environment variable: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In the </w:t>
      </w: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Google Cloud Console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create an OAuth 2.0 client (Web application) and set its authorized redirect URI to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https://&lt;your-project&gt;.supabase.co/auth/v1/callback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In the </w:t>
      </w:r>
      <w:r>
        <w:rPr>
          <w:rFonts w:ascii="Georgia" w:cs="Georgia" w:eastAsia="Georgia" w:hAnsi="Georgia"/>
          <w:b/>
          <w:bCs/>
          <w:color w:val="1B1812"/>
          <w:sz w:val="22"/>
          <w:szCs w:val="22"/>
        </w:rPr>
        <w:t xml:space="preserve">Supabase dashboard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go to Authentication -&gt; Providers -&gt; Google, paste the client ID and secret, and add your app's origin (e.g.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http://localhost:3000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in development) under Authentication -&gt; URL Configuration -&gt; Redirect URLs.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Until both steps are done the Google sign-in button still renders and fails with an honest message rather than a dead-end provider error. Username/password sign-in and guest browsing are unaffected either way.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4. Running the application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Command</w:t>
            </w:r>
          </w:p>
        </w:tc>
        <w:tc>
          <w:tcPr>
            <w:shd w:color="EBE5D6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dev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Start the Next.js development server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build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Production build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start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Serve a production build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typecheck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tsc --noEmit</w:t>
            </w: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 across the repository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ESLint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Vitest, over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lib/**/*.test.ts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db:generate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Drizzle Kit: generate a migration from schema changes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db:migrate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Drizzle Kit: apply migrations to </w:t>
            </w:r>
            <w:r>
              <w:rPr>
                <w:rFonts w:ascii="Consolas" w:cs="Consolas" w:eastAsia="Consolas" w:hAnsi="Consolas"/>
                <w:color w:val="553780"/>
                <w:sz w:val="20"/>
                <w:szCs w:val="20"/>
              </w:rPr>
              <w:t xml:space="preserve">DATABASE_URL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db:studio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Drizzle Kit's own database browser UI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seed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Bulk-load a corpus into Postgres (still a stub)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npm run mcp:stdio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rFonts w:ascii="Georgia" w:cs="Georgia" w:eastAsia="Georgia" w:hAnsi="Georgia"/>
                <w:color w:val="5C564A"/>
                <w:sz w:val="22"/>
                <w:szCs w:val="22"/>
              </w:rPr>
              <w:t xml:space="preserve">Run the MCP server directly over stdio, from source</w:t>
            </w:r>
          </w:p>
        </w:tc>
      </w:tr>
    </w:tbl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One operational note worth knowing before it causes confusion: do not run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while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dev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is already running against the same directory. The production build overwrites the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.next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directory the dev server is reading from, and the dev server then fails with a missing-module error that looks like a real bug but is not. Stop the dev server, run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rm -rf .next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and restart.</w:t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5. Setting up PDF ingest (optional, local only)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Ingesting a real, user-supplied PDF (rather than browsing the bundled fixture) runs a local Python script and is not available on the hosted deployment, because Vercel's Node runtime has no Python interpreter. To ingest locally:</w:t>
      </w:r>
    </w:p>
    <w:p>
      <w:pPr>
        <w:pBdr>
          <w:top w:val="single" w:color="CBBEA3" w:sz="4"/>
          <w:bottom w:val="single" w:color="CBBEA3" w:sz="4"/>
          <w:left w:val="single" w:color="CBBEA3" w:sz="4"/>
          <w:right w:val="single" w:color="CBBEA3" w:sz="4"/>
        </w:pBdr>
        <w:shd w:color="EBE5D6" w:val="solid"/>
        <w:spacing w:after="240" w:before="120"/>
      </w:pPr>
      <w:r>
        <w:rPr>
          <w:rFonts w:ascii="Consolas" w:cs="Consolas" w:eastAsia="Consolas" w:hAnsi="Consolas"/>
          <w:color w:val="1B1812"/>
          <w:sz w:val="18"/>
          <w:szCs w:val="18"/>
        </w:rPr>
        <w:t xml:space="preserve">pip install -r scripts/requirements.txt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with a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GROQ_API_KEY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or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FEATHERLESS_API_KEY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set in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.env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. Uploading a PDF that is a scanned image with no text layer fails the ingest job with a clear, specific message rather than silently producing nothing -- OCR recovery for that case is not yet built.</w:t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6. Setting up the MCP server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Two ways to connect an MCP-compatible client (Claude Desktop, Claude Code, or any other MCP client) to Pepiros. See the Technical Reference document for the full tool list.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6.1 Published package (no clone needed)</w:t>
      </w:r>
    </w:p>
    <w:p>
      <w:pPr>
        <w:pBdr>
          <w:top w:val="single" w:color="CBBEA3" w:sz="4"/>
          <w:bottom w:val="single" w:color="CBBEA3" w:sz="4"/>
          <w:left w:val="single" w:color="CBBEA3" w:sz="4"/>
          <w:right w:val="single" w:color="CBBEA3" w:sz="4"/>
        </w:pBdr>
        <w:shd w:color="EBE5D6" w:val="solid"/>
        <w:spacing w:after="240" w:before="120"/>
      </w:pPr>
      <w:r>
        <w:rPr>
          <w:rFonts w:ascii="Consolas" w:cs="Consolas" w:eastAsia="Consolas" w:hAnsi="Consolas"/>
          <w:color w:val="1B1812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"mcpServers": 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"pepiros": 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  "command": "npx",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  "args": ["-y", "pepiros-mcp"]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}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6.2 From a local clone (for testing a change to mcp/*)</w:t>
      </w:r>
    </w:p>
    <w:p>
      <w:pPr>
        <w:pBdr>
          <w:top w:val="single" w:color="CBBEA3" w:sz="4"/>
          <w:bottom w:val="single" w:color="CBBEA3" w:sz="4"/>
          <w:left w:val="single" w:color="CBBEA3" w:sz="4"/>
          <w:right w:val="single" w:color="CBBEA3" w:sz="4"/>
        </w:pBdr>
        <w:shd w:color="EBE5D6" w:val="solid"/>
        <w:spacing w:after="240" w:before="120"/>
      </w:pPr>
      <w:r>
        <w:rPr>
          <w:rFonts w:ascii="Consolas" w:cs="Consolas" w:eastAsia="Consolas" w:hAnsi="Consolas"/>
          <w:color w:val="1B1812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"mcpServers": 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"pepiros": {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  "command": "npx",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  "args": ["tsx", "mcp/stdio.ts"],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  "cwd": "/absolute/path/to/pepiros"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  }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  }</w:t>
      </w:r>
      <w:r>
        <w:rPr>
          <w:rFonts w:ascii="Consolas" w:cs="Consolas" w:eastAsia="Consolas" w:hAnsi="Consolas"/>
          <w:color w:val="1B1812"/>
          <w:sz w:val="18"/>
          <w:szCs w:val="18"/>
        </w:rPr>
        <w:br/>
        <w:t xml:space="preserve">}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1B1812"/>
        </w:rPr>
        <w:t xml:space="preserve">6.3 Remote connector (hosted, OAuth-secured)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For a hosted MCP client that can only reach a URL rather than spawn a local process, point it at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/api/mcp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on the deployment's own origin (for example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https://pepiros.vercel.app/api/mcp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). The client discovers the OAuth 2.1 flow (dynamic client registration, PKCE) automatically from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/.well-known/oauth-authorization-server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-- no manual token setup is required on the client side.</w:t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B1812"/>
        </w:rPr>
        <w:t xml:space="preserve">7. Continuous integration</w:t>
      </w:r>
    </w:p>
    <w:p>
      <w:pPr>
        <w:spacing w:after="160" w:line="300"/>
      </w:pPr>
      <w:r>
        <w:rPr>
          <w:rFonts w:ascii="Georgia" w:cs="Georgia" w:eastAsia="Georgia" w:hAnsi="Georgia"/>
          <w:color w:val="5C564A"/>
          <w:sz w:val="22"/>
          <w:szCs w:val="22"/>
        </w:rPr>
        <w:t xml:space="preserve">Every push and pull request against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 runs, in order, against a real ephemeral Postgres service container: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db:migrate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typecheck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553780"/>
          <w:sz w:val="20"/>
          <w:szCs w:val="20"/>
        </w:rPr>
        <w:t xml:space="preserve">npm run lint</w:t>
      </w:r>
      <w:r>
        <w:rPr>
          <w:rFonts w:ascii="Georgia" w:cs="Georgia" w:eastAsia="Georgia" w:hAnsi="Georgia"/>
          <w:color w:val="5C564A"/>
          <w:sz w:val="22"/>
          <w:szCs w:val="22"/>
        </w:rPr>
        <w:t xml:space="preserve">, the no-em-dash house style check, the generator-count consistency check, the full test suite, and a production build. All of these can be run locally with the same commands before pushing.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  <w:lvl w:ilvl="1" w15:tentative="1">
      <w:start w:val="1"/>
      <w:numFmt w:val="lowerLetter"/>
      <w:lvlText w:val="%2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B18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2026-08-23T20:11:28.821Z</dcterms:created>
  <dcterms:modified xsi:type="dcterms:W3CDTF">2026-08-23T20:11:28.821Z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