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200"/>
        <w:jc w:val="left"/>
      </w:pPr>
      <w:r>
        <w:rPr>
          <w:rFonts w:ascii="Arial" w:cs="Arial" w:eastAsia="Arial" w:hAnsi="Arial"/>
          <w:b/>
          <w:bCs/>
          <w:color w:val="7254A1"/>
          <w:sz w:val="20"/>
          <w:szCs w:val="20"/>
        </w:rPr>
        <w:t xml:space="preserve">PROJECT DOCUMENTATION</w:t>
      </w:r>
    </w:p>
    <w:p>
      <w:pPr>
        <w:spacing w:after="200"/>
        <w:jc w:val="left"/>
      </w:pPr>
      <w:r>
        <w:rPr>
          <w:rFonts w:ascii="Georgia" w:cs="Georgia" w:eastAsia="Georgia" w:hAnsi="Georgia"/>
          <w:b/>
          <w:bCs/>
          <w:color w:val="1B1812"/>
          <w:sz w:val="64"/>
          <w:szCs w:val="64"/>
        </w:rPr>
        <w:t xml:space="preserve">Pepiros</w:t>
      </w:r>
    </w:p>
    <w:p>
      <w:pPr>
        <w:spacing w:after="800"/>
        <w:jc w:val="left"/>
      </w:pPr>
      <w:r>
        <w:rPr>
          <w:rFonts w:ascii="Georgia" w:cs="Georgia" w:eastAsia="Georgia" w:hAnsi="Georgia"/>
          <w:i/>
          <w:iCs/>
          <w:color w:val="5C564A"/>
          <w:sz w:val="26"/>
          <w:szCs w:val="26"/>
        </w:rPr>
        <w:t xml:space="preserve">Installation and Setup Guide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5C564A"/>
          <w:sz w:val="20"/>
          <w:szCs w:val="20"/>
        </w:rPr>
        <w:t xml:space="preserve">Version: </w:t>
      </w:r>
      <w:r>
        <w:rPr>
          <w:rFonts w:ascii="Arial" w:cs="Arial" w:eastAsia="Arial" w:hAnsi="Arial"/>
          <w:color w:val="1B1812"/>
          <w:sz w:val="20"/>
          <w:szCs w:val="20"/>
        </w:rPr>
        <w:t xml:space="preserve">0.1.1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5C564A"/>
          <w:sz w:val="20"/>
          <w:szCs w:val="20"/>
        </w:rPr>
        <w:t xml:space="preserve">Requires: </w:t>
      </w:r>
      <w:r>
        <w:rPr>
          <w:rFonts w:ascii="Arial" w:cs="Arial" w:eastAsia="Arial" w:hAnsi="Arial"/>
          <w:color w:val="1B1812"/>
          <w:sz w:val="20"/>
          <w:szCs w:val="20"/>
        </w:rPr>
        <w:t xml:space="preserve">Node.js 20 or newer (Node 22 recommended)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5C564A"/>
          <w:sz w:val="20"/>
          <w:szCs w:val="20"/>
        </w:rPr>
        <w:t xml:space="preserve">Prepared: </w:t>
      </w:r>
      <w:r>
        <w:rPr>
          <w:rFonts w:ascii="Arial" w:cs="Arial" w:eastAsia="Arial" w:hAnsi="Arial"/>
          <w:color w:val="1B1812"/>
          <w:sz w:val="20"/>
          <w:szCs w:val="20"/>
        </w:rPr>
        <w:t xml:space="preserve">24 August 2026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1. Prerequisites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Node.js 20+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(the repository's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.nvmrc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and CI both pin Node 22).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Git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to clone the repository.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Python 3 with PyMuPDF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only if you plan to ingest a real PDF locally (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pip install -r scripts/requirements.txt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). Not needed to run the app against its bundled demo data.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A Groq or Featherless API key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only if you plan to exercise chat or the generator pipeline. Not needed to browse the bundled fixture workspace.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A Supabase project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only if you plan to run real accounts, real ingest persistence, or the weekly catalog indexer against a real Postgres database. The app runs fully without one, against a bundled JSON fixture.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2. Quick start (no configuration required)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The fastest path to a running instance needs no environment file, database, or API key at all: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git clone https://github.com/StudentSuite/pepiros.git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cd pepiros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npm install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npm run dev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Then open </w:t>
      </w: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http://localhost:3000/w/ws-1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in a browser.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ws-1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is the workspace id the bundled fixture defines: three papers, a contradiction pair, a cross-paper citation link, and one deliberately planted misattribution that the verifier correctly demotes to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unsupported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so the grounding spine's own behavior is visible immediately.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3. Full environment configuration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Copy the example file once a real backend is wanted, and fill in only the sections that apply: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cp .env.example .env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3.1 Database and platform backend (Supabase)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Variable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NEXT_PUBLIC_SUPABASE_URL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Supabase project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NEXT_PUBLIC_SUPABASE_ANON_KEY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Supabase anonymous/public key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SUPABASE_SERVICE_ROLE_KEY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Service-role key; also used for the private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papers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 Storage bucket that holds ingested PDFs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DATABASE_URL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Direct Postgres connection string, used by Drizzle for the grounding-domain schema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PEPIROS_PLATFORM_BACKEND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Set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supabase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 once the platform migrations below are applied; unset serves accounts/posts/comments from a deterministic in-memory seed instead, so the guest demo still works with no backend at all</w:t>
            </w:r>
          </w:p>
        </w:tc>
      </w:tr>
    </w:tbl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B1812"/>
        </w:rPr>
        <w:t xml:space="preserve">Applying migrations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Create a Supabase project and copy its URL/keys into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.env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Apply the grounding-domain schema: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db:generate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then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db:migrate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(Drizzle Kit, reads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DATABASE_URL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Apply the platform-domain schema by running the SQL files under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supabase/migrations/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against the same project, in numeric order (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0001_platform.sql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through the latest), via the Supabase SQL editor or the Supabase CLI.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Create the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papers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Storage bucket using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supabase/migrations/0006_papers_storage_bucket.sql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so an ingested PDF persists across deployments rather than only to local disk.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Set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PEPIROS_PLATFORM_BACKEND=supabase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3.2 LLM providers (Groq primary, Featherless fallback)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Every model call in this codebase requires structured output support. On Groq, only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openai/gpt-oss-20b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and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openai/gpt-oss-120b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support that at all (confirmed against the live API, not assumed from documentation) -- do not swap either model id without checking Groq's own structured-output support list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Variable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GROQ_API_KEY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Primary provider (console.groq.com/keys)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GROQ_MODEL_FAST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openai/gpt-oss-20b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GROQ_MODEL_STRONG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openai/gpt-oss-120b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FEATHERLESS_API_KEY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Fallback, used only when Groq returns 401/402/403/429 or a provider-marked-retryable error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FEATHERLESS_MODEL_FAST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Qwen/Qwen2.5-7B-Instruct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FEATHERLESS_MODEL_STRONG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Qwen/Qwen2.5-72B-Instruct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OPENROUTER_API_KEY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The one vision-capable tier, used for the figure-captioning generator; also serves as a large-context fallback tier</w:t>
            </w:r>
          </w:p>
        </w:tc>
      </w:tr>
    </w:tbl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Either Groq or Featherless works alone. Chat and the claim generators need at least one of the two keys set; every other feature runs without one.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3.3 Session and MCP token signing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Variable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SESSION_SECRET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Signs the app's own session cookie. Any long random string, e.g.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openssl rand -hex 32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. Falls back to a known constant in development; production refuses to start without one.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MCP_TOKEN_SECRET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Signs MCP access tokens. Self-generated, any long random string.</w:t>
            </w:r>
          </w:p>
        </w:tc>
      </w:tr>
    </w:tbl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3.4 Optional, free, no key required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Variable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NEXT_PUBLIC_APP_URL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The app's own origin, used so MCP results can carry deep links back into the reader/canvas. 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http://localhost:3000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OPENALEX_MAILTO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Moves OpenAlex citation-expansion requests into the polite rate-limit pool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CROSSREF_MAILTO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Same, for Crossref DOI resolution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SEMANTIC_SCHOLAR_API_KEY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Optional; unauthenticated access is enough unless the related-papers rail starts returning 429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UNPAYWALL_EMAIL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Required by Unpaywall's API to resolve a pasted DOI to an open-access PDF; unset means a DOI upload fails with a named reason rather than doing nothing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CRON_SECRET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Authenticates the weekly catalog-indexing cron job; a manual trigger must present the same value</w:t>
            </w:r>
          </w:p>
        </w:tc>
      </w:tr>
    </w:tbl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3.5 Enabling Google sign-in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Google sign-in is enabled per-Supabase-project, not per environment variable: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In the </w:t>
      </w: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Google Cloud Console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create an OAuth 2.0 client (Web application) and set its authorized redirect URI to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https://&lt;your-project&gt;.supabase.co/auth/v1/callback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In the </w:t>
      </w: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Supabase dashboard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go to Authentication -&gt; Providers -&gt; Google, paste the client ID and secret, and add your app's origin (e.g.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http://localhost:3000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in development) under Authentication -&gt; URL Configuration -&gt; Redirect URLs.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Until both steps are done the Google sign-in button still renders and fails with an honest message rather than a dead-end provider error. Username/password sign-in and guest browsing are unaffected either way.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4. Running the application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Command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dev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Start the Next.js development server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build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Production build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start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Serve a production build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typecheck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tsc --noEmit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 across the repository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ESLint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Vitest, over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lib/**/*.test.ts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db:generate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Drizzle Kit: generate a migration from schema changes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db:migrate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Drizzle Kit: apply migrations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DATABASE_URL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db:studio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Drizzle Kit's own database browser UI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seed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Bulk-load a corpus into Postgres (still a stub)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mcp:stdio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Run the MCP server directly over stdio, from source</w:t>
            </w:r>
          </w:p>
        </w:tc>
      </w:tr>
    </w:tbl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One operational note worth knowing before it causes confusion: do not run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while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dev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is already running against the same directory. The production build overwrites the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.next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directory the dev server is reading from, and the dev server then fails with a missing-module error that looks like a real bug but is not. Stop the dev server, run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rm -rf .next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and restart.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5. Setting up PDF ingest (optional, local only)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Ingesting a real, user-supplied PDF (rather than browsing the bundled fixture) runs a local Python script and is not available on the hosted deployment, because Vercel's Node runtime has no Python interpreter. To ingest locally: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pip install -r scripts/requirements.txt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with a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GROQ_API_KEY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or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FEATHERLESS_API_KEY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set in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.env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. Uploading a PDF that is a scanned image with no text layer fails the ingest job with a clear, specific message rather than silently producing nothing -- OCR recovery for that case is not yet built.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6. Setting up the MCP server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Two ways to connect an MCP-compatible client (Claude Desktop, Claude Code, or any other MCP client) to Pepiros. See the Technical Reference document for the full tool list.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6.1 Published package (no clone needed)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"mcpServers": 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"pepiros": 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"command": "npx",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"args": ["-y", "pepiros-mcp"]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}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6.2 From a local clone (for testing a change to mcp/*)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"mcpServers": 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"pepiros": 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"command": "npx",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"args": ["tsx", "mcp/stdio.ts"],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"cwd": "/absolute/path/to/pepiros"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}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6.3 Remote connector (hosted, OAuth-secured)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For a hosted MCP client that can only reach a URL rather than spawn a local process, point it at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/api/mcp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on the deployment's own origin (for example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https://pepiros.vercel.app/api/mcp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). The client discovers the OAuth 2.1 flow (dynamic client registration, PKCE) automatically from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/.well-known/oauth-authorization-server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-- no manual token setup is required on the client side.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7. Continuous integration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Every push and pull request against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runs, in order, against a real ephemeral Postgres service container: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db:migrate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typecheck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lint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the no-em-dash house style check, the generator-count consistency check, the full test suite, and a production build. All of these can be run locally with the same commands before pushing.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lowerLetter"/>
      <w:lvlText w:val="%2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B18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2026-08-23T19:24:48.612Z</dcterms:created>
  <dcterms:modified xsi:type="dcterms:W3CDTF">2026-08-23T19:24:48.612Z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