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Habitat Datenbank Installation Konfiguration und Betrieb</w:t>
      </w:r>
    </w:p>
    <w:p>
      <w:pPr>
        <w:spacing w:after="200"/>
      </w:pPr>
      <w:r>
        <w:t>Schrittweise Anleitung für die erstmalige Bereitstellung und den späteren Betrieb der Replacement App auf einem IONOS Server. Die drei Kapitel unterscheiden Installationsschritte, externe Entscheidungen und Laufzeitkonfiguration sowie den laufenden Betrieb. Stand 22. September 2026.</w:t>
      </w:r>
    </w:p>
    <w:p>
      <w:pPr>
        <w:pStyle w:val="Heading1"/>
      </w:pPr>
      <w:r>
        <w:t>Installation der Habitat Datenbank auf einem IONOS Server</w:t>
      </w:r>
    </w:p>
    <w:p>
      <w:r>
        <w:t>Dieses Kapitel führt eine künftige Betreiberin oder einen künftigen Betreiber durch die erstmalige Installation der Replacement App. Die Befehle setzen einen freigegebenen Linux-Server voraus und werden, soweit nicht anders angegeben, im Verzeichnis deploy/ionos des ausgecheckten Repositorys ausgeführt. Die Anwendung ist als Docker-Compose-Stack portabel; IONOS ist der gewählte Zielhoster, aber kein Anwendungscode hängt von einer IONOS-API ab.</w:t>
      </w:r>
    </w:p>
    <w:p>
      <w:r>
        <w:t>Der Entwicklungsumfang aus #105 liefert die Installationsvorlage. Eine tatsächlich erreichbare IONOS-Umgebung entsteht erst in #117. Vor einer Bestellung oder DNS-Änderung müssen die offenen Entscheidungen aus „Konfiguration“ bestätigt werden. Kein Platzhalter in diesem Handbuch bedeutet, dass der zugehörige Wert schon feststeht.</w:t>
      </w:r>
    </w:p>
    <w:p>
      <w:pPr>
        <w:pStyle w:val="Heading2"/>
      </w:pPr>
      <w:r>
        <w:t>Voraussetzungen für die reale Installation</w:t>
      </w:r>
    </w:p>
    <w:p>
      <w:r>
        <w:t>Der Vertragsinhaber oder die benannte Betriebsverantwortung muss in #117 den konkreten Server-Tarif samt Ressourcen und Kosten, den deutschen Rechenzentrumsstandort, Vertrag und AVV/TOM, die beiden Domains, DNS-Berechtigung sowie den Server- und Notfallzugang freigeben. Zusätzlich werden ein geprüfter Release-Commit, ein freigegebener vollständiger CSV-Datenstand und die für Preview vereinbarte Zugangsregelung benötigt. Details und Zuständigkeiten stehen in „Konfiguration“.</w:t>
      </w:r>
    </w:p>
    <w:p>
      <w:r>
        <w:t>Für einen reinen Entwicklungstest von #105 genügen lokale Platzhalter und eine Test-VM; echte Kundenverträge, Domains oder Zugangsdaten sind dafür nicht erforderlich. Eine lokale Prüfung ersetzt weder TLS- noch Netz- oder Standortnachweise der späteren Bereitstellung.</w:t>
      </w:r>
    </w:p>
    <w:p>
      <w:pPr>
        <w:pStyle w:val="Heading2"/>
      </w:pPr>
      <w:r>
        <w:t>Schritt 1 Server bereitstellen und absichern</w:t>
      </w:r>
    </w:p>
    <w:p>
      <w:r>
        <w:t>Den freigegebenen IONOS-Server am bestätigten deutschen Standort mit einer unterstützten Linux-LTS-Version anlegen. Einen namentlich zugeordneten Nicht-root-Benutzer für das Deployment einrichten und dessen Docker-Berechtigung bewusst vergeben: Zugriff auf die Docker-Schnittstelle kann praktisch Root-Rechte auf dem Host bedeuten. Administratorzugang auf benannte IPs oder VPN begrenzen und einen IONOS-Konsolen-Notfallweg festhalten.</w:t>
      </w:r>
    </w:p>
    <w:p>
      <w:r>
        <w:t>Eingehend nur TCP 80 und 443 sowie UDP 443 für Caddy freigeben. SSH nur über den vereinbarten Administrationsweg zulassen. PostgreSQL-Port 5432 darf weder in der Host-Firewall noch in einer IONOS-Firewall öffentlich freigegeben werden. Sicherheitsupdates für Host und Container müssen einer Betreiberrolle zugeordnet sein.</w:t>
      </w:r>
    </w:p>
    <w:p>
      <w:pPr>
        <w:pStyle w:val="Heading2"/>
      </w:pPr>
      <w:r>
        <w:t>Schritt 2 Docker und Compose installieren</w:t>
      </w:r>
    </w:p>
    <w:p>
      <w:pPr>
        <w:keepNext/>
      </w:pPr>
      <w:r>
        <w:t>Eine unterstützte Docker Engine mit Compose-Plugin nach der für das gewählte Linux gültigen Herstelleranleitung installieren. Danach als Deployment-Benutzer Versionen und Rechte prüfen:</w:t>
      </w:r>
    </w:p>
    <w:p>
      <w:pPr>
        <w:pStyle w:val="Codeblock"/>
        <w:keepNext/>
        <w:shd w:fill="F3F5F6"/>
      </w:pPr>
      <w:r>
        <w:t>docker version</w:t>
      </w:r>
    </w:p>
    <w:p>
      <w:pPr>
        <w:pStyle w:val="Codeblock"/>
        <w:keepNext/>
        <w:shd w:fill="F3F5F6"/>
      </w:pPr>
      <w:r>
        <w:t>docker compose version</w:t>
      </w:r>
    </w:p>
    <w:p>
      <w:pPr>
        <w:pStyle w:val="Codeblock"/>
        <w:keepNext w:val="0"/>
        <w:shd w:fill="F3F5F6"/>
        <w:spacing w:after="160"/>
      </w:pPr>
      <w:r>
        <w:t>docker info</w:t>
      </w:r>
    </w:p>
    <w:p>
      <w:r>
        <w:t>Die konkrete Paketinstallation ist distributionsabhängig und gehört zur Serverbereitstellung in #117. Die Anwendung verlangt keine IONOS-spezifischen Pakete.</w:t>
      </w:r>
    </w:p>
    <w:p>
      <w:pPr>
        <w:pStyle w:val="Heading2"/>
      </w:pPr>
      <w:r>
        <w:t>Schritt 3 Geprüften Release auschecken</w:t>
      </w:r>
    </w:p>
    <w:p>
      <w:pPr>
        <w:keepNext/>
      </w:pPr>
      <w:r>
        <w:t>Dem Deployment-Benutzer nur den erforderlichen Lesezugriff auf das Repository geben. Das Repository in ein dokumentiertes, von diesem Benutzer verwaltetes Verzeichnis klonen und einen überprüften Commit oder unveränderlichen Release-Tag auschecken. REPOSITORY_URL und RELEASE_COMMIT sind bewusst Platzhalter:</w:t>
      </w:r>
    </w:p>
    <w:p>
      <w:pPr>
        <w:pStyle w:val="Codeblock"/>
        <w:keepNext/>
        <w:shd w:fill="F3F5F6"/>
      </w:pPr>
      <w:r>
        <w:t>git clone REPOSITORY_URL habitat-database</w:t>
      </w:r>
    </w:p>
    <w:p>
      <w:pPr>
        <w:pStyle w:val="Codeblock"/>
        <w:keepNext/>
        <w:shd w:fill="F3F5F6"/>
      </w:pPr>
      <w:r>
        <w:t>cd habitat-database</w:t>
      </w:r>
    </w:p>
    <w:p>
      <w:pPr>
        <w:pStyle w:val="Codeblock"/>
        <w:keepNext/>
        <w:shd w:fill="F3F5F6"/>
      </w:pPr>
      <w:r>
        <w:t>git checkout RELEASE_COMMIT</w:t>
      </w:r>
    </w:p>
    <w:p>
      <w:pPr>
        <w:pStyle w:val="Codeblock"/>
        <w:keepNext w:val="0"/>
        <w:shd w:fill="F3F5F6"/>
        <w:spacing w:after="160"/>
      </w:pPr>
      <w:r>
        <w:t>cd deploy/ionos</w:t>
      </w:r>
    </w:p>
    <w:p>
      <w:r>
        <w:t>Den verwendeten Commit, die Freigabe und den Betreiber in #117 dokumentieren. Nicht auf einem beliebigen beweglichen Branch deployen.</w:t>
      </w:r>
    </w:p>
    <w:p>
      <w:pPr>
        <w:pStyle w:val="Heading2"/>
      </w:pPr>
      <w:r>
        <w:t>Schritt 4 Konfiguration als eigenes Arbeitspaket abschließen</w:t>
      </w:r>
    </w:p>
    <w:p>
      <w:r>
        <w:t>Die fünf Beispiel-Umgebungsdateien kopieren, Domains, ACME-Kontakt, unterschiedliche Datenbank-Passwörter, Preview-Zugangsschutz und je Umgebung einen Import-Token-Hash nach „Konfiguration“ eintragen. Die Dateien bleiben auf dem Server und werden nicht committet. Vor dem Start müssen Preview- und Produktions-Datenbankpasswörter jeweils zwischen POSTGRES_PASSWORD und DATABASE_URL übereinstimmen. Die Klartext-Import-Tokens werden getrennt und sicher an den Converter-Arbeitsplatz übergeben; sie gehören nicht auf den Server oder in das Repository.</w:t>
      </w:r>
    </w:p>
    <w:p>
      <w:r>
        <w:t>Die Produktionsdomain darf erst nach der Freigabe in #115 öffentlich auf den Server zeigen. Bis dahin kann die Produktions-App intern aufgebaut und geprüft werden; der öffentliche Produktionszugang ist kein Installationsschritt vor der Abnahme. Für die Preview muss die freigegebene Domain bereits korrekt auf den Server zeigen, damit Caddy ein gültiges Zertifikat beziehen kann.</w:t>
      </w:r>
    </w:p>
    <w:p>
      <w:pPr>
        <w:pStyle w:val="Heading2"/>
      </w:pPr>
      <w:r>
        <w:t>Schritt 5 Konfiguration und Images prüfen</w:t>
      </w:r>
    </w:p>
    <w:p>
      <w:pPr>
        <w:keepNext/>
      </w:pPr>
      <w:r>
        <w:t>Im Verzeichnis deploy/ionos ausführen:</w:t>
      </w:r>
    </w:p>
    <w:p>
      <w:pPr>
        <w:pStyle w:val="Codeblock"/>
        <w:keepNext/>
        <w:shd w:fill="F3F5F6"/>
      </w:pPr>
      <w:r>
        <w:t>docker compose config --quiet</w:t>
      </w:r>
    </w:p>
    <w:p>
      <w:pPr>
        <w:pStyle w:val="Codeblock"/>
        <w:keepNext w:val="0"/>
        <w:shd w:fill="F3F5F6"/>
        <w:spacing w:after="160"/>
      </w:pPr>
      <w:r>
        <w:t>docker compose build preview-app production-app preview-db-tools production-db-tools</w:t>
      </w:r>
    </w:p>
    <w:p>
      <w:r>
        <w:t>Fehlschläge zuerst anhand der Umgebungsdateien, der Docker-Version und des Release-Commits aufklären. docker compose config prüft die Compose-Struktur, beweist aber noch keine Erreichbarkeit oder korrekte Kundenkonfiguration.</w:t>
      </w:r>
    </w:p>
    <w:p>
      <w:pPr>
        <w:pStyle w:val="Heading2"/>
      </w:pPr>
      <w:r>
        <w:t>Schritt 6 Datenbanken starten und migrieren</w:t>
      </w:r>
    </w:p>
    <w:p>
      <w:pPr>
        <w:keepNext/>
      </w:pPr>
      <w:r>
        <w:t>Preview und Produktion haben getrennte Datenbanken, Import-Staging-Volumes und interne Netzwerke. Zuerst nur die Datenbanken starten, dann die Migration für jede Umgebung ausführen:</w:t>
      </w:r>
    </w:p>
    <w:p>
      <w:pPr>
        <w:pStyle w:val="Codeblock"/>
        <w:keepNext/>
        <w:shd w:fill="F3F5F6"/>
      </w:pPr>
      <w:r>
        <w:t>docker compose up -d preview-db production-db</w:t>
      </w:r>
    </w:p>
    <w:p>
      <w:pPr>
        <w:pStyle w:val="Codeblock"/>
        <w:keepNext/>
        <w:shd w:fill="F3F5F6"/>
      </w:pPr>
      <w:r>
        <w:t>docker compose --profile ops run --rm preview-db-tools db:migrate</w:t>
      </w:r>
    </w:p>
    <w:p>
      <w:pPr>
        <w:pStyle w:val="Codeblock"/>
        <w:keepNext/>
        <w:shd w:fill="F3F5F6"/>
      </w:pPr>
      <w:r>
        <w:t>docker compose --profile ops run --rm production-db-tools db:migrate</w:t>
      </w:r>
    </w:p>
    <w:p>
      <w:pPr>
        <w:pStyle w:val="Codeblock"/>
        <w:keepNext w:val="0"/>
        <w:shd w:fill="F3F5F6"/>
        <w:spacing w:after="160"/>
      </w:pPr>
      <w:r>
        <w:t>docker compose ps</w:t>
      </w:r>
    </w:p>
    <w:p>
      <w:r>
        <w:t>Der Datenbankdienst hat keinen öffentlichen Host-Port. Die Migrationswerkzeuge erhalten ihre jeweilige DATABASE_URL aus der getrennten App-Konfiguration.</w:t>
      </w:r>
    </w:p>
    <w:p>
      <w:pPr>
        <w:pStyle w:val="Heading2"/>
      </w:pPr>
      <w:r>
        <w:t>Schritt 7 Freigegebenen CSV Stand einspielen</w:t>
      </w:r>
    </w:p>
    <w:p>
      <w:pPr>
        <w:keepNext/>
      </w:pPr>
      <w:r>
        <w:t>Der Erstimport kann den bereits vorhandenen Operator-Weg verwenden. Vor jedem schreibenden Lauf den vollständigen Snapshot und den sync-Bericht prüfen. Der in db:dry-run ausgegebene Manifest-Checksum muss exakt beim zugehörigen db:apply eingesetzt werden; CHECKSUM ist ein Platzhalter:</w:t>
      </w:r>
    </w:p>
    <w:p>
      <w:pPr>
        <w:pStyle w:val="Codeblock"/>
        <w:keepNext/>
        <w:shd w:fill="F3F5F6"/>
      </w:pPr>
      <w:r>
        <w:t>docker compose --profile ops run --rm preview-db-tools db:dry-run -- --mode sync</w:t>
      </w:r>
    </w:p>
    <w:p>
      <w:pPr>
        <w:pStyle w:val="Codeblock"/>
        <w:keepNext/>
        <w:shd w:fill="F3F5F6"/>
      </w:pPr>
      <w:r>
        <w:t>docker compose --profile ops run --rm preview-db-tools db:apply -- --mode sync --approve CHECKSUM</w:t>
      </w:r>
    </w:p>
    <w:p>
      <w:pPr>
        <w:pStyle w:val="Codeblock"/>
        <w:keepNext/>
        <w:shd w:fill="F3F5F6"/>
      </w:pPr>
      <w:r>
        <w:t>docker compose --profile ops run --rm production-db-tools db:dry-run -- --mode sync</w:t>
      </w:r>
    </w:p>
    <w:p>
      <w:pPr>
        <w:pStyle w:val="Codeblock"/>
        <w:keepNext w:val="0"/>
        <w:shd w:fill="F3F5F6"/>
        <w:spacing w:after="160"/>
      </w:pPr>
      <w:r>
        <w:t>docker compose --profile ops run --rm production-db-tools db:apply -- --mode sync --approve CHECKSUM</w:t>
      </w:r>
    </w:p>
    <w:p>
      <w:r>
        <w:t>Preview und Produktion können unterschiedliche Checksum-Werte nur dann haben, wenn absichtlich unterschiedliche Dateien verwendet werden; für die M1-Abnahme ist der freigegebene Datenstand je Umgebung nachzuweisen. Vor apply die Anzahl der Inserts, Änderungen und Entfernungen, Warnungen und die Quell-Dateien kontrollieren. Berichte liegen unter deploy/ionos/reports/preview und deploy/ionos/reports/production. Für Importdetails gilt packages/database/README.md. Nach Integration von PR #121 wird derselbe fachliche Dry-Run- und Apply-Ablauf über die gesicherte API aus dem Converter ausgelöst; der Operator-Weg bleibt für Erstinbetriebnahme und Wiederherstellung verfügbar.</w:t>
      </w:r>
    </w:p>
    <w:p>
      <w:pPr>
        <w:pStyle w:val="Heading2"/>
      </w:pPr>
      <w:r>
        <w:t>Schritt 8 Apps und Reverse Proxy starten</w:t>
      </w:r>
    </w:p>
    <w:p>
      <w:pPr>
        <w:keepNext/>
      </w:pPr>
      <w:r>
        <w:t>Nach erfolgreicher Migration und Datenprüfung die Apps und Caddy starten:</w:t>
      </w:r>
    </w:p>
    <w:p>
      <w:pPr>
        <w:pStyle w:val="Codeblock"/>
        <w:keepNext/>
        <w:shd w:fill="F3F5F6"/>
      </w:pPr>
      <w:r>
        <w:t>docker compose up -d preview-app production-app caddy</w:t>
      </w:r>
    </w:p>
    <w:p>
      <w:pPr>
        <w:pStyle w:val="Codeblock"/>
        <w:keepNext w:val="0"/>
        <w:shd w:fill="F3F5F6"/>
        <w:spacing w:after="160"/>
      </w:pPr>
      <w:r>
        <w:t>docker compose ps</w:t>
      </w:r>
    </w:p>
    <w:p>
      <w:r>
        <w:t>Caddy veröffentlicht die Web-Ports, nicht PostgreSQL. Bei noch nicht freigegebener Produktionsdomain die Caddy-/ACME-Meldungen für diese Domain als erwartete offene Bereitstellung prüfen; die Preview muss dennoch korrekt laufen. Eine endgültige Produktions-TLS-Prüfung folgt erst nach der freigegebenen DNS-Umschaltung.</w:t>
      </w:r>
    </w:p>
    <w:p>
      <w:pPr>
        <w:pStyle w:val="Heading2"/>
      </w:pPr>
      <w:r>
        <w:t>Schritt 9 Erreichbarkeit und Schutzgrenzen prüfen</w:t>
      </w:r>
    </w:p>
    <w:p>
      <w:pPr>
        <w:keepNext/>
      </w:pPr>
      <w:r>
        <w:t>Von einem externen Rechner die Preview-Domain und nach #115 auch die Produktionsdomain prüfen. Für die beiden freigegebenen Domains gilt:</w:t>
      </w:r>
    </w:p>
    <w:p>
      <w:pPr>
        <w:pStyle w:val="Codeblock"/>
        <w:keepNext/>
        <w:shd w:fill="F3F5F6"/>
      </w:pPr>
      <w:r>
        <w:t>curl --fail --silent --show-error https://PREVIEW_DOMAIN/health</w:t>
      </w:r>
    </w:p>
    <w:p>
      <w:pPr>
        <w:pStyle w:val="Codeblock"/>
        <w:keepNext/>
        <w:shd w:fill="F3F5F6"/>
      </w:pPr>
      <w:r>
        <w:t>curl --fail --silent --show-error https://PRODUCTION_DOMAIN/health</w:t>
      </w:r>
    </w:p>
    <w:p>
      <w:pPr>
        <w:pStyle w:val="Codeblock"/>
        <w:keepNext w:val="0"/>
        <w:shd w:fill="F3F5F6"/>
        <w:spacing w:after="160"/>
      </w:pPr>
      <w:r>
        <w:t>docker compose logs --tail 200 caddy preview-app production-app preview-db production-db</w:t>
      </w:r>
    </w:p>
    <w:p>
      <w:r>
        <w:t>Zusätzlich im Browser prüfen: Preview leitet ohne Zugang zur Passwortseite, angemeldete Preview zeigt den kanonischen Datenstand, Produktion zeigt nach Freigabe öffentliche Leseansichten ohne Preview-Login. Ein externer Porttest muss bestätigen, dass PostgreSQL nicht erreichbar ist. /health allein belegt weder fachliche Datenrichtigkeit noch den Standort. Diese Nachweise gehen in #114 und #115 ein.</w:t>
      </w:r>
    </w:p>
    <w:p>
      <w:r>
        <w:t>Zusätzlich mit dem Converter je Umgebung einen autorisierten API-Dry-Run durchführen, die zurückgegebenen Dateianzahlen, Prüfsumme und Diagnosen prüfen und erst danach einen ausdrücklich bestätigten Apply auslösen. Ein Request ohne Token muss mit 401 abgewiesen werden. Nach erfolgreichem Apply eine repräsentative öffentliche Seite neu laden und den Datensatz prüfen. Run-Status, Audit-Ereignisse und die Bereinigung des Staging-Verzeichnisses ohne Secret-Werte in #117 dokumentieren.</w:t>
      </w:r>
    </w:p>
    <w:p>
      <w:pPr>
        <w:pStyle w:val="Heading2"/>
      </w:pPr>
      <w:r>
        <w:t>Schritt 10 Übergabe dokumentieren</w:t>
      </w:r>
    </w:p>
    <w:p>
      <w:r>
        <w:t>In #117 Commit, Standort- und Vertragsnachweis, Domains, Betreiberkontakt, TLS- und Netztests, verwendeten CSV-Manifest-Checksum und Prüfergebnis ohne Secrets festhalten. Das Betriebskapitel an die zuständige Person übergeben. Die bestehenden Render-PR-Previews bleiben aktiv; IONOS übernimmt die Release-Candidate- beziehungsweise Produktionsumgebung. Eine spätere Ablösung von Render ist eine separate, ausdrücklich zu entscheidende Betriebsänderung.</w:t>
      </w:r>
    </w:p>
    <w:p>
      <w:pPr>
        <w:pStyle w:val="Heading1"/>
      </w:pPr>
      <w:r>
        <w:t>Konfiguration und offene Entscheidungen</w:t>
      </w:r>
    </w:p>
    <w:p>
      <w:r>
        <w:t>Dieses Kapitel trennt externe Voraussetzungen von Konfigurationsarbeit und fehlender Produktimplementierung. Stand 22. September 2026 sind in #117 noch keine konkreten IONOS-Werte als bestätigt dokumentiert. Die Übersicht ist eine Arbeitsliste für die reale Inbetriebnahme, keine Liste von Programmierfehlern. Echte Zugangsdaten dürfen nur in einem geeigneten Secret-Speicher und in den geschützten Serverdateien stehen, niemals hier.</w:t>
      </w:r>
    </w:p>
    <w:p>
      <w:pPr>
        <w:pStyle w:val="Heading2"/>
      </w:pPr>
      <w:r>
        <w:t>Was vor der IONOS Bereitstellung fehlt</w:t>
      </w:r>
    </w:p>
    <w:p>
      <w:pPr>
        <w:keepNext/>
        <w:spacing w:before="80"/>
      </w:pPr>
      <w:r>
        <w:rPr>
          <w:b/>
        </w:rPr>
        <w:t>Tarif, Servertyp, Ressourcen und Kosten</w:t>
      </w:r>
    </w:p>
    <w:p>
      <w:pPr>
        <w:keepNext/>
        <w:spacing w:after="40"/>
        <w:ind w:left="216"/>
      </w:pPr>
      <w:r>
        <w:rPr>
          <w:sz w:val="18"/>
        </w:rPr>
        <w:t>Kundenentscheidung und Beschaffung  ·  #105: Nein  ·  #117: Ja</w:t>
      </w:r>
    </w:p>
    <w:p>
      <w:pPr>
        <w:keepLines/>
        <w:spacing w:after="80"/>
        <w:ind w:left="216"/>
      </w:pPr>
      <w:r>
        <w:t>Angebot, IPv4-Bedarf, Kündigung, Supportweg und Freigabe in #117 dokumentieren</w:t>
      </w:r>
    </w:p>
    <w:p>
      <w:pPr>
        <w:keepNext/>
        <w:spacing w:before="80"/>
      </w:pPr>
      <w:r>
        <w:rPr>
          <w:b/>
        </w:rPr>
        <w:t>Deutscher Rechenzentrumsstandort</w:t>
      </w:r>
    </w:p>
    <w:p>
      <w:pPr>
        <w:keepNext/>
        <w:spacing w:after="40"/>
        <w:ind w:left="216"/>
      </w:pPr>
      <w:r>
        <w:rPr>
          <w:sz w:val="18"/>
        </w:rPr>
        <w:t>Vertragliche und technische Bestätigung  ·  #105: Nein  ·  #117: Ja</w:t>
      </w:r>
    </w:p>
    <w:p>
      <w:pPr>
        <w:keepLines/>
        <w:spacing w:after="80"/>
        <w:ind w:left="216"/>
      </w:pPr>
      <w:r>
        <w:t>IONOS-Standort für den konkreten Server bestätigen</w:t>
      </w:r>
    </w:p>
    <w:p>
      <w:pPr>
        <w:keepNext/>
        <w:spacing w:before="80"/>
      </w:pPr>
      <w:r>
        <w:rPr>
          <w:b/>
        </w:rPr>
        <w:t>Vertrag, Erweiterung, Inhaber und Abrechnung</w:t>
      </w:r>
    </w:p>
    <w:p>
      <w:pPr>
        <w:keepNext/>
        <w:spacing w:after="40"/>
        <w:ind w:left="216"/>
      </w:pPr>
      <w:r>
        <w:rPr>
          <w:sz w:val="18"/>
        </w:rPr>
        <w:t>Kundenentscheidung und Beschaffung  ·  #105: Nein  ·  #117: Ja</w:t>
      </w:r>
    </w:p>
    <w:p>
      <w:pPr>
        <w:keepLines/>
        <w:spacing w:after="80"/>
        <w:ind w:left="216"/>
      </w:pPr>
      <w:r>
        <w:t>Zuständigkeit und Konditionen schriftlich festhalten</w:t>
      </w:r>
    </w:p>
    <w:p>
      <w:pPr>
        <w:keepNext/>
        <w:spacing w:before="80"/>
      </w:pPr>
      <w:r>
        <w:rPr>
          <w:b/>
        </w:rPr>
        <w:t>AVV/DPA und TOM</w:t>
      </w:r>
    </w:p>
    <w:p>
      <w:pPr>
        <w:keepNext/>
        <w:spacing w:after="40"/>
        <w:ind w:left="216"/>
      </w:pPr>
      <w:r>
        <w:rPr>
          <w:sz w:val="18"/>
        </w:rPr>
        <w:t>Rechtliche und organisatorische Prüfung  ·  #105: Nein  ·  #117: Ja</w:t>
      </w:r>
    </w:p>
    <w:p>
      <w:pPr>
        <w:keepLines/>
        <w:spacing w:after="80"/>
        <w:ind w:left="216"/>
      </w:pPr>
      <w:r>
        <w:t>Gültige Unterlagen prüfen und Akzeptanz dokumentieren</w:t>
      </w:r>
    </w:p>
    <w:p>
      <w:pPr>
        <w:keepNext/>
        <w:spacing w:before="80"/>
      </w:pPr>
      <w:r>
        <w:rPr>
          <w:b/>
        </w:rPr>
        <w:t>Preview- und Produktionsdomain</w:t>
      </w:r>
    </w:p>
    <w:p>
      <w:pPr>
        <w:keepNext/>
        <w:spacing w:after="40"/>
        <w:ind w:left="216"/>
      </w:pPr>
      <w:r>
        <w:rPr>
          <w:sz w:val="18"/>
        </w:rPr>
        <w:t>Namens- und Release-Konfiguration  ·  #105: Nein  ·  #117: Ja</w:t>
      </w:r>
    </w:p>
    <w:p>
      <w:pPr>
        <w:keepLines/>
        <w:spacing w:after="80"/>
        <w:ind w:left="216"/>
      </w:pPr>
      <w:r>
        <w:t>Beide FQDN und Freigabezeitpunkt benennen</w:t>
      </w:r>
    </w:p>
    <w:p>
      <w:pPr>
        <w:keepNext/>
        <w:spacing w:before="80"/>
      </w:pPr>
      <w:r>
        <w:rPr>
          <w:b/>
        </w:rPr>
        <w:t>DNS-Zugriff und Records</w:t>
      </w:r>
    </w:p>
    <w:p>
      <w:pPr>
        <w:keepNext/>
        <w:spacing w:after="40"/>
        <w:ind w:left="216"/>
      </w:pPr>
      <w:r>
        <w:rPr>
          <w:sz w:val="18"/>
        </w:rPr>
        <w:t>Berechtigung und Konfiguration  ·  #105: Nein  ·  #117: Ja</w:t>
      </w:r>
    </w:p>
    <w:p>
      <w:pPr>
        <w:keepLines/>
        <w:spacing w:after="80"/>
        <w:ind w:left="216"/>
      </w:pPr>
      <w:r>
        <w:t>Verantwortliche Person, A/AAAA-Werte und Änderung dokumentieren</w:t>
      </w:r>
    </w:p>
    <w:p>
      <w:pPr>
        <w:keepNext/>
        <w:spacing w:before="80"/>
      </w:pPr>
      <w:r>
        <w:rPr>
          <w:b/>
        </w:rPr>
        <w:t>Server-, SSH- und Konsolenzugang</w:t>
      </w:r>
    </w:p>
    <w:p>
      <w:pPr>
        <w:keepNext/>
        <w:spacing w:after="40"/>
        <w:ind w:left="216"/>
      </w:pPr>
      <w:r>
        <w:rPr>
          <w:sz w:val="18"/>
        </w:rPr>
        <w:t>Berechtigung und Betrieb  ·  #105: Nein  ·  #117: Ja</w:t>
      </w:r>
    </w:p>
    <w:p>
      <w:pPr>
        <w:keepLines/>
        <w:spacing w:after="80"/>
        <w:ind w:left="216"/>
      </w:pPr>
      <w:r>
        <w:t>Benannte Betreiber, Schlüssel und Notfallweg bereitstellen</w:t>
      </w:r>
    </w:p>
    <w:p>
      <w:pPr>
        <w:keepNext/>
        <w:spacing w:before="80"/>
      </w:pPr>
      <w:r>
        <w:rPr>
          <w:b/>
        </w:rPr>
        <w:t>ACME-Kontakt, DB-Secrets, Preview-Passwort</w:t>
      </w:r>
    </w:p>
    <w:p>
      <w:pPr>
        <w:keepNext/>
        <w:spacing w:after="40"/>
        <w:ind w:left="216"/>
      </w:pPr>
      <w:r>
        <w:rPr>
          <w:sz w:val="18"/>
        </w:rPr>
        <w:t>Laufzeitkonfiguration  ·  #105: Nein  ·  #117: Ja</w:t>
      </w:r>
    </w:p>
    <w:p>
      <w:pPr>
        <w:keepLines/>
        <w:spacing w:after="80"/>
        <w:ind w:left="216"/>
      </w:pPr>
      <w:r>
        <w:t>Getrennt erzeugen und geschützt ablegen</w:t>
      </w:r>
    </w:p>
    <w:p>
      <w:pPr>
        <w:keepNext/>
        <w:spacing w:before="80"/>
      </w:pPr>
      <w:r>
        <w:rPr>
          <w:b/>
        </w:rPr>
        <w:t>Gesicherte Import-API und Converter-Anbindung</w:t>
      </w:r>
    </w:p>
    <w:p>
      <w:pPr>
        <w:keepNext/>
        <w:spacing w:after="40"/>
        <w:ind w:left="216"/>
      </w:pPr>
      <w:r>
        <w:rPr>
          <w:sz w:val="18"/>
        </w:rPr>
        <w:t>Produktimplementierung #107 und Laufzeitkonfiguration  ·  #105: Staging-Volume und Vorlagen  ·  #117: Ja</w:t>
      </w:r>
    </w:p>
    <w:p>
      <w:pPr>
        <w:keepLines/>
        <w:spacing w:after="80"/>
        <w:ind w:left="216"/>
      </w:pPr>
      <w:r>
        <w:t>Code aus PR #121 deployen, Token erzeugen, Hash eintragen und End-to-End-Test dokumentieren</w:t>
      </w:r>
    </w:p>
    <w:p>
      <w:pPr>
        <w:keepNext/>
        <w:spacing w:before="80"/>
      </w:pPr>
      <w:r>
        <w:rPr>
          <w:b/>
        </w:rPr>
        <w:t>Fachliche Daten- und Ansichtsprüfung</w:t>
      </w:r>
    </w:p>
    <w:p>
      <w:pPr>
        <w:keepNext/>
        <w:spacing w:after="40"/>
        <w:ind w:left="216"/>
      </w:pPr>
      <w:r>
        <w:rPr>
          <w:sz w:val="18"/>
        </w:rPr>
        <w:t>Prüfung #114  ·  #105: Nein  ·  #117: M1 insgesamt</w:t>
      </w:r>
    </w:p>
    <w:p>
      <w:pPr>
        <w:keepLines/>
        <w:spacing w:after="80"/>
        <w:ind w:left="216"/>
      </w:pPr>
      <w:r>
        <w:t>Berichte und Stichproben abnehmen</w:t>
      </w:r>
    </w:p>
    <w:p>
      <w:pPr>
        <w:keepNext/>
        <w:spacing w:before="80"/>
      </w:pPr>
      <w:r>
        <w:rPr>
          <w:b/>
        </w:rPr>
        <w:t>Öffentliche Produktionsfreigabe</w:t>
      </w:r>
    </w:p>
    <w:p>
      <w:pPr>
        <w:keepNext/>
        <w:spacing w:after="40"/>
        <w:ind w:left="216"/>
      </w:pPr>
      <w:r>
        <w:rPr>
          <w:sz w:val="18"/>
        </w:rPr>
        <w:t>Entscheidung #115  ·  #105: Nein  ·  #117: Ja</w:t>
      </w:r>
    </w:p>
    <w:p>
      <w:pPr>
        <w:keepLines/>
        <w:spacing w:after="80"/>
        <w:ind w:left="216"/>
      </w:pPr>
      <w:r>
        <w:t>DNS und Zugriff erst nach Abnahme freigeben</w:t>
      </w:r>
    </w:p>
    <w:p>
      <w:r>
        <w:t>Die ersten acht Zeilen blockieren einen realen Serverstart oder eine verantwortbare Live-Schaltung, nicht den Abschluss der Code-Vorlage in #105. Der Import per Operator-Kommando bleibt für Erstinbetriebnahme und Wiederherstellung vorhanden. Der gesicherte Produktworkflow wird durch #107 beziehungsweise PR #121 geliefert und benötigt bei der Bereitstellung zusätzlich die unten beschriebene Laufzeitkonfiguration. Wiederkehrende Backups gehören zu #79 in M4 und sind nicht stillschweigend Teil dieser M1-Konfiguration.</w:t>
      </w:r>
    </w:p>
    <w:p>
      <w:pPr>
        <w:pStyle w:val="Heading2"/>
      </w:pPr>
      <w:r>
        <w:t>Umgebungsdateien auf dem Server</w:t>
      </w:r>
    </w:p>
    <w:p>
      <w:pPr>
        <w:keepNext/>
      </w:pPr>
      <w:r>
        <w:t>Im Verzeichnis deploy/ionos die fünf Vorlagen kopieren und nur lokal auf dem Server befüllen:</w:t>
      </w:r>
    </w:p>
    <w:p>
      <w:pPr>
        <w:pStyle w:val="Codeblock"/>
        <w:keepNext/>
        <w:shd w:fill="F3F5F6"/>
      </w:pPr>
      <w:r>
        <w:t>cp .env.example .env</w:t>
      </w:r>
    </w:p>
    <w:p>
      <w:pPr>
        <w:pStyle w:val="Codeblock"/>
        <w:keepNext/>
        <w:shd w:fill="F3F5F6"/>
      </w:pPr>
      <w:r>
        <w:t>cp .env.preview-app.example .env.preview-app</w:t>
      </w:r>
    </w:p>
    <w:p>
      <w:pPr>
        <w:pStyle w:val="Codeblock"/>
        <w:keepNext/>
        <w:shd w:fill="F3F5F6"/>
      </w:pPr>
      <w:r>
        <w:t>cp .env.preview-db.example .env.preview-db</w:t>
      </w:r>
    </w:p>
    <w:p>
      <w:pPr>
        <w:pStyle w:val="Codeblock"/>
        <w:keepNext/>
        <w:shd w:fill="F3F5F6"/>
      </w:pPr>
      <w:r>
        <w:t>cp .env.production-app.example .env.production-app</w:t>
      </w:r>
    </w:p>
    <w:p>
      <w:pPr>
        <w:pStyle w:val="Codeblock"/>
        <w:keepNext/>
        <w:shd w:fill="F3F5F6"/>
      </w:pPr>
      <w:r>
        <w:t>cp .env.production-db.example .env.production-db</w:t>
      </w:r>
    </w:p>
    <w:p>
      <w:pPr>
        <w:pStyle w:val="Codeblock"/>
        <w:keepNext w:val="0"/>
        <w:shd w:fill="F3F5F6"/>
        <w:spacing w:after="160"/>
      </w:pPr>
      <w:r>
        <w:t>chmod 600 .env .env.*-app .env.*-db</w:t>
      </w:r>
    </w:p>
    <w:p>
      <w:r>
        <w:t>Die Dateien sind in Git ignoriert. Besitzer und Leserechte nach dem Kopieren prüfen. Platzhalterwerte wie CHANGE_ME dürfen in keiner gestarteten Umgebung verbleiben. Keine Secrets in Shell-History, Issue-Text, PR, Screenshot, Container-Image oder clientseitiges Bundle schreiben.</w:t>
      </w:r>
    </w:p>
    <w:p>
      <w:pPr>
        <w:pStyle w:val="Heading2"/>
      </w:pPr>
      <w:r>
        <w:t>Gemeinsame Angaben und Domains</w:t>
      </w:r>
    </w:p>
    <w:p>
      <w:r>
        <w:t>In .env stehen ACME_EMAIL, PREVIEW_DOMAIN, PRODUCTION_DOMAIN sowie optional AAD_APP_IMAGE und AAD_APP_TAG. Die Domains sind vollständige Hostnamen ohne https://. Der ACME-Kontakt muss eine betreute Adresse sein. Für den produktiven Betrieb einen geprüften Commit oder unveränderlichen Image-Tag verwenden; local ist der Build-Standard der Vorlage.</w:t>
      </w:r>
    </w:p>
    <w:p>
      <w:r>
        <w:t>DNS für die Preview erst nach Freigabe des Hostnamens auf die IONOS-IP setzen. Bestehende Records und TTL vor Änderung erfassen. Caddy benötigt erreichbare Ports 80/443 und korrekt aufgelöste Namen für automatische TLS-Zertifikate. Die Produktionsdomain erst gemäß #115 öffentlich umschalten. Eine alleinige DNS-Nichtveröffentlichung ist kein Ersatz für eine explizite Release-Freigabe; die Zugangskontrolle während der Abnahme ist in #117 festzulegen.</w:t>
      </w:r>
    </w:p>
    <w:p>
      <w:pPr>
        <w:pStyle w:val="Heading2"/>
      </w:pPr>
      <w:r>
        <w:t>Datenbanken und App Laufzeit</w:t>
      </w:r>
    </w:p>
    <w:p>
      <w:r>
        <w:t>.env.preview-db und .env.production-db enthalten jeweils POSTGRES_DB, POSTGRES_USER und ein eigenes starkes POSTGRES_PASSWORD. In der entsprechenden App-Datei muss DATABASE_URL denselben Benutzer, Datenbanknamen und Passwortwert enthalten und auf preview-db:5432 beziehungsweise production-db:5432 zeigen. Ein zufällig erzeugtes Passwort mit URL-Sonderzeichen muss korrekt URL-kodiert werden. Preview und Produktion dürfen keine Passwörter teilen.</w:t>
      </w:r>
    </w:p>
    <w:p>
      <w:r>
        <w:t>Die App-Dateien setzen APP_ENV=preview beziehungsweise APP_ENV=production, CATALOG_DATA_SOURCE=postgres und ALLOW_MOCK_CATALOG_IN_PREVIEW=false. Produktion darf nicht mit mock oder auto betrieben werden. Compose setzt APP_BASE_URL aus der jeweiligen Domain. Die Anwendung baut ohne laufende Datenbank; Datenbankabhängige Routen lesen erst zur Laufzeit aus der zugeordneten PostgreSQL-Instanz.</w:t>
      </w:r>
    </w:p>
    <w:p>
      <w:pPr>
        <w:pStyle w:val="Heading2"/>
      </w:pPr>
      <w:r>
        <w:t>Preview Zugangsschutz</w:t>
      </w:r>
    </w:p>
    <w:p>
      <w:r>
        <w:t>Die Vorlage verwendet bis zur späteren Benutzerverwaltung einen gemeinsamen Passwortschutz. In .env.preview-app stehen PREVIEW_ACCESS_MODE=shared-password, ein Scrypt-Hash und ein unabhängiges Session-Secret von mindestens 32 Zeichen. Der Hash wird mit npm run preview:hash-password in apps/web erzeugt; das Klartextpasswort nur über einen sicheren Kanal weitergeben. PREVIEW_ACCESS_SESSION_DURATION_SECONDS bestimmt die Sitzungsdauer. In Produktion bleibt PREVIEW_ACCESS_MODE=off, weil die öffentlichen Leseseiten nach #115 ohne Preview-Login erreichbar sein sollen.</w:t>
      </w:r>
    </w:p>
    <w:p>
      <w:r>
        <w:t>Die konkrete Preview-Zugangsregelung und Passwortverantwortung sind vor dem Livebetrieb in #117 zu bestätigen. Der gemeinsame Schutz ist keine Lösung für spätere rollenbasierte Redaktionskonten.</w:t>
      </w:r>
    </w:p>
    <w:p>
      <w:pPr>
        <w:pStyle w:val="Heading2"/>
      </w:pPr>
      <w:r>
        <w:t>Import API und Staging Volume</w:t>
      </w:r>
    </w:p>
    <w:p>
      <w:r>
        <w:t>Preview und Produktion besitzen jeweils ein eigenes benanntes Docker-Volume, das ausschließlich unter /var/lib/aad/import-staging in den ansonsten schreibgeschützten App-Container eingehängt wird. IMPORT_STAGING_ROOT muss exakt auf diesen Pfad zeigen. Das Volume hält den geprüften Upload zwischen Dry-Run und Apply beziehungsweise einem sicheren Wiederholungsversuch. Es ist weder die kanonische Datenbank noch ein Backup und darf nicht zwischen Preview und Produktion geteilt werden.</w:t>
      </w:r>
    </w:p>
    <w:p>
      <w:r>
        <w:t>In beiden App-Dateien wird die API mit IMPORT_API_ENABLED=true ausdrücklich aktiviert. IMPORT_API_TOKEN_HASH enthält nur den Scrypt-Hash eines je Umgebung eigenen, zufälligen Import-Tokens. Den Hash im Web-Paket mit AAD_IMPORT_API_TOKEN='&lt;zufälliger Wert&gt;' npm run import:hash-token erzeugen. Der Klartextwert gehört ausschließlich in die geschützte Laufzeitumgebung des Converter-Arbeitsplatzes als AAD_IMPORT_API_TOKEN; dort steht zusätzlich die jeweilige Basis-URL als AAD_IMPORT_API_URL. Hash und Klartext dürfen nicht verwechselt, committet oder in Tickets, Screenshots und Diagnoseberichten abgelegt werden.</w:t>
      </w:r>
    </w:p>
    <w:p>
      <w:r>
        <w:t>IMPORT_MAX_UPLOAD_BYTES, IMPORT_MAX_FILES und IMPORT_RUN_TTL_SECONDS begrenzen Upload und Lebensdauer. Die Vorlagen verwenden 25 MiB, 128 Dateien und 24 Stunden. Änderungen müssen zur realen Datenmenge passen und in #117 begründet werden. Abgelaufene oder erfolgreich angewendete Staging-Daten können entfernt werden; eine Bereinigung darf niemals das PostgreSQL-Volume betreffen.</w:t>
      </w:r>
    </w:p>
    <w:p>
      <w:pPr>
        <w:pStyle w:val="Heading2"/>
      </w:pPr>
      <w:r>
        <w:t>Konfigurationsprüfung vor dem Start</w:t>
      </w:r>
    </w:p>
    <w:p>
      <w:r>
        <w:t>docker compose config --quiet muss erfolgreich sein. Zusätzlich alle Umgebungsdateien auf Platzhalter, getrennte Passwörter und Import-Tokens, passende DATABASE_URL-Werte, korrekte Domains, Staging-Pfade und Dateirechte prüfen. Nicht die vollständige Ausgabe von docker compose config in ein öffentliches Ticket kopieren: je nach Compose-Version können darin Geheimnisse erscheinen. Die technischen Einzelheiten der Importdateien stehen in packages/database/README.md; API-Vertrag und lokaler Testablauf stehen in import-api.md.</w:t>
      </w:r>
    </w:p>
    <w:p>
      <w:pPr>
        <w:pStyle w:val="Heading1"/>
      </w:pPr>
      <w:r>
        <w:t>Betrieb und Wiederherstellung</w:t>
      </w:r>
    </w:p>
    <w:p>
      <w:r>
        <w:t>Dieses Kapitel beschreibt den Betrieb nach der Installation. Die Befehle werden im Verzeichnis deploy/ionos des aktiven Release-Checkouts ausgeführt. Die verantwortliche Person muss Zugang zum Server und zum freigegebenen Release haben. Änderungen an DNS, Secrets, Datenbankvolumes oder öffentlicher Produktion benötigen die dokumentierte Freigabe aus #117 beziehungsweise #115.</w:t>
      </w:r>
    </w:p>
    <w:p>
      <w:pPr>
        <w:pStyle w:val="Heading2"/>
      </w:pPr>
      <w:r>
        <w:t>Regelmäßige Zustandsprüfung</w:t>
      </w:r>
    </w:p>
    <w:p>
      <w:pPr>
        <w:keepNext/>
      </w:pPr>
      <w:r>
        <w:t>Den Zustand der Container und die begrenzten Logs prüfen. Die Vorlage begrenzt JSON-Logs je Container, ersetzt aber keine spätere Überwachung oder zentrale Aufbewahrung:</w:t>
      </w:r>
    </w:p>
    <w:p>
      <w:pPr>
        <w:pStyle w:val="Codeblock"/>
        <w:keepNext/>
        <w:shd w:fill="F3F5F6"/>
      </w:pPr>
      <w:r>
        <w:t>docker compose ps</w:t>
      </w:r>
    </w:p>
    <w:p>
      <w:pPr>
        <w:pStyle w:val="Codeblock"/>
        <w:keepNext/>
        <w:shd w:fill="F3F5F6"/>
      </w:pPr>
      <w:r>
        <w:t>docker compose logs --tail 200 caddy preview-app production-app preview-db production-db</w:t>
      </w:r>
    </w:p>
    <w:p>
      <w:pPr>
        <w:pStyle w:val="Codeblock"/>
        <w:keepNext/>
        <w:shd w:fill="F3F5F6"/>
      </w:pPr>
      <w:r>
        <w:t>curl --fail --silent --show-error https://PREVIEW_DOMAIN/health</w:t>
      </w:r>
    </w:p>
    <w:p>
      <w:pPr>
        <w:pStyle w:val="Codeblock"/>
        <w:keepNext w:val="0"/>
        <w:shd w:fill="F3F5F6"/>
        <w:spacing w:after="160"/>
      </w:pPr>
      <w:r>
        <w:t>curl --fail --silent --show-error https://PRODUCTION_DOMAIN/health</w:t>
      </w:r>
    </w:p>
    <w:p>
      <w:r>
        <w:t>Ein erfolgreicher Health-Response ist nur eine technische Stichprobe. Nach Deployments auch mindestens eine repräsentative Detailseite und die korrekte Preview-Zugangssperre von außen prüfen. Bei Fehlern zuerst Containerstatus, Caddy-/App-Logs, DNS und Zertifikatsstatus prüfen; keine Secrets in Support-Tickets kopieren.</w:t>
      </w:r>
    </w:p>
    <w:p>
      <w:pPr>
        <w:pStyle w:val="Heading2"/>
      </w:pPr>
      <w:r>
        <w:t>Geprüften Release aktualisieren</w:t>
      </w:r>
    </w:p>
    <w:p>
      <w:pPr>
        <w:keepNext/>
      </w:pPr>
      <w:r>
        <w:t>Vor einem Update Release-Commit, Änderungen am Datenbankschema, Migrationskompatibilität und Rollback-Pfad prüfen. Eine Anwendungs-Rückkehr auf alten Code macht eine Datenbankmigration nicht rückgängig. Bei reinem Anwendungsupdate:</w:t>
      </w:r>
    </w:p>
    <w:p>
      <w:pPr>
        <w:pStyle w:val="Codeblock"/>
        <w:keepNext/>
        <w:shd w:fill="F3F5F6"/>
      </w:pPr>
      <w:r>
        <w:t>git fetch --prune</w:t>
      </w:r>
    </w:p>
    <w:p>
      <w:pPr>
        <w:pStyle w:val="Codeblock"/>
        <w:keepNext/>
        <w:shd w:fill="F3F5F6"/>
      </w:pPr>
      <w:r>
        <w:t>git checkout RELEASE_COMMIT</w:t>
      </w:r>
    </w:p>
    <w:p>
      <w:pPr>
        <w:pStyle w:val="Codeblock"/>
        <w:keepNext/>
        <w:shd w:fill="F3F5F6"/>
      </w:pPr>
      <w:r>
        <w:t>docker compose build preview-app production-app</w:t>
      </w:r>
    </w:p>
    <w:p>
      <w:pPr>
        <w:pStyle w:val="Codeblock"/>
        <w:keepNext/>
        <w:shd w:fill="F3F5F6"/>
      </w:pPr>
      <w:r>
        <w:t>docker compose up -d --no-deps preview-app production-app</w:t>
      </w:r>
    </w:p>
    <w:p>
      <w:pPr>
        <w:pStyle w:val="Codeblock"/>
        <w:keepNext w:val="0"/>
        <w:shd w:fill="F3F5F6"/>
        <w:spacing w:after="160"/>
      </w:pPr>
      <w:r>
        <w:t>docker compose ps</w:t>
      </w:r>
    </w:p>
    <w:p>
      <w:r>
        <w:t>Anschließend beide Health-Endpunkte, Preview-Zugangsschutz und repräsentative Seiten prüfen. Wenn neue Migrationen erforderlich sind, diese bewusst vor dem App-Wechsel pro Umgebung durchführen und den Datenbank-Rollback gesondert planen. Den freigegebenen Commit und das Prüfergebnis dokumentieren.</w:t>
      </w:r>
    </w:p>
    <w:p>
      <w:pPr>
        <w:pStyle w:val="Heading2"/>
      </w:pPr>
      <w:r>
        <w:t>Neustart und Anwendungs Rollback</w:t>
      </w:r>
    </w:p>
    <w:p>
      <w:pPr>
        <w:keepNext/>
      </w:pPr>
      <w:r>
        <w:t>Für einen gewöhnlichen Neustart:</w:t>
      </w:r>
    </w:p>
    <w:p>
      <w:pPr>
        <w:pStyle w:val="Codeblock"/>
        <w:keepNext w:val="0"/>
        <w:shd w:fill="F3F5F6"/>
        <w:spacing w:after="160"/>
      </w:pPr>
      <w:r>
        <w:t>docker compose restart caddy preview-app production-app</w:t>
      </w:r>
    </w:p>
    <w:p>
      <w:pPr>
        <w:keepNext/>
      </w:pPr>
      <w:r>
        <w:t>Bei einem Anwendungsfehler kann auf einen zuvor akzeptierten, zum aktuellen Datenbankschema kompatiblen Commit zurückgegangen werden:</w:t>
      </w:r>
    </w:p>
    <w:p>
      <w:pPr>
        <w:pStyle w:val="Codeblock"/>
        <w:keepNext/>
        <w:shd w:fill="F3F5F6"/>
      </w:pPr>
      <w:r>
        <w:t>git checkout PREVIOUS_ACCEPTED_COMMIT</w:t>
      </w:r>
    </w:p>
    <w:p>
      <w:pPr>
        <w:pStyle w:val="Codeblock"/>
        <w:keepNext/>
        <w:shd w:fill="F3F5F6"/>
      </w:pPr>
      <w:r>
        <w:t>docker compose build preview-app production-app</w:t>
      </w:r>
    </w:p>
    <w:p>
      <w:pPr>
        <w:pStyle w:val="Codeblock"/>
        <w:keepNext w:val="0"/>
        <w:shd w:fill="F3F5F6"/>
        <w:spacing w:after="160"/>
      </w:pPr>
      <w:r>
        <w:t>docker compose up -d --no-deps preview-app production-app</w:t>
      </w:r>
    </w:p>
    <w:p>
      <w:r>
        <w:t>Danach dieselben Außenprüfungen wie nach einem Update wiederholen. Bei Schema-Inkompatibilität nicht blind zurückwechseln; zuerst Incident und Migrationspfad entscheiden. Weder docker compose down -v noch das Löschen eines Volumes ist ein normaler Neustart oder Anwendungs-Rollback.</w:t>
      </w:r>
    </w:p>
    <w:p>
      <w:pPr>
        <w:pStyle w:val="Heading2"/>
      </w:pPr>
      <w:r>
        <w:t>Datenbank Wiederaufbau aus freigegebenen CSVs</w:t>
      </w:r>
    </w:p>
    <w:p>
      <w:r>
        <w:t>M1 besitzt noch keine automatisierte Backup-Wiederherstellung. Der dokumentierte Notfallpfad ist ein bewusster Neuaufbau aus Migrationen und einem freigegebenen vollständigen CSV-Snapshot. Dadurch können alle Daten verloren gehen, die nur in der betroffenen Datenbank vorhanden und nicht im Snapshot enthalten sind. Dieses Verfahren darf nur nach fachlicher Risikoentscheidung verwendet werden.</w:t>
      </w:r>
    </w:p>
    <w:p>
      <w:r>
        <w:t>Vor einem Wiederaufbau den Vorfall sichern, betroffene Umgebung und exakten Volume-Namen mit einer zweiten Person prüfen und den zu verwendenden Snapshot freigeben. Dann die betroffene App stoppen, ausschließlich das ausdrücklich bestätigte Datenbankvolume entfernen, Datenbank neu starten, Migration ausführen, Dry-Run-Bericht prüfen, Checksum freigeben und CSVs anwenden. Danach App starten und Health, Mengen, Beziehungen und Stichproben prüfen. Ein pauschaler Löschbefehl steht absichtlich nicht in diesem Handbuch. Wiederkehrende Backups, Aufbewahrung und ein getesteter Restore bleiben #79 / Kunden-M4.</w:t>
      </w:r>
    </w:p>
    <w:p>
      <w:pPr>
        <w:pStyle w:val="Heading2"/>
      </w:pPr>
      <w:r>
        <w:t>Gesicherte Importe betreiben</w:t>
      </w:r>
    </w:p>
    <w:p>
      <w:r>
        <w:t>Ein regulärer Datenimport beginnt im Converter mit einem vollständigen lokalen Lauf. Anschließend sendet die verantwortliche Person einen Dry-Run an die gewählte Umgebung, prüft Prüfsumme, Diagnosen sowie eingefügte, geänderte und entfernte Datensätze und bestätigt Apply getrennt. Preview und Produktion verwenden unterschiedliche Basis-URLs, Tokens, Datenbanken und Staging-Volumes. Ein Preview-Run darf nicht in Produktion angewendet werden.</w:t>
      </w:r>
    </w:p>
    <w:p>
      <w:r>
        <w:t>Bei einer unsicheren Netzwerkantwort nach Apply nicht mit einem neuen Upload fortfahren. Zuerst den bestehenden Run-Status über die API beziehungsweise die Tabellen import_runs, import_files und audit_events prüfen und denselben Run idempotent wiederholen. Ein erfolgreicher Apply entfernt die Staging-Dateien und aktualisiert die öffentlichen Leseansichten; Metadaten und Audit-Ereignisse bleiben in PostgreSQL. Fehlgeschlagene oder abgelaufene Runs dürfen bereinigt werden, nachdem Ursache und benötigte Diagnoseinformationen gesichert sind. Import-Tokens niemals in Logs oder Support-Tickets kopieren; bei Verdacht auf Offenlegung neues Token und neuen Hash konfigurieren und die App kontrolliert neu starten.</w:t>
      </w:r>
    </w:p>
    <w:p>
      <w:pPr>
        <w:pStyle w:val="Heading2"/>
      </w:pPr>
      <w:r>
        <w:t>Render-PR-Previews beibehalten</w:t>
      </w:r>
    </w:p>
    <w:p>
      <w:r>
        <w:t>Die bestehende Render-Mock-Preview und die automatischen PR-Previews bleiben aktiv. IONOS stellt die Release-Candidate- und Produktionsumgebung bereit; die dafür nötigen Nachweise werden in #117 festgehalten. Render-Blueprint, PR-Preview-Service, Preview-Passworthash und Session-Secret dürfen im Rahmen von #117 nicht entfernt oder deaktiviert werden. Eine spätere Ablösung von Render braucht eine eigene Entscheidung, ein eigenes Issue und einen dokumentierten Migrations- beziehungsweise Rollback-Plan. Den Status beider Hosting-Pfade in render-previews.md synchron halten.</w:t>
      </w:r>
    </w:p>
    <w:p>
      <w:pPr>
        <w:pStyle w:val="Heading2"/>
      </w:pPr>
      <w:r>
        <w:t>Handbuchpflege</w:t>
      </w:r>
    </w:p>
    <w:p>
      <w:r>
        <w:t>Bei jeder Änderung an Compose, Images, Import, Sicherheitskonfiguration oder Betriebsverfahren die passende Markdown-Quelle in diesem Ordner im selben PR aktualisieren. Danach handbuch.docx neu erzeugen und seitenweise prüfen. Betriebliche Erkenntnisse aus #117 und der M1-Abnahme ergänzen, ohne Zugangsdaten in Git abzulegen.</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1920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line="252" w:lineRule="auto"/>
      <w:ind w:left="173" w:right="173"/>
    </w:pPr>
    <w:rPr>
      <w:rFonts w:ascii="Consolas" w:hAnsi="Consolas"/>
      <w:color w:val="1920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Habitat Datenbank Installation Konfiguration und Betrieb</dc:title>
  <dc:subject>Handbuch für IONOS Bereitstellung und Betrieb</dc:subject>
  <dc:creator>python-docx</dc:creator>
  <cp:keywords>Habitat Datenbank, IONOS, Deployment, Betrieb</cp:keywords>
  <dc:description>generated by python-docx</dc:description>
  <cp:lastModifiedBy/>
  <cp:revision>1</cp:revision>
  <dcterms:created xsi:type="dcterms:W3CDTF">2013-12-23T23:15:00Z</dcterms:created>
  <dcterms:modified xsi:type="dcterms:W3CDTF">2013-12-23T23:15:00Z</dcterms:modified>
  <cp:category/>
</cp:coreProperties>
</file>