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l1bsan50v5c" w:id="0"/>
      <w:bookmarkEnd w:id="0"/>
      <w:r w:rsidDel="00000000" w:rsidR="00000000" w:rsidRPr="00000000">
        <w:rPr>
          <w:rtl w:val="0"/>
        </w:rPr>
        <w:t xml:space="preserve">Etat des lieux - Dysfonctionnement, risques &amp; écarts</w:t>
      </w:r>
    </w:p>
    <w:tbl>
      <w:tblPr>
        <w:tblStyle w:val="Table1"/>
        <w:tblW w:w="15195.0" w:type="dxa"/>
        <w:jc w:val="left"/>
        <w:tblLayout w:type="fixed"/>
        <w:tblLook w:val="0600"/>
      </w:tblPr>
      <w:tblGrid>
        <w:gridCol w:w="915"/>
        <w:gridCol w:w="2130"/>
        <w:gridCol w:w="2415"/>
        <w:gridCol w:w="2880"/>
        <w:gridCol w:w="2475"/>
        <w:gridCol w:w="2205"/>
        <w:gridCol w:w="2175"/>
        <w:tblGridChange w:id="0">
          <w:tblGrid>
            <w:gridCol w:w="915"/>
            <w:gridCol w:w="2130"/>
            <w:gridCol w:w="2415"/>
            <w:gridCol w:w="2880"/>
            <w:gridCol w:w="2475"/>
            <w:gridCol w:w="2205"/>
            <w:gridCol w:w="2175"/>
          </w:tblGrid>
        </w:tblGridChange>
      </w:tblGrid>
      <w:tr>
        <w:trPr>
          <w:cantSplit w:val="0"/>
          <w:trHeight w:val="400" w:hRule="atLeast"/>
          <w:tblHeader w:val="1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CATÉGORIE DE CONSTAT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(1) ANALYSE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(2) ÉCART</w:t>
            </w:r>
            <w:r w:rsidDel="00000000" w:rsidR="00000000" w:rsidRPr="00000000">
              <w:rPr>
                <w:b w:val="1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(2) RÉFÉRENTIEL(S)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1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DYSFONCTIONNEMENTS OBSERVÉS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RISQUES ASSOCIÉS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Infrastructure &amp; Réseau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Réseau non segmenté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INF-02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Infrastructure &amp; Réseau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Commutateurs non managés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Infrastructure &amp; Réseau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Absence de plan d'adressage IP structuré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INF-04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Infrastructure &amp; Réseau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Postes de travail hétérogènes, hors domaine, sans antivirus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Applications &amp; Données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ERP Odoo partiellement déployé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APP-02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Applications &amp; Données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Outils CRM, QMS, RH non intégrés au 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Applications &amp; Données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Utilisation généralisée d'outils non officiels (Shadow IT)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APP-04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Applications &amp; Données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Données sensibles accessibles sans contrôle d'accès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8.04687499999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GOV-01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Organisation &amp; Gouvernance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RSI isolé, sans relais ni support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GOV-02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Organisation &amp; Gouvernance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Aucune gouvernance SI formalisée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GOV-03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Organisation &amp; Gouvernance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 de support utilisateur structuré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Sécurité &amp; Continuité d'Activité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Pas de Plan de Reprise d'Activité ni de Plan de Continuité d'Activité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Sécurité &amp; Continuité d'Activité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Aucune stratégie de sauvegarde formelle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Sécurité &amp; Continuité d'Activité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Absence de politique de sécurité informatique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USR-01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Utilisateurs &amp; Compétences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Faible culture numérique au sein des services support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USR-02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Utilisateurs &amp; Compétences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Outils SI peu ou mal utilisés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USR-03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Utilisateurs &amp; Compétences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Absence de formation continue des utilisateurs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133.8582677165355" w:top="1133.8582677165355" w:left="1133.8582677165355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8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bonne pratique ou norme non respectée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40a82"/>
        <w:sz w:val="24"/>
        <w:szCs w:val="24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="240" w:lineRule="auto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80" w:line="240" w:lineRule="auto"/>
    </w:pPr>
    <w:rPr>
      <w:b w:val="1"/>
      <w:color w:val="ff5e1a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20" w:line="240" w:lineRule="auto"/>
    </w:pPr>
    <w:rPr>
      <w:b w:val="1"/>
      <w:color w:val="274e13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160" w:line="276" w:lineRule="auto"/>
    </w:pPr>
    <w:rPr>
      <w:rFonts w:ascii="Arial" w:cs="Arial" w:eastAsia="Arial" w:hAnsi="Arial"/>
      <w:color w:val="666666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