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hufsugokjt9" w:id="0"/>
      <w:bookmarkEnd w:id="0"/>
      <w:r w:rsidDel="00000000" w:rsidR="00000000" w:rsidRPr="00000000">
        <w:rPr>
          <w:rtl w:val="0"/>
        </w:rPr>
        <w:t xml:space="preserve">1. Introduction et contexte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spacing w:before="240" w:lineRule="auto"/>
        <w:ind w:left="720" w:hanging="360"/>
      </w:pPr>
      <w:r w:rsidDel="00000000" w:rsidR="00000000" w:rsidRPr="00000000">
        <w:rPr>
          <w:rtl w:val="0"/>
        </w:rPr>
        <w:t xml:space="preserve">Présentation de l’entreprise et de son environnement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Objectifs stratégiques globaux</w:t>
      </w:r>
    </w:p>
    <w:p w:rsidR="00000000" w:rsidDel="00000000" w:rsidP="00000000" w:rsidRDefault="00000000" w:rsidRPr="00000000" w14:paraId="00000004">
      <w:pPr>
        <w:pStyle w:val="Heading1"/>
        <w:spacing w:after="240" w:before="240" w:lineRule="auto"/>
        <w:rPr/>
      </w:pPr>
      <w:bookmarkStart w:colFirst="0" w:colLast="0" w:name="_9mufh2i7adg" w:id="1"/>
      <w:bookmarkEnd w:id="1"/>
      <w:r w:rsidDel="00000000" w:rsidR="00000000" w:rsidRPr="00000000">
        <w:rPr>
          <w:rtl w:val="0"/>
        </w:rPr>
        <w:t xml:space="preserve">2. Analyse de l’existant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before="240" w:lineRule="auto"/>
        <w:ind w:left="720" w:hanging="360"/>
      </w:pPr>
      <w:r w:rsidDel="00000000" w:rsidR="00000000" w:rsidRPr="00000000">
        <w:rPr>
          <w:rtl w:val="0"/>
        </w:rPr>
        <w:t xml:space="preserve">Cartographie du SI actuel (applications, infrastructures, flux, données)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Analyse des forces, faiblesses, opportunités et menaces (SWOT)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Évaluation des ressources (humaines, financières, technologiques)</w:t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yxc2snuclcvg" w:id="2"/>
      <w:bookmarkEnd w:id="2"/>
      <w:r w:rsidDel="00000000" w:rsidR="00000000" w:rsidRPr="00000000">
        <w:rPr>
          <w:rtl w:val="0"/>
        </w:rPr>
        <w:t xml:space="preserve">3. Orientations stratégiques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before="240" w:lineRule="auto"/>
        <w:ind w:left="720" w:hanging="360"/>
      </w:pPr>
      <w:r w:rsidDel="00000000" w:rsidR="00000000" w:rsidRPr="00000000">
        <w:rPr>
          <w:rtl w:val="0"/>
        </w:rPr>
        <w:t xml:space="preserve">Alignement avec la stratégie d’entreprise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Principes d’urbanisation et de gouvernance du SI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Politiques de sécurité, d’innovation, de gestion des données</w:t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4jzxqmvfjjd0" w:id="3"/>
      <w:bookmarkEnd w:id="3"/>
      <w:r w:rsidDel="00000000" w:rsidR="00000000" w:rsidRPr="00000000">
        <w:rPr>
          <w:rtl w:val="0"/>
        </w:rPr>
        <w:t xml:space="preserve">4. Définition des axes de transformation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before="240" w:lineRule="auto"/>
        <w:ind w:left="720" w:hanging="360"/>
      </w:pPr>
      <w:r w:rsidDel="00000000" w:rsidR="00000000" w:rsidRPr="00000000">
        <w:rPr>
          <w:rtl w:val="0"/>
        </w:rPr>
        <w:t xml:space="preserve">Grands chantiers prioritaires (projets majeurs)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Scénarios d’évolution (technologique, organisationnelle)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Définition du « core model » SI</w:t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6fpkbzgccbub" w:id="4"/>
      <w:bookmarkEnd w:id="4"/>
      <w:r w:rsidDel="00000000" w:rsidR="00000000" w:rsidRPr="00000000">
        <w:rPr>
          <w:rtl w:val="0"/>
        </w:rPr>
        <w:t xml:space="preserve">5. Plan d’action et feuille de route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before="240" w:lineRule="auto"/>
        <w:ind w:left="720" w:hanging="360"/>
      </w:pPr>
      <w:r w:rsidDel="00000000" w:rsidR="00000000" w:rsidRPr="00000000">
        <w:rPr>
          <w:rtl w:val="0"/>
        </w:rPr>
        <w:t xml:space="preserve">Portefeuille de projets (priorisation, phasage, jalon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Planification budgétaire et allocation des ressources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Indicateurs de suivi et de performance (KPI)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Gouvernance du déploiement (comités, instances de pilotage)</w:t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ugujhq836588" w:id="5"/>
      <w:bookmarkEnd w:id="5"/>
      <w:r w:rsidDel="00000000" w:rsidR="00000000" w:rsidRPr="00000000">
        <w:rPr>
          <w:rtl w:val="0"/>
        </w:rPr>
        <w:t xml:space="preserve">6. Gestion des risques et innovation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before="240" w:lineRule="auto"/>
        <w:ind w:left="720" w:hanging="360"/>
      </w:pPr>
      <w:r w:rsidDel="00000000" w:rsidR="00000000" w:rsidRPr="00000000">
        <w:rPr>
          <w:rtl w:val="0"/>
        </w:rPr>
        <w:t xml:space="preserve">Identification et suivi des risques majeurs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Intégration de l’innovation (veille, expérimentation, adoption)</w:t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m6l6gyl3qch3" w:id="6"/>
      <w:bookmarkEnd w:id="6"/>
      <w:r w:rsidDel="00000000" w:rsidR="00000000" w:rsidRPr="00000000">
        <w:rPr>
          <w:rtl w:val="0"/>
        </w:rPr>
        <w:t xml:space="preserve">7. Suivi, pilotage et ajustement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before="240" w:lineRule="auto"/>
        <w:ind w:left="720" w:hanging="360"/>
      </w:pPr>
      <w:r w:rsidDel="00000000" w:rsidR="00000000" w:rsidRPr="00000000">
        <w:rPr>
          <w:rtl w:val="0"/>
        </w:rPr>
        <w:t xml:space="preserve">Modalités de suivi de l’exécution (reporting, revues régulières)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Mécanismes d’ajustement et d’amélioration continue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40a82"/>
        <w:sz w:val="24"/>
        <w:szCs w:val="24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160" w:line="240" w:lineRule="auto"/>
    </w:pPr>
    <w:rPr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80" w:line="240" w:lineRule="auto"/>
    </w:pPr>
    <w:rPr>
      <w:b w:val="1"/>
      <w:color w:val="ff5e1a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20" w:line="240" w:lineRule="auto"/>
    </w:pPr>
    <w:rPr>
      <w:b w:val="1"/>
      <w:color w:val="274e13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160" w:line="276" w:lineRule="auto"/>
    </w:pPr>
    <w:rPr>
      <w:rFonts w:ascii="Arial" w:cs="Arial" w:eastAsia="Arial" w:hAnsi="Arial"/>
      <w:color w:val="666666"/>
      <w:sz w:val="36"/>
      <w:szCs w:val="3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