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chivo-bold.ttf" ContentType="application/x-font-ttf"/>
  <Override PartName="/word/fonts/Archivo-boldItalic.ttf" ContentType="application/x-font-ttf"/>
  <Override PartName="/word/fonts/Archivo-italic.ttf" ContentType="application/x-font-ttf"/>
  <Override PartName="/word/fonts/Archivo-regular.ttf" ContentType="application/x-font-ttf"/>
  <Override PartName="/word/fonts/ArchivoLight-bold.ttf" ContentType="application/x-font-ttf"/>
  <Override PartName="/word/fonts/ArchivoLight-boldItalic.ttf" ContentType="application/x-font-ttf"/>
  <Override PartName="/word/fonts/ArchivoLight-italic.ttf" ContentType="application/x-font-ttf"/>
  <Override PartName="/word/fonts/ArchivoLight-regular.ttf" ContentType="application/x-font-ttf"/>
  <Override PartName="/word/fonts/ArchivoMedium-bold.ttf" ContentType="application/x-font-ttf"/>
  <Override PartName="/word/fonts/ArchivoMedium-boldItalic.ttf" ContentType="application/x-font-ttf"/>
  <Override PartName="/word/fonts/ArchivoMedium-italic.ttf" ContentType="application/x-font-ttf"/>
  <Override PartName="/word/fonts/ArchivoMedium-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Rule="auto"/>
        <w:rPr>
          <w:rFonts w:ascii="Archivo" w:cs="Archivo" w:eastAsia="Archivo" w:hAnsi="Archiv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530"/>
        <w:tblGridChange w:id="0">
          <w:tblGrid>
            <w:gridCol w:w="1830"/>
            <w:gridCol w:w="7530"/>
          </w:tblGrid>
        </w:tblGridChange>
      </w:tblGrid>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46b5ef"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Archivo" w:cs="Archivo" w:eastAsia="Archivo" w:hAnsi="Archivo"/>
                <w:b w:val="1"/>
                <w:bCs w:val="1"/>
                <w:color w:val="ffffff"/>
                <w:sz w:val="20"/>
                <w:szCs w:val="20"/>
              </w:rPr>
            </w:pPr>
            <w:r w:rsidDel="00000000" w:rsidR="00000000" w:rsidRPr="00000000">
              <w:rPr>
                <w:rFonts w:ascii="Archivo" w:cs="Archivo" w:eastAsia="Archivo" w:hAnsi="Archivo"/>
                <w:b w:val="1"/>
                <w:bCs w:val="1"/>
                <w:color w:val="ffffff"/>
                <w:sz w:val="20"/>
                <w:szCs w:val="20"/>
                <w:rtl w:val="0"/>
              </w:rPr>
              <w:t xml:space="preserve">Details</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Business Context</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Purpose: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First-run setup skill for Hawk Academy Workshop attendees. Captures the attendee's business in 10 questions and writes a business-context.md file at the project root. Every other workshop skill reads this file at runtime, so attendees never restate their business details across queries.</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Date Issued: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15 May 2026</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Issued by: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Lawrence Hitches, Hawk Academy Workshop Team</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Time estimate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15 minutes one-time setup. Read on every subsequent skill invocation automatically, no further attendee action needed.</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Tools needed: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Claude Code installed. The hawk-academy-workshop-kit installed via install.sh from the workshop kit zip. No external APIs, no paid tools, no third party setup. Runs entirely in conversation with Claude.</w:t>
            </w:r>
          </w:p>
        </w:tc>
      </w:tr>
      <w:tr>
        <w:trPr>
          <w:cantSplit w:val="0"/>
          <w:tblHeader w:val="0"/>
        </w:trPr>
        <w:tc>
          <w:tcPr>
            <w:tcBorders>
              <w:top w:color="ffffff" w:space="0" w:sz="8" w:val="single"/>
              <w:left w:color="ffffff" w:space="0" w:sz="8" w:val="single"/>
              <w:bottom w:color="ffffff" w:space="0" w:sz="8" w:val="single"/>
              <w:right w:color="f3f3f3"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Archivo" w:cs="Archivo" w:eastAsia="Archivo" w:hAnsi="Archivo"/>
                <w:color w:val="ffffff"/>
              </w:rPr>
            </w:pPr>
            <w:r w:rsidDel="00000000" w:rsidR="00000000" w:rsidRPr="00000000">
              <w:rPr>
                <w:rFonts w:ascii="Archivo" w:cs="Archivo" w:eastAsia="Archivo" w:hAnsi="Archivo"/>
                <w:color w:val="ffffff"/>
                <w:rtl w:val="0"/>
              </w:rPr>
              <w:t xml:space="preserve">References and Related Documents: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
            <w:r>
              <w:t>Module 4 of Day 1. Foundational for every downstream workshop skill including keyword-research (Module 6), ga4-gtm-setup (Module 5), site-audit-smb (Module 7), topical-map-smb (Module 8), content-brief (Day 2 Module 12), and all post-workshop Skool drops.</w:t>
            </w:r>
          </w:p>
        </w:tc>
      </w:tr>
      <w:tr>
        <w:trPr>
          <w:cantSplit w:val="0"/>
          <w:tblHeader w:val="0"/>
        </w:trPr>
        <w:tc>
          <w:tcPr>
            <w:gridSpan w:val="2"/>
            <w:tcBorders>
              <w:top w:color="ffffff" w:space="0" w:sz="8" w:val="single"/>
              <w:left w:color="ffffff" w:space="0" w:sz="8" w:val="single"/>
              <w:bottom w:color="ffffff" w:space="0" w:sz="8" w:val="single"/>
              <w:right w:color="ffffff" w:space="0" w:sz="8" w:val="single"/>
            </w:tcBorders>
            <w:shd w:fill="46b5ef"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jc w:val="center"/>
              <w:rPr>
                <w:rFonts w:ascii="Archivo" w:cs="Archivo" w:eastAsia="Archivo" w:hAnsi="Archivo"/>
                <w:b w:val="1"/>
                <w:bCs w:val="1"/>
                <w:color w:val="ffffff"/>
                <w:sz w:val="20"/>
                <w:szCs w:val="20"/>
              </w:rPr>
            </w:pPr>
            <w:r w:rsidDel="00000000" w:rsidR="00000000" w:rsidRPr="00000000">
              <w:rPr>
                <w:rFonts w:ascii="Archivo" w:cs="Archivo" w:eastAsia="Archivo" w:hAnsi="Archivo"/>
                <w:b w:val="1"/>
                <w:bCs w:val="1"/>
                <w:color w:val="ffffff"/>
                <w:sz w:val="20"/>
                <w:szCs w:val="20"/>
                <w:rtl w:val="0"/>
              </w:rPr>
              <w:t xml:space="preserve">Content</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1. Detect the trigger or auto-route from another skill</w:t>
            </w:r>
          </w:p>
        </w:tc>
        <w:tc>
          <w:tcPr>
            <w:tcBorders>
              <w:top w:color="b7b7b7" w:space="0" w:sz="8"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Trigger phrases include set up my business context, I am new, first time, let us get started, build my context, my business has changed. If any other workshop skill activates and discovers business-context.md does not exist at the project root, it auto-routes here first.</w:t>
            </w:r>
          </w:p>
        </w:tc>
      </w:tr>
      <w:tr>
        <w:trPr>
          <w:cantSplit w:val="0"/>
          <w:trHeight w:val="434.36000000000007" w:hRule="atLeast"/>
          <w:tblHeader w:val="0"/>
        </w:trPr>
        <w:tc>
          <w:tcPr>
            <w:tcBorders>
              <w:top w:color="ffffff" w:space="0" w:sz="8" w:val="single"/>
              <w:left w:color="ffffff" w:space="0" w:sz="8" w:val="single"/>
              <w:bottom w:color="ffffff" w:space="0" w:sz="8" w:val="single"/>
              <w:right w:color="ffffff" w:space="0" w:sz="8" w:val="single"/>
            </w:tcBorders>
            <w:shd w:fill="000000" w:val="clear"/>
            <w:tcMar>
              <w:top w:w="100.0" w:type="dxa"/>
              <w:left w:w="100.0" w:type="dxa"/>
              <w:bottom w:w="100.0" w:type="dxa"/>
              <w:right w:w="100.0" w:type="dxa"/>
            </w:tcMar>
            <w:vAlign w:val="top"/>
          </w:tcPr>
          <w:p>
            <w:r/>
            <w:r>
              <w:t>2. Check for an existing file and confirm intent</w:t>
            </w:r>
          </w:p>
        </w:tc>
        <w:tc>
          <w:tcPr>
            <w:tcBorders>
              <w:top w:color="b7b7b7" w:space="0" w:sz="4" w:val="single"/>
              <w:left w:color="cccccc" w:space="0" w:sz="4" w:val="single"/>
              <w:bottom w:color="b7b7b7" w:space="0" w:sz="4" w:val="single"/>
              <w:right w:color="cccccc" w:space="0" w:sz="4" w:val="single"/>
            </w:tcBorders>
            <w:tcMar>
              <w:top w:w="80.0" w:type="dxa"/>
              <w:left w:w="120.0" w:type="dxa"/>
              <w:bottom w:w="80.0" w:type="dxa"/>
              <w:right w:w="120.0" w:type="dxa"/>
            </w:tcMar>
            <w:vAlign w:val="top"/>
          </w:tcPr>
          <w:p>
            <w:r/>
            <w:r>
              <w:t>Check if ./business-context.md already exists. If it does, ask the attendee whether to keep it, edit a specific section, or start over. If keeping, end the skill and return to the original request. If editing, open the file directly. If starting over, proceed to step 3.</w:t>
            </w:r>
          </w:p>
        </w:tc>
      </w:tr>
      <w:tr>
        <w:trPr>
          <w:cantSplit w:val="0"/>
          <w:trHeight w:val="434.36000000000007" w:hRule="atLeast"/>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3. Set expectations before the interview</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Tell the attendee that you will ask 10 questions, the process takes about 15 minutes, and every other skill reads the answers. Encourage them to take their time. Acknowledge that I do not know answers are acceptable for some questions and you will work around them.</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4. Ask the 10 questions one at a time</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Question 1: business name and website URL. Question 2: one-sentence pitch. Question 3: geographic scope, list specific suburbs or cities. Question 4: top 3 to 5 services or products. Question 5: ideal customer in 1 to 2 sentences. Question 6: top 10 questions customers ask day to day. Question 7: top 3 competitor URLs. Question 8: what makes the business different from those competitors. Question 9: SEO goal in the next 6 months. Question 10: brand voice plus 2 to 3 phrases the business would never say. Wait for each answer. Acknowledge briefly with got it or nice. Do not paste all 10 at once.</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5. Handle unknown answers gracefully</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For foundational questions 1, 2, 4, 5, push gently and accept best-guess answers that the attendee can edit later. For the 10 customer questions, prompt with categories such as pricing, timing, process, after-service, qualifications. For competitors, offer to discover via the keyword-research skill later if the attendee cannot name any. Note provisional answers in the file with a TBD marker.</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6. Summarise and confirm before writing</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Summarise all 10 answers back to the attendee in a clean format. Ask anything to correct before I save this. Apply any corrections. Only proceed to write when the attendee confirms.</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7. Write the file to project root</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Save the answers as ./business-context.md at the attendee's current project root, not inside any subfolder. Use the exact section headings from the template (The basics, Geographic scope, Services / products, Ideal customer, Top 10 customer questions, Competitors, What makes us different, SEO goal, Brand voice) because every downstream skill greps these headings.</w:t>
            </w:r>
          </w:p>
        </w:tc>
      </w:tr>
      <w:tr>
        <w:trPr>
          <w:cantSplit w:val="0"/>
          <w:tblHeader w:val="0"/>
        </w:trPr>
        <w:tc>
          <w:tcPr>
            <w:tcBorders>
              <w:top w:color="ffffff" w:space="0" w:sz="8" w:val="single"/>
              <w:left w:color="ffffff" w:space="0" w:sz="8" w:val="single"/>
              <w:bottom w:color="ffffff" w:space="0" w:sz="8" w:val="single"/>
              <w:right w:color="b7b7b7" w:space="0" w:sz="8" w:val="single"/>
            </w:tcBorders>
            <w:shd w:fill="000000" w:val="clear"/>
            <w:tcMar>
              <w:top w:w="100.0" w:type="dxa"/>
              <w:left w:w="100.0" w:type="dxa"/>
              <w:bottom w:w="100.0" w:type="dxa"/>
              <w:right w:w="100.0" w:type="dxa"/>
            </w:tcMar>
            <w:vAlign w:val="top"/>
          </w:tcPr>
          <w:p>
            <w:r/>
            <w:r>
              <w:t>8. Suggest next moves</w:t>
            </w:r>
          </w:p>
        </w:tc>
        <w:tc>
          <w:tcPr>
            <w:tcBorders>
              <w:top w:color="b7b7b7" w:space="0" w:sz="4" w:val="single"/>
              <w:left w:color="b7b7b7" w:space="0" w:sz="8" w:val="single"/>
              <w:bottom w:color="b7b7b7" w:space="0" w:sz="4" w:val="single"/>
              <w:right w:color="b7b7b7" w:space="0" w:sz="4" w:val="single"/>
            </w:tcBorders>
            <w:tcMar>
              <w:top w:w="80.0" w:type="dxa"/>
              <w:left w:w="120.0" w:type="dxa"/>
              <w:bottom w:w="80.0" w:type="dxa"/>
              <w:right w:w="120.0" w:type="dxa"/>
            </w:tcMar>
            <w:vAlign w:val="top"/>
          </w:tcPr>
          <w:p>
            <w:r/>
            <w:r>
              <w:t>Tell the attendee they are set up. Recommend three first moves: find me keywords for my business, run a site audit, who are my competitors in search. Let the attendee pick. Do not auto-trigger any of those.</w:t>
            </w:r>
          </w:p>
        </w:tc>
      </w:tr>
    </w:tbl>
    <w:p w:rsidR="00000000" w:rsidDel="00000000" w:rsidP="00000000" w:rsidRDefault="00000000" w:rsidRPr="00000000" w14:paraId="0000001F">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0">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1">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2">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3">
      <w:pPr>
        <w:spacing w:after="200" w:before="360" w:line="240" w:lineRule="auto"/>
        <w:rPr>
          <w:rFonts w:ascii="Archivo" w:cs="Archivo" w:eastAsia="Archivo" w:hAnsi="Archivo"/>
          <w:b w:val="1"/>
          <w:bCs w:val="1"/>
          <w:color w:val="46b5ef"/>
          <w:sz w:val="28"/>
          <w:szCs w:val="28"/>
        </w:rPr>
      </w:pPr>
      <w:r w:rsidDel="00000000" w:rsidR="00000000" w:rsidRPr="00000000">
        <w:rPr>
          <w:rtl w:val="0"/>
        </w:rPr>
      </w:r>
    </w:p>
    <w:p w:rsidR="00000000" w:rsidDel="00000000" w:rsidP="00000000" w:rsidRDefault="00000000" w:rsidRPr="00000000" w14:paraId="00000024">
      <w:pPr>
        <w:spacing w:after="200" w:before="360" w:line="240" w:lineRule="auto"/>
        <w:rPr>
          <w:rFonts w:ascii="Archivo" w:cs="Archivo" w:eastAsia="Archivo" w:hAnsi="Archivo"/>
          <w:sz w:val="20"/>
          <w:szCs w:val="20"/>
        </w:rPr>
      </w:pPr>
      <w:r w:rsidDel="00000000" w:rsidR="00000000" w:rsidRPr="00000000">
        <w:rPr>
          <w:rFonts w:ascii="Archivo" w:cs="Archivo" w:eastAsia="Archivo" w:hAnsi="Archivo"/>
          <w:b w:val="1"/>
          <w:bCs w:val="1"/>
          <w:color w:val="46b5ef"/>
          <w:sz w:val="28"/>
          <w:szCs w:val="28"/>
          <w:rtl w:val="0"/>
        </w:rPr>
        <w:t xml:space="preserve">Key Terminology</w:t>
      </w:r>
      <w:r w:rsidDel="00000000" w:rsidR="00000000" w:rsidRPr="00000000">
        <w:rPr>
          <w:rtl w:val="0"/>
        </w:rPr>
      </w:r>
    </w:p>
    <w:p w:rsidR="00000000" w:rsidDel="00000000" w:rsidP="00000000" w:rsidRDefault="00000000" w:rsidRPr="00000000" w14:paraId="00000025">
      <w:pPr>
        <w:spacing w:after="80" w:line="240" w:lineRule="auto"/>
        <w:rPr>
          <w:rFonts w:ascii="Archivo" w:cs="Archivo" w:eastAsia="Archivo" w:hAnsi="Archivo"/>
          <w:b w:val="1"/>
          <w:bCs w:val="1"/>
          <w:color w:val="46b5ef"/>
          <w:sz w:val="24"/>
          <w:szCs w:val="24"/>
        </w:rPr>
      </w:pPr>
      <w:r w:rsidDel="00000000" w:rsidR="00000000" w:rsidRPr="00000000">
        <w:rPr>
          <w:rtl w:val="0"/>
        </w:rPr>
      </w:r>
    </w:p>
    <w:p>
      <w:r>
        <w:rPr>
          <w:b/>
        </w:rPr>
        <w:t xml:space="preserve">business-context.md: </w:t>
      </w:r>
      <w:r>
        <w:t>The output file of this skill. Lives at the attendee's project root. Every workshop skill reads it at runtime to pull the attendee's business, services, locations, competitors, and brand voice. Equivalent to Claude Code's CLAUDE.md memory pattern.</w:t>
      </w:r>
    </w:p>
    <w:p>
      <w:r>
        <w:rPr>
          <w:b/>
        </w:rPr>
        <w:t xml:space="preserve">ICP: </w:t>
      </w:r>
      <w:r>
        <w:t>Ideal Customer Profile. Captured in question 5. Drives intent matching in keyword research and tone in content.</w:t>
      </w:r>
    </w:p>
    <w:p>
      <w:r>
        <w:rPr>
          <w:b/>
        </w:rPr>
        <w:t xml:space="preserve">USP: </w:t>
      </w:r>
      <w:r>
        <w:t>Unique Selling Proposition. Captured in question 8. The skill pushes back on weak answers like we care more and requires specific, concrete differentiators.</w:t>
      </w:r>
    </w:p>
    <w:p>
      <w:r>
        <w:rPr>
          <w:b/>
        </w:rPr>
        <w:t xml:space="preserve">Brand voice: </w:t>
      </w:r>
      <w:r>
        <w:t>How the business sounds in writing. Captured in question 10 together with a list of phrases the business would never say. Used by content-focused skills to avoid off-brand output.</w:t>
      </w:r>
    </w:p>
    <w:p>
      <w:r>
        <w:rPr>
          <w:b/>
        </w:rPr>
        <w:t xml:space="preserve">Top 10 customer questions: </w:t>
      </w:r>
      <w:r>
        <w:t>The standout question in the interview. Each customer question becomes a potential FAQ entry, blog post, or AI search citation target. Treated as gold by every content and topical-map skill downstream.</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chiv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chiv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chi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Style w:val="Heading1"/>
      <w:shd w:fill="auto" w:val="clear"/>
      <w:spacing w:after="200" w:before="80" w:line="240" w:lineRule="auto"/>
      <w:jc w:val="center"/>
      <w:rPr>
        <w:rFonts w:ascii="Archivo Medium" w:cs="Archivo Medium" w:eastAsia="Archivo Medium" w:hAnsi="Archivo Medium"/>
      </w:rPr>
    </w:pPr>
    <w:bookmarkStart w:colFirst="0" w:colLast="0" w:name="_hx2jqrarj7lj" w:id="0"/>
    <w:bookmarkEnd w:id="0"/>
    <w:r w:rsidDel="00000000" w:rsidR="00000000" w:rsidRPr="00000000">
      <w:rPr>
        <w:rFonts w:ascii="Archivo Medium" w:cs="Archivo Medium" w:eastAsia="Archivo Medium" w:hAnsi="Archivo Medium"/>
        <w:rtl w:val="0"/>
      </w:rPr>
      <w:t xml:space="preserve">STANDARD OPERATING PROCEDURE</w:t>
    </w:r>
    <w:r w:rsidDel="00000000" w:rsidR="00000000" w:rsidRPr="00000000">
      <w:drawing>
        <wp:anchor allowOverlap="1" behindDoc="1" distB="114300" distT="114300" distL="114300" distR="114300" hidden="0" layoutInCell="1" locked="0" relativeHeight="0" simplePos="0">
          <wp:simplePos x="0" y="0"/>
          <wp:positionH relativeFrom="column">
            <wp:posOffset>5324475</wp:posOffset>
          </wp:positionH>
          <wp:positionV relativeFrom="paragraph">
            <wp:posOffset>-276224</wp:posOffset>
          </wp:positionV>
          <wp:extent cx="1147763" cy="770885"/>
          <wp:effectExtent b="0" l="0" r="0" t="0"/>
          <wp:wrapNone/>
          <wp:docPr id="1" name="image1.jpg"/>
          <a:graphic>
            <a:graphicData uri="http://schemas.openxmlformats.org/drawingml/2006/picture">
              <pic:pic>
                <pic:nvPicPr>
                  <pic:cNvPr id="0" name="image1.jpg"/>
                  <pic:cNvPicPr preferRelativeResize="0"/>
                </pic:nvPicPr>
                <pic:blipFill>
                  <a:blip r:embed="rId1"/>
                  <a:srcRect b="15671" l="0" r="0" t="17164"/>
                  <a:stretch>
                    <a:fillRect/>
                  </a:stretch>
                </pic:blipFill>
                <pic:spPr>
                  <a:xfrm>
                    <a:off x="0" y="0"/>
                    <a:ext cx="1147763" cy="770885"/>
                  </a:xfrm>
                  <a:prstGeom prst="rect"/>
                  <a:ln/>
                </pic:spPr>
              </pic:pic>
            </a:graphicData>
          </a:graphic>
        </wp:anchor>
      </w:drawing>
    </w:r>
  </w:p>
  <w:p w:rsidR="00000000" w:rsidDel="00000000" w:rsidP="00000000" w:rsidRDefault="00000000" w:rsidRPr="00000000" w14:paraId="00000027">
    <w:pPr>
      <w:pStyle w:val="Subtitle"/>
      <w:shd w:fill="auto" w:val="clear"/>
      <w:spacing w:after="200" w:before="80" w:line="240" w:lineRule="auto"/>
      <w:jc w:val="center"/>
      <w:rPr>
        <w:rFonts w:ascii="Archivo Light" w:cs="Archivo Light" w:eastAsia="Archivo Light" w:hAnsi="Archivo Light"/>
      </w:rPr>
    </w:pPr>
    <w:bookmarkStart w:colFirst="0" w:colLast="0" w:name="_how2a1b45xd9" w:id="1"/>
    <w:bookmarkEnd w:id="1"/>
    <w:r w:rsidDel="00000000" w:rsidR="00000000" w:rsidRPr="00000000">
      <w:rPr>
        <w:rFonts w:ascii="Archivo Light" w:cs="Archivo Light" w:eastAsia="Archivo Light" w:hAnsi="Archivo Light"/>
        <w:i w:val="1"/>
        <w:iCs w:val="1"/>
        <w:color w:val="000000"/>
        <w:sz w:val="28"/>
        <w:szCs w:val="28"/>
        <w:rtl w:val="0"/>
      </w:rPr>
      <w:t xml:space="preserve">[name of SOP]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chivoLight-regular.ttf"/><Relationship Id="rId2" Type="http://schemas.openxmlformats.org/officeDocument/2006/relationships/font" Target="fonts/ArchivoLight-bold.ttf"/><Relationship Id="rId3" Type="http://schemas.openxmlformats.org/officeDocument/2006/relationships/font" Target="fonts/ArchivoLight-italic.ttf"/><Relationship Id="rId4" Type="http://schemas.openxmlformats.org/officeDocument/2006/relationships/font" Target="fonts/ArchivoLight-boldItalic.ttf"/><Relationship Id="rId11" Type="http://schemas.openxmlformats.org/officeDocument/2006/relationships/font" Target="fonts/Archivo-italic.ttf"/><Relationship Id="rId10" Type="http://schemas.openxmlformats.org/officeDocument/2006/relationships/font" Target="fonts/Archivo-bold.ttf"/><Relationship Id="rId12" Type="http://schemas.openxmlformats.org/officeDocument/2006/relationships/font" Target="fonts/Archivo-boldItalic.ttf"/><Relationship Id="rId9" Type="http://schemas.openxmlformats.org/officeDocument/2006/relationships/font" Target="fonts/Archivo-regular.ttf"/><Relationship Id="rId5" Type="http://schemas.openxmlformats.org/officeDocument/2006/relationships/font" Target="fonts/ArchivoMedium-regular.ttf"/><Relationship Id="rId6" Type="http://schemas.openxmlformats.org/officeDocument/2006/relationships/font" Target="fonts/ArchivoMedium-bold.ttf"/><Relationship Id="rId7" Type="http://schemas.openxmlformats.org/officeDocument/2006/relationships/font" Target="fonts/ArchivoMedium-italic.ttf"/><Relationship Id="rId8" Type="http://schemas.openxmlformats.org/officeDocument/2006/relationships/font" Target="fonts/Archiv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