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chivo-bold.ttf" ContentType="application/x-font-ttf"/>
  <Override PartName="/word/fonts/Archivo-boldItalic.ttf" ContentType="application/x-font-ttf"/>
  <Override PartName="/word/fonts/Archivo-italic.ttf" ContentType="application/x-font-ttf"/>
  <Override PartName="/word/fonts/Archivo-regular.ttf" ContentType="application/x-font-ttf"/>
  <Override PartName="/word/fonts/ArchivoLight-bold.ttf" ContentType="application/x-font-ttf"/>
  <Override PartName="/word/fonts/ArchivoLight-boldItalic.ttf" ContentType="application/x-font-ttf"/>
  <Override PartName="/word/fonts/ArchivoLight-italic.ttf" ContentType="application/x-font-ttf"/>
  <Override PartName="/word/fonts/ArchivoLight-regular.ttf" ContentType="application/x-font-ttf"/>
  <Override PartName="/word/fonts/ArchivoMedium-bold.ttf" ContentType="application/x-font-ttf"/>
  <Override PartName="/word/fonts/ArchivoMedium-boldItalic.ttf" ContentType="application/x-font-ttf"/>
  <Override PartName="/word/fonts/ArchivoMedium-italic.ttf" ContentType="application/x-font-ttf"/>
  <Override PartName="/word/fonts/ArchivoMedium-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rPr>
          <w:rFonts w:ascii="Archivo" w:cs="Archivo" w:eastAsia="Archivo" w:hAnsi="Archiv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46b5ef"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Archivo" w:cs="Archivo" w:eastAsia="Archivo" w:hAnsi="Archivo"/>
                <w:b w:val="1"/>
                <w:bCs w:val="1"/>
                <w:color w:val="ffffff"/>
                <w:sz w:val="20"/>
                <w:szCs w:val="20"/>
              </w:rPr>
            </w:pPr>
            <w:r w:rsidDel="00000000" w:rsidR="00000000" w:rsidRPr="00000000">
              <w:rPr>
                <w:rFonts w:ascii="Archivo" w:cs="Archivo" w:eastAsia="Archivo" w:hAnsi="Archivo"/>
                <w:b w:val="1"/>
                <w:bCs w:val="1"/>
                <w:color w:val="ffffff"/>
                <w:sz w:val="20"/>
                <w:szCs w:val="20"/>
                <w:rtl w:val="0"/>
              </w:rPr>
              <w:t xml:space="preserve">Details</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GA4 and GTM Setup</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Purpose: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Workshop analytics foundation skill. Verifies the attendee's GA4 property, installs a Google Tag Manager container tailored to their business type, and clones a Looker Studio dashboard template so they can see their SEO numbers from Day 1.</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Date Issued: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15 May 2026</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Issued by: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Lawrence Hitches, Hawk Academy Workshop Team</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Time estimate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50 minutes hands on, one time setup. After that, attendees use GA4 and Looker Studio passively. Re tuning takes about 30 minutes per skill drop in the Skool community over the next 6 months.</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Tools needed: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Claude Code installed. The hawk-academy-workshop-kit installed (v0.3 or later) via the install.sh from the workshop kit zip. A Google account the attendee owns. Admin access to their website. SE Ranking API key already set in their shell from the workshop kit installer. No paid third party tools, no Google Cloud OAuth setup, no Cloudflare account.</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References and Related Documents: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Module 5 of Day 1 in the Hawk Academy Workshop curriculum. Pairs with business-context (Module 4) for business type classification, feeds into keyword-research (Module 6), and supports every downstream Day 1 and Day 2 module by giving the attendee a measurement system. Files inside the skill folder include SKILL.md, references/ga4-setup.md, references/gtm-setup.md, references/looker-studio.md, templates/gtm-starter.json, and scripts/customise_gtm.py.</w:t>
            </w:r>
          </w:p>
        </w:tc>
      </w:tr>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46b5ef"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center"/>
              <w:rPr>
                <w:rFonts w:ascii="Archivo" w:cs="Archivo" w:eastAsia="Archivo" w:hAnsi="Archivo"/>
                <w:b w:val="1"/>
                <w:bCs w:val="1"/>
                <w:color w:val="ffffff"/>
                <w:sz w:val="20"/>
                <w:szCs w:val="20"/>
              </w:rPr>
            </w:pPr>
            <w:r w:rsidDel="00000000" w:rsidR="00000000" w:rsidRPr="00000000">
              <w:rPr>
                <w:rFonts w:ascii="Archivo" w:cs="Archivo" w:eastAsia="Archivo" w:hAnsi="Archivo"/>
                <w:b w:val="1"/>
                <w:bCs w:val="1"/>
                <w:color w:val="ffffff"/>
                <w:sz w:val="20"/>
                <w:szCs w:val="20"/>
                <w:rtl w:val="0"/>
              </w:rPr>
              <w:t xml:space="preserve">Content</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1. Discovery and business type classification</w:t>
            </w:r>
          </w:p>
        </w:tc>
        <w:tc>
          <w:tcPr>
            <w:tcBorders>
              <w:top w:color="b7b7b7" w:space="0" w:sz="8"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The skill reads business-context.md and classifies the attendee as service or ecom based on the Services and Products section. It then asks three questions one at a time: do you have GA4 set up already, do you have GTM on your site, and confirm the business type. Pulls the website URL from business-context. Takes about 5 minutes.</w:t>
            </w:r>
          </w:p>
        </w:tc>
      </w:tr>
      <w:tr>
        <w:trPr>
          <w:cantSplit w:val="0"/>
          <w:trHeight w:val="434.36000000000007"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
            <w:r>
              <w:t>2. Verify or create the GA4 property</w:t>
            </w:r>
          </w:p>
        </w:tc>
        <w:tc>
          <w:tcPr>
            <w:tcBorders>
              <w:top w:color="b7b7b7" w:space="0" w:sz="4" w:val="single"/>
              <w:left w:color="cccccc" w:space="0" w:sz="4" w:val="single"/>
              <w:bottom w:color="b7b7b7" w:space="0" w:sz="4" w:val="single"/>
              <w:right w:color="cccccc" w:space="0" w:sz="4" w:val="single"/>
            </w:tcBorders>
            <w:tcMar>
              <w:top w:w="80.0" w:type="dxa"/>
              <w:left w:w="120.0" w:type="dxa"/>
              <w:bottom w:w="80.0" w:type="dxa"/>
              <w:right w:w="120.0" w:type="dxa"/>
            </w:tcMar>
            <w:vAlign w:val="top"/>
          </w:tcPr>
          <w:p>
            <w:r/>
            <w:r>
              <w:t>If the attendee already has GA4, capture the Measurement ID which looks like G followed by 10 alphanumeric characters. If not, walk through creating a property at analytics.google.com. Set time zone to Australia Melbourne and currency to AUD for cohort 1 attendees. Pick business objectives Generate Leads for service or Drive Online Sales for ecom. Create a web data stream with the attendee's URL. Copy the Measurement ID from the data stream panel. Do not install the tracking code directly because GTM handles installation in the next stage. Takes 10 to 15 minutes.</w:t>
            </w:r>
          </w:p>
        </w:tc>
      </w:tr>
      <w:tr>
        <w:trPr>
          <w:cantSplit w:val="0"/>
          <w:trHeight w:val="434.36000000000007" w:hRule="atLeast"/>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3. Create the GTM container, install on site, import the starter, add event tags</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Sign in to tagmanager.google.com. Create an account and container if needed (Country Australia, Container Name is the website domain, Target platform is Web), or use an existing container. Install the GTM snippets on the website using the appropriate platform path for WordPress with Yoast, Rank Math, All in One SEO, or GTM4WP plugin, or Squarespace, Wix, Webflow, or Shopify. Run the customise_gtm.py script with the attendee's Measurement ID to produce a ready to import JSON saved to ~/Downloads/hawk-academy-gtm.json. Import via GTM Admin then Import Container, choose Merge mode, click Confirm. Walk the attendee through adding event tags manually for phone clicks, form submissions, scroll depth, file downloads, and ecommerce events if applicable. Submit and Publish the workspace from the top right of GTM. Takes 15 to 20 minutes.</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4. Clone the Looker Studio dashboard template</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Open the Hawk Academy Looker Studio template URL provided in the chat by the skill. Click Use Template. Authorise Looker Studio access to the attendee's GA4 account on first use. Select the GA4 property they created or verified in stage 2. Click Copy Report and rename to the attendee's business name followed by SEO Dashboard. Bookmark the URL. The template includes organic sessions and weekly change, top organic landing pages, top search queries from Search Console once linked, conversion or revenue scorecards, mobile versus desktop split, and new versus returning visitors. Takes 5 to 10 minutes.</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5. Verify the install via the Realtime report</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Open the attendee's website in a new tab. Visit two or three pages on their own site. Switch back to GA4 and open Reports then Realtime. The attendee should appear as one active user with two or three page views within 30 seconds. If not, check that GTM is actually live on the site using the Google Tag Assistant Chrome extension on the live URL, confirm the GTM workspace was Submitted and Published, clear any WordPress caching plugin, and try Incognito mode if an ad blocker may be interfering. Takes 5 minutes.</w:t>
            </w:r>
          </w:p>
        </w:tc>
      </w:tr>
    </w:tbl>
    <w:p w:rsidR="00000000" w:rsidDel="00000000" w:rsidP="00000000" w:rsidRDefault="00000000" w:rsidRPr="00000000" w14:paraId="0000001F">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0">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1">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2">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3">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4">
      <w:pPr>
        <w:spacing w:after="200" w:before="360" w:line="240" w:lineRule="auto"/>
        <w:rPr>
          <w:rFonts w:ascii="Archivo" w:cs="Archivo" w:eastAsia="Archivo" w:hAnsi="Archivo"/>
          <w:sz w:val="20"/>
          <w:szCs w:val="20"/>
        </w:rPr>
      </w:pPr>
      <w:r w:rsidDel="00000000" w:rsidR="00000000" w:rsidRPr="00000000">
        <w:rPr>
          <w:rFonts w:ascii="Archivo" w:cs="Archivo" w:eastAsia="Archivo" w:hAnsi="Archivo"/>
          <w:b w:val="1"/>
          <w:bCs w:val="1"/>
          <w:color w:val="46b5ef"/>
          <w:sz w:val="28"/>
          <w:szCs w:val="28"/>
          <w:rtl w:val="0"/>
        </w:rPr>
        <w:t xml:space="preserve">Key Terminology</w:t>
      </w:r>
      <w:r w:rsidDel="00000000" w:rsidR="00000000" w:rsidRPr="00000000">
        <w:rPr>
          <w:rtl w:val="0"/>
        </w:rPr>
      </w:r>
    </w:p>
    <w:p w:rsidR="00000000" w:rsidDel="00000000" w:rsidP="00000000" w:rsidRDefault="00000000" w:rsidRPr="00000000" w14:paraId="00000025">
      <w:pPr>
        <w:spacing w:after="80" w:line="240" w:lineRule="auto"/>
        <w:rPr>
          <w:rFonts w:ascii="Archivo" w:cs="Archivo" w:eastAsia="Archivo" w:hAnsi="Archivo"/>
          <w:b w:val="1"/>
          <w:bCs w:val="1"/>
          <w:color w:val="46b5ef"/>
          <w:sz w:val="24"/>
          <w:szCs w:val="24"/>
        </w:rPr>
      </w:pPr>
      <w:r w:rsidDel="00000000" w:rsidR="00000000" w:rsidRPr="00000000">
        <w:rPr>
          <w:rtl w:val="0"/>
        </w:rPr>
      </w:r>
    </w:p>
    <w:p>
      <w:r>
        <w:rPr>
          <w:b/>
        </w:rPr>
        <w:t xml:space="preserve">GA4: </w:t>
      </w:r>
      <w:r>
        <w:t>Google Analytics 4. The current Google analytics product. Replaced the older Universal Analytics in 2023. Tracks events instead of page views.</w:t>
      </w:r>
    </w:p>
    <w:p>
      <w:r>
        <w:rPr>
          <w:b/>
        </w:rPr>
        <w:t xml:space="preserve">GTM: </w:t>
      </w:r>
      <w:r>
        <w:t>Google Tag Manager. A web based tag manager that lets you add and edit tracking tags on a website without changing the site code on every update. Reads from a dataLayer to send structured events to GA4.</w:t>
      </w:r>
    </w:p>
    <w:p>
      <w:r>
        <w:rPr>
          <w:b/>
        </w:rPr>
        <w:t xml:space="preserve">Measurement ID: </w:t>
      </w:r>
      <w:r>
        <w:t>The identifier for a GA4 property, format G followed by 10 alphanumeric characters. Bound to a specific data stream. Used in GTM's GA4 Configuration tag to route data to the right property.</w:t>
      </w:r>
    </w:p>
    <w:p>
      <w:r>
        <w:rPr>
          <w:b/>
        </w:rPr>
        <w:t xml:space="preserve">Container ID: </w:t>
      </w:r>
      <w:r>
        <w:t>The identifier for a GTM container, format GTM followed by 7 alphanumeric characters. Installed on the website via two snippets, one in the head and one immediately after the body opening tag.</w:t>
      </w:r>
    </w:p>
    <w:p>
      <w:r>
        <w:rPr>
          <w:b/>
        </w:rPr>
        <w:t xml:space="preserve">dataLayer: </w:t>
      </w:r>
      <w:r>
        <w:t>A JavaScript object that an ecommerce platform or website populates with structured event data. GTM reads it to fire ecommerce events like view_item and purchase. Most ecom platforms need a helper plugin to populate the dataLayer correctly.</w:t>
      </w:r>
    </w:p>
    <w:p>
      <w:r>
        <w:rPr>
          <w:b/>
        </w:rPr>
        <w:t xml:space="preserve">Looker Studio: </w:t>
      </w:r>
      <w:r>
        <w:t>A free Google dashboarding tool. Connects to GA4, Search Console, Sheets, and many other sources. Used to build the weekly check in dashboard each attendee bookmarks.</w:t>
      </w:r>
    </w:p>
    <w:p>
      <w:r>
        <w:rPr>
          <w:b/>
        </w:rPr>
        <w:t xml:space="preserve">Built in variables: </w:t>
      </w:r>
      <w:r>
        <w:t>Standard variables GTM provides without configuration. Includes Click URL, Form ID, Page Path, and similar. The Hawk Academy starter container enables 34 of these to support manual event tag setup.</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Style w:val="Heading1"/>
      <w:shd w:fill="auto" w:val="clear"/>
      <w:spacing w:after="200" w:before="80" w:line="240" w:lineRule="auto"/>
      <w:jc w:val="center"/>
      <w:rPr>
        <w:rFonts w:ascii="Archivo Medium" w:cs="Archivo Medium" w:eastAsia="Archivo Medium" w:hAnsi="Archivo Medium"/>
      </w:rPr>
    </w:pPr>
    <w:bookmarkStart w:colFirst="0" w:colLast="0" w:name="_hx2jqrarj7lj" w:id="0"/>
    <w:bookmarkEnd w:id="0"/>
    <w:r w:rsidDel="00000000" w:rsidR="00000000" w:rsidRPr="00000000">
      <w:rPr>
        <w:rFonts w:ascii="Archivo Medium" w:cs="Archivo Medium" w:eastAsia="Archivo Medium" w:hAnsi="Archivo Medium"/>
        <w:rtl w:val="0"/>
      </w:rPr>
      <w:t xml:space="preserve">STANDARD OPERATING PROCEDURE</w:t>
    </w:r>
    <w:r w:rsidDel="00000000" w:rsidR="00000000" w:rsidRPr="00000000">
      <w:drawing>
        <wp:anchor allowOverlap="1" behindDoc="1" distB="114300" distT="114300" distL="114300" distR="114300" hidden="0" layoutInCell="1" locked="0" relativeHeight="0" simplePos="0">
          <wp:simplePos x="0" y="0"/>
          <wp:positionH relativeFrom="column">
            <wp:posOffset>5324475</wp:posOffset>
          </wp:positionH>
          <wp:positionV relativeFrom="paragraph">
            <wp:posOffset>-276224</wp:posOffset>
          </wp:positionV>
          <wp:extent cx="1147763" cy="770885"/>
          <wp:effectExtent b="0" l="0" r="0" t="0"/>
          <wp:wrapNone/>
          <wp:docPr id="1" name="image1.jpg"/>
          <a:graphic>
            <a:graphicData uri="http://schemas.openxmlformats.org/drawingml/2006/picture">
              <pic:pic>
                <pic:nvPicPr>
                  <pic:cNvPr id="0" name="image1.jpg"/>
                  <pic:cNvPicPr preferRelativeResize="0"/>
                </pic:nvPicPr>
                <pic:blipFill>
                  <a:blip r:embed="rId1"/>
                  <a:srcRect b="15671" l="0" r="0" t="17164"/>
                  <a:stretch>
                    <a:fillRect/>
                  </a:stretch>
                </pic:blipFill>
                <pic:spPr>
                  <a:xfrm>
                    <a:off x="0" y="0"/>
                    <a:ext cx="1147763" cy="770885"/>
                  </a:xfrm>
                  <a:prstGeom prst="rect"/>
                  <a:ln/>
                </pic:spPr>
              </pic:pic>
            </a:graphicData>
          </a:graphic>
        </wp:anchor>
      </w:drawing>
    </w:r>
  </w:p>
  <w:p w:rsidR="00000000" w:rsidDel="00000000" w:rsidP="00000000" w:rsidRDefault="00000000" w:rsidRPr="00000000" w14:paraId="00000027">
    <w:pPr>
      <w:pStyle w:val="Subtitle"/>
      <w:shd w:fill="auto" w:val="clear"/>
      <w:spacing w:after="200" w:before="80" w:line="240" w:lineRule="auto"/>
      <w:jc w:val="center"/>
      <w:rPr>
        <w:rFonts w:ascii="Archivo Light" w:cs="Archivo Light" w:eastAsia="Archivo Light" w:hAnsi="Archivo Light"/>
      </w:rPr>
    </w:pPr>
    <w:bookmarkStart w:colFirst="0" w:colLast="0" w:name="_how2a1b45xd9" w:id="1"/>
    <w:bookmarkEnd w:id="1"/>
    <w:r w:rsidDel="00000000" w:rsidR="00000000" w:rsidRPr="00000000">
      <w:rPr>
        <w:rFonts w:ascii="Archivo Light" w:cs="Archivo Light" w:eastAsia="Archivo Light" w:hAnsi="Archivo Light"/>
        <w:i w:val="1"/>
        <w:iCs w:val="1"/>
        <w:color w:val="000000"/>
        <w:sz w:val="28"/>
        <w:szCs w:val="28"/>
        <w:rtl w:val="0"/>
      </w:rPr>
      <w:t xml:space="preserve">[name of SOP]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voLight-regular.ttf"/><Relationship Id="rId2" Type="http://schemas.openxmlformats.org/officeDocument/2006/relationships/font" Target="fonts/ArchivoLight-bold.ttf"/><Relationship Id="rId3" Type="http://schemas.openxmlformats.org/officeDocument/2006/relationships/font" Target="fonts/ArchivoLight-italic.ttf"/><Relationship Id="rId4" Type="http://schemas.openxmlformats.org/officeDocument/2006/relationships/font" Target="fonts/ArchivoLight-boldItalic.ttf"/><Relationship Id="rId11" Type="http://schemas.openxmlformats.org/officeDocument/2006/relationships/font" Target="fonts/Archivo-italic.ttf"/><Relationship Id="rId10" Type="http://schemas.openxmlformats.org/officeDocument/2006/relationships/font" Target="fonts/Archivo-bold.ttf"/><Relationship Id="rId12" Type="http://schemas.openxmlformats.org/officeDocument/2006/relationships/font" Target="fonts/Archivo-boldItalic.ttf"/><Relationship Id="rId9" Type="http://schemas.openxmlformats.org/officeDocument/2006/relationships/font" Target="fonts/Archivo-regular.ttf"/><Relationship Id="rId5" Type="http://schemas.openxmlformats.org/officeDocument/2006/relationships/font" Target="fonts/ArchivoMedium-regular.ttf"/><Relationship Id="rId6" Type="http://schemas.openxmlformats.org/officeDocument/2006/relationships/font" Target="fonts/ArchivoMedium-bold.ttf"/><Relationship Id="rId7" Type="http://schemas.openxmlformats.org/officeDocument/2006/relationships/font" Target="fonts/ArchivoMedium-italic.ttf"/><Relationship Id="rId8" Type="http://schemas.openxmlformats.org/officeDocument/2006/relationships/font" Target="fonts/Archiv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