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chivo-bold.ttf" ContentType="application/x-font-ttf"/>
  <Override PartName="/word/fonts/Archivo-boldItalic.ttf" ContentType="application/x-font-ttf"/>
  <Override PartName="/word/fonts/Archivo-italic.ttf" ContentType="application/x-font-ttf"/>
  <Override PartName="/word/fonts/Archivo-regular.ttf" ContentType="application/x-font-ttf"/>
  <Override PartName="/word/fonts/ArchivoLight-bold.ttf" ContentType="application/x-font-ttf"/>
  <Override PartName="/word/fonts/ArchivoLight-boldItalic.ttf" ContentType="application/x-font-ttf"/>
  <Override PartName="/word/fonts/ArchivoLight-italic.ttf" ContentType="application/x-font-ttf"/>
  <Override PartName="/word/fonts/ArchivoLight-regular.ttf" ContentType="application/x-font-ttf"/>
  <Override PartName="/word/fonts/ArchivoMedium-bold.ttf" ContentType="application/x-font-ttf"/>
  <Override PartName="/word/fonts/ArchivoMedium-boldItalic.ttf" ContentType="application/x-font-ttf"/>
  <Override PartName="/word/fonts/ArchivoMedium-italic.ttf" ContentType="application/x-font-ttf"/>
  <Override PartName="/word/fonts/ArchivoMedium-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Rule="auto"/>
        <w:rPr>
          <w:rFonts w:ascii="Archivo" w:cs="Archivo" w:eastAsia="Archivo" w:hAnsi="Archiv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46b5ef"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Archivo" w:cs="Archivo" w:eastAsia="Archivo" w:hAnsi="Archivo"/>
                <w:b w:val="1"/>
                <w:bCs w:val="1"/>
                <w:color w:val="ffffff"/>
                <w:sz w:val="20"/>
                <w:szCs w:val="20"/>
              </w:rPr>
            </w:pPr>
            <w:r w:rsidDel="00000000" w:rsidR="00000000" w:rsidRPr="00000000">
              <w:rPr>
                <w:rFonts w:ascii="Archivo" w:cs="Archivo" w:eastAsia="Archivo" w:hAnsi="Archivo"/>
                <w:b w:val="1"/>
                <w:bCs w:val="1"/>
                <w:color w:val="ffffff"/>
                <w:sz w:val="20"/>
                <w:szCs w:val="20"/>
                <w:rtl w:val="0"/>
              </w:rPr>
              <w:t xml:space="preserve">Details</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Keyword Research</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Purpose: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SE Ranking API-backed keyword research skill for workshop attendees. Picks the right endpoint from a 6-row decision table, runs the query, translates SEO jargon into plain English, and saves both a markdown summary and a CSV spreadsheet to ./keyword-research/. Reads ./business-context.md so attendees never restate their business details.</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Date Issued: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15 May 2026</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Issued by: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Lawrence Hitches, Hawk Academy Workshop Team</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Time estimate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Each query takes about 30 seconds. Daily use throughout the workshop and across 6 months in the Skool community. First use after workshop kit install: instant, no extra setup required.</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Tools needed: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Claude Code installed. The hawk-academy-workshop-kit installed (v0.3 or later). SE Ranking API key already set in ~/.zshrc by install.sh during workshop kit setup. Python 3 with stdlib only (no pip install needed). Reads ./business-context.md from the attendee's project root. No paid third party tools beyond the SE Ranking API.</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References and Related Documents: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Module 6 of Day 1. Reads business-context.md (Module 4 output). Feeds into topical-map-smb (Module 8) and content-brief (Day 2 Module 12). Skill folder includes SKILL.md and scripts/format_results.py. Workshop kit install handles all dependency setup.</w:t>
            </w:r>
          </w:p>
        </w:tc>
      </w:tr>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46b5ef"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jc w:val="center"/>
              <w:rPr>
                <w:rFonts w:ascii="Archivo" w:cs="Archivo" w:eastAsia="Archivo" w:hAnsi="Archivo"/>
                <w:b w:val="1"/>
                <w:bCs w:val="1"/>
                <w:color w:val="ffffff"/>
                <w:sz w:val="20"/>
                <w:szCs w:val="20"/>
              </w:rPr>
            </w:pPr>
            <w:r w:rsidDel="00000000" w:rsidR="00000000" w:rsidRPr="00000000">
              <w:rPr>
                <w:rFonts w:ascii="Archivo" w:cs="Archivo" w:eastAsia="Archivo" w:hAnsi="Archivo"/>
                <w:b w:val="1"/>
                <w:bCs w:val="1"/>
                <w:color w:val="ffffff"/>
                <w:sz w:val="20"/>
                <w:szCs w:val="20"/>
                <w:rtl w:val="0"/>
              </w:rPr>
              <w:t xml:space="preserve">Content</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1. Load business context</w:t>
            </w:r>
          </w:p>
        </w:tc>
        <w:tc>
          <w:tcPr>
            <w:tcBorders>
              <w:top w:color="b7b7b7" w:space="0" w:sz="8"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Read ./business-context.md from the project root. If the file does not exist, route the attendee to the business-context skill first. Do not run any queries without context loaded, otherwise the seed selection is guesswork.</w:t>
            </w:r>
          </w:p>
        </w:tc>
      </w:tr>
      <w:tr>
        <w:trPr>
          <w:cantSplit w:val="0"/>
          <w:trHeight w:val="434.36000000000007"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
            <w:r>
              <w:t>2. Pick the endpoint from the decision table</w:t>
            </w:r>
          </w:p>
        </w:tc>
        <w:tc>
          <w:tcPr>
            <w:tcBorders>
              <w:top w:color="b7b7b7" w:space="0" w:sz="4" w:val="single"/>
              <w:left w:color="cccccc" w:space="0" w:sz="4" w:val="single"/>
              <w:bottom w:color="b7b7b7" w:space="0" w:sz="4" w:val="single"/>
              <w:right w:color="cccccc" w:space="0" w:sz="4" w:val="single"/>
            </w:tcBorders>
            <w:tcMar>
              <w:top w:w="80.0" w:type="dxa"/>
              <w:left w:w="120.0" w:type="dxa"/>
              <w:bottom w:w="80.0" w:type="dxa"/>
              <w:right w:w="120.0" w:type="dxa"/>
            </w:tcMar>
            <w:vAlign w:val="top"/>
          </w:tcPr>
          <w:p>
            <w:r/>
            <w:r>
              <w:t>Six endpoints supported: keywords (/v1/keywords/related for general research), longtail (/v1/keywords/longtail for cheap discovery, 1 credit per row), domain-keywords (/v1/domain/keywords for competitor rankings, 100 credits flat), domain-overview (/v1/domain/overview/db for site health, 100 credits flat), gap (/v1/domain/competitors for competitor analysis, 100 credits flat), and POST /v1/keywords/export for batch metrics. Pick based on what the attendee asked. Do not ask the attendee which tool to use.</w:t>
            </w:r>
          </w:p>
        </w:tc>
      </w:tr>
      <w:tr>
        <w:trPr>
          <w:cantSplit w:val="0"/>
          <w:trHeight w:val="434.36000000000007" w:hRule="atLeast"/>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3. Pick the seed and narrate the choice</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When the attendee asks something vague like find me keywords for my business, build a specific seed by combining their top service with their priority suburb or region from business-context.md. Announce the choice before running. Example: I am using emergency plumber brighton as the seed because it pairs your top service with your top priority suburb. Want me to also run other suburbs or services? Wait for confirmation or proceed if they say go.</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4. Apply workshop defaults</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Default source database is au (Australian market). Default limit is 25 for keywords, similar, questions endpoints. Default limit is 50 for longtail (cheap at 1 credit per row). Sort by descending volume on the API request, then re-sorted by relevance squared times volume in the formatter to surface on-topic matches over generic head terms.</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5. Save the raw JSON to a temp file</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Save the API response to /tmp/kw-SLUG.json where SLUG is the slugified seed. This is the input the formatter reads.</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6. Run the formatter to produce markdown and CSV</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Run python3 path/to/format_results.py with the JSON path, the mode (keywords, longtail, domain-keywords, domain-overview, or gap), the seed, and an output directory of ./keyword-research/. The formatter translates intent codes (I, C, T, L, N) to plain English, translates SERP feature codes to plain English, calls out keywords with CPC over 10 dollars as high commercial value, picks the top 3 picks meeting on-topic at least 30 percent and difficulty at most 60, and writes both a .md file and a .csv file.</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7. Present the summary and mention the spreadsheet path</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Show the markdown summary inline in the chat (the Top picks plus the table plus the what to do next section). Also tell the attendee the path to the .csv so they know they can open it in Excel, Numbers, or Google Sheets. Do not just dump JSON to the terminal.</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8. Handle sparse results with specific follow-ups</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If the formatter reports fewer than 3 strong picks, use the business context to propose 3 concrete next queries. Pattern: next un-tried suburb from their geographic scope, next un-tried service from their services list, longtail variant of the seed. Wait for the attendee to choose. Do not run all three automatically. Each query is about 250 credits.</w:t>
            </w:r>
          </w:p>
        </w:tc>
      </w:tr>
    </w:tbl>
    <w:p w:rsidR="00000000" w:rsidDel="00000000" w:rsidP="00000000" w:rsidRDefault="00000000" w:rsidRPr="00000000" w14:paraId="0000001F">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0">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1">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2">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3">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4">
      <w:pPr>
        <w:spacing w:after="200" w:before="360" w:line="240" w:lineRule="auto"/>
        <w:rPr>
          <w:rFonts w:ascii="Archivo" w:cs="Archivo" w:eastAsia="Archivo" w:hAnsi="Archivo"/>
          <w:sz w:val="20"/>
          <w:szCs w:val="20"/>
        </w:rPr>
      </w:pPr>
      <w:r w:rsidDel="00000000" w:rsidR="00000000" w:rsidRPr="00000000">
        <w:rPr>
          <w:rFonts w:ascii="Archivo" w:cs="Archivo" w:eastAsia="Archivo" w:hAnsi="Archivo"/>
          <w:b w:val="1"/>
          <w:bCs w:val="1"/>
          <w:color w:val="46b5ef"/>
          <w:sz w:val="28"/>
          <w:szCs w:val="28"/>
          <w:rtl w:val="0"/>
        </w:rPr>
        <w:t xml:space="preserve">Key Terminology</w:t>
      </w:r>
      <w:r w:rsidDel="00000000" w:rsidR="00000000" w:rsidRPr="00000000">
        <w:rPr>
          <w:rtl w:val="0"/>
        </w:rPr>
      </w:r>
    </w:p>
    <w:p w:rsidR="00000000" w:rsidDel="00000000" w:rsidP="00000000" w:rsidRDefault="00000000" w:rsidRPr="00000000" w14:paraId="00000025">
      <w:pPr>
        <w:spacing w:after="80" w:line="240" w:lineRule="auto"/>
        <w:rPr>
          <w:rFonts w:ascii="Archivo" w:cs="Archivo" w:eastAsia="Archivo" w:hAnsi="Archivo"/>
          <w:b w:val="1"/>
          <w:bCs w:val="1"/>
          <w:color w:val="46b5ef"/>
          <w:sz w:val="24"/>
          <w:szCs w:val="24"/>
        </w:rPr>
      </w:pPr>
      <w:r w:rsidDel="00000000" w:rsidR="00000000" w:rsidRPr="00000000">
        <w:rPr>
          <w:rtl w:val="0"/>
        </w:rPr>
      </w:r>
    </w:p>
    <w:p>
      <w:r>
        <w:rPr>
          <w:b/>
        </w:rPr>
        <w:t xml:space="preserve">SE Ranking: </w:t>
      </w:r>
      <w:r>
        <w:t>Third-party SEO data provider. The workshop uses their Data API across 6 endpoints. Shared workshop key with 300,000 credit annual pool. Credits deduct on a delay (5 to 15 minutes), not real-time.</w:t>
      </w:r>
    </w:p>
    <w:p>
      <w:r>
        <w:rPr>
          <w:b/>
        </w:rPr>
        <w:t xml:space="preserve">Seed: </w:t>
      </w:r>
      <w:r>
        <w:t>The keyword phrase the skill expands from. Built by combining the attendee's top service with their priority suburb or region from business-context.md. The skill narrates its choice before running.</w:t>
      </w:r>
    </w:p>
    <w:p>
      <w:r>
        <w:rPr>
          <w:b/>
        </w:rPr>
        <w:t xml:space="preserve">Intent codes: </w:t>
      </w:r>
      <w:r>
        <w:t>SE Ranking returns intents as letter codes: I (Informational), C (Commercial), T (Transactional), L (Local), N (Navigational). The formatter translates these to plain English in every output.</w:t>
      </w:r>
    </w:p>
    <w:p>
      <w:r>
        <w:rPr>
          <w:b/>
        </w:rPr>
        <w:t xml:space="preserve">SERP features: </w:t>
      </w:r>
      <w:r>
        <w:t>Special blocks Google shows in search results: Local Pack (map), People Also Ask, Featured Snippet, AI Overview, Reviews, Video carousel, and similar. The formatter translates raw codes like gmb and sge into plain English.</w:t>
      </w:r>
    </w:p>
    <w:p>
      <w:r>
        <w:rPr>
          <w:b/>
        </w:rPr>
        <w:t xml:space="preserve">Relevance squared scoring: </w:t>
      </w:r>
      <w:r>
        <w:t>The formatter sorts results by relevance squared times volume rather than raw volume. Penalises high-volume generic terms (relevance 8 percent) and surfaces lower-volume on-topic matches (relevance 72 percent). Workshop default.</w:t>
      </w:r>
    </w:p>
    <w:p>
      <w:r>
        <w:rPr>
          <w:b/>
        </w:rPr>
        <w:t xml:space="preserve">Top picks: </w:t>
      </w:r>
      <w:r>
        <w:t>The top 3 results meeting both on-topic at least 30 percent and difficulty at most 60. These are the keywords the formatter recommends as page-build candidates. If fewer than 3 meet the bar, the skill notes that and proposes follow-up queries.</w:t>
      </w:r>
    </w:p>
    <w:p>
      <w:r>
        <w:rPr>
          <w:b/>
        </w:rPr>
        <w:t xml:space="preserve">format_results.py: </w:t>
      </w:r>
      <w:r>
        <w:t>Python stdlib script that reads the SE Ranking JSON response, applies the workshop defaults, translates jargon, scores by relevance squared times volume, picks top 3, and writes paired .md and .csv files to ./keyword-research/.</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iv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chiv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Style w:val="Heading1"/>
      <w:shd w:fill="auto" w:val="clear"/>
      <w:spacing w:after="200" w:before="80" w:line="240" w:lineRule="auto"/>
      <w:jc w:val="center"/>
      <w:rPr>
        <w:rFonts w:ascii="Archivo Medium" w:cs="Archivo Medium" w:eastAsia="Archivo Medium" w:hAnsi="Archivo Medium"/>
      </w:rPr>
    </w:pPr>
    <w:bookmarkStart w:colFirst="0" w:colLast="0" w:name="_hx2jqrarj7lj" w:id="0"/>
    <w:bookmarkEnd w:id="0"/>
    <w:r w:rsidDel="00000000" w:rsidR="00000000" w:rsidRPr="00000000">
      <w:rPr>
        <w:rFonts w:ascii="Archivo Medium" w:cs="Archivo Medium" w:eastAsia="Archivo Medium" w:hAnsi="Archivo Medium"/>
        <w:rtl w:val="0"/>
      </w:rPr>
      <w:t xml:space="preserve">STANDARD OPERATING PROCEDURE</w:t>
    </w:r>
    <w:r w:rsidDel="00000000" w:rsidR="00000000" w:rsidRPr="00000000">
      <w:drawing>
        <wp:anchor allowOverlap="1" behindDoc="1" distB="114300" distT="114300" distL="114300" distR="114300" hidden="0" layoutInCell="1" locked="0" relativeHeight="0" simplePos="0">
          <wp:simplePos x="0" y="0"/>
          <wp:positionH relativeFrom="column">
            <wp:posOffset>5324475</wp:posOffset>
          </wp:positionH>
          <wp:positionV relativeFrom="paragraph">
            <wp:posOffset>-276224</wp:posOffset>
          </wp:positionV>
          <wp:extent cx="1147763" cy="770885"/>
          <wp:effectExtent b="0" l="0" r="0" t="0"/>
          <wp:wrapNone/>
          <wp:docPr id="1" name="image1.jpg"/>
          <a:graphic>
            <a:graphicData uri="http://schemas.openxmlformats.org/drawingml/2006/picture">
              <pic:pic>
                <pic:nvPicPr>
                  <pic:cNvPr id="0" name="image1.jpg"/>
                  <pic:cNvPicPr preferRelativeResize="0"/>
                </pic:nvPicPr>
                <pic:blipFill>
                  <a:blip r:embed="rId1"/>
                  <a:srcRect b="15671" l="0" r="0" t="17164"/>
                  <a:stretch>
                    <a:fillRect/>
                  </a:stretch>
                </pic:blipFill>
                <pic:spPr>
                  <a:xfrm>
                    <a:off x="0" y="0"/>
                    <a:ext cx="1147763" cy="770885"/>
                  </a:xfrm>
                  <a:prstGeom prst="rect"/>
                  <a:ln/>
                </pic:spPr>
              </pic:pic>
            </a:graphicData>
          </a:graphic>
        </wp:anchor>
      </w:drawing>
    </w:r>
  </w:p>
  <w:p w:rsidR="00000000" w:rsidDel="00000000" w:rsidP="00000000" w:rsidRDefault="00000000" w:rsidRPr="00000000" w14:paraId="00000027">
    <w:pPr>
      <w:pStyle w:val="Subtitle"/>
      <w:shd w:fill="auto" w:val="clear"/>
      <w:spacing w:after="200" w:before="80" w:line="240" w:lineRule="auto"/>
      <w:jc w:val="center"/>
      <w:rPr>
        <w:rFonts w:ascii="Archivo Light" w:cs="Archivo Light" w:eastAsia="Archivo Light" w:hAnsi="Archivo Light"/>
      </w:rPr>
    </w:pPr>
    <w:bookmarkStart w:colFirst="0" w:colLast="0" w:name="_how2a1b45xd9" w:id="1"/>
    <w:bookmarkEnd w:id="1"/>
    <w:r w:rsidDel="00000000" w:rsidR="00000000" w:rsidRPr="00000000">
      <w:rPr>
        <w:rFonts w:ascii="Archivo Light" w:cs="Archivo Light" w:eastAsia="Archivo Light" w:hAnsi="Archivo Light"/>
        <w:i w:val="1"/>
        <w:iCs w:val="1"/>
        <w:color w:val="000000"/>
        <w:sz w:val="28"/>
        <w:szCs w:val="28"/>
        <w:rtl w:val="0"/>
      </w:rPr>
      <w:t xml:space="preserve">[name of SOP]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chivoLight-regular.ttf"/><Relationship Id="rId2" Type="http://schemas.openxmlformats.org/officeDocument/2006/relationships/font" Target="fonts/ArchivoLight-bold.ttf"/><Relationship Id="rId3" Type="http://schemas.openxmlformats.org/officeDocument/2006/relationships/font" Target="fonts/ArchivoLight-italic.ttf"/><Relationship Id="rId4" Type="http://schemas.openxmlformats.org/officeDocument/2006/relationships/font" Target="fonts/ArchivoLight-boldItalic.ttf"/><Relationship Id="rId11" Type="http://schemas.openxmlformats.org/officeDocument/2006/relationships/font" Target="fonts/Archivo-italic.ttf"/><Relationship Id="rId10" Type="http://schemas.openxmlformats.org/officeDocument/2006/relationships/font" Target="fonts/Archivo-bold.ttf"/><Relationship Id="rId12" Type="http://schemas.openxmlformats.org/officeDocument/2006/relationships/font" Target="fonts/Archivo-boldItalic.ttf"/><Relationship Id="rId9" Type="http://schemas.openxmlformats.org/officeDocument/2006/relationships/font" Target="fonts/Archivo-regular.ttf"/><Relationship Id="rId5" Type="http://schemas.openxmlformats.org/officeDocument/2006/relationships/font" Target="fonts/ArchivoMedium-regular.ttf"/><Relationship Id="rId6" Type="http://schemas.openxmlformats.org/officeDocument/2006/relationships/font" Target="fonts/ArchivoMedium-bold.ttf"/><Relationship Id="rId7" Type="http://schemas.openxmlformats.org/officeDocument/2006/relationships/font" Target="fonts/ArchivoMedium-italic.ttf"/><Relationship Id="rId8" Type="http://schemas.openxmlformats.org/officeDocument/2006/relationships/font" Target="fonts/Archivo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