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003366"/>
          <w:sz w:val="32"/>
        </w:rPr>
        <w:t>Fair, Interpretable, and Actionable</w:t>
        <w:br/>
        <w:t>Readmission Risk Modeling</w:t>
      </w:r>
    </w:p>
    <w:p>
      <w:pPr>
        <w:jc w:val="center"/>
      </w:pPr>
      <w:r>
        <w:rPr>
          <w:rFonts w:ascii="Arial" w:hAnsi="Arial" w:eastAsia="Arial"/>
          <w:b w:val="0"/>
          <w:color w:val="464646"/>
          <w:sz w:val="22"/>
        </w:rPr>
        <w:t>Diabetes 130-US Hospitals (1999–2008)</w:t>
        <w:br/>
        <w:t>StudyBuild — Project 02 | Digital Health &amp; Medical Data Science Track</w:t>
      </w:r>
    </w:p>
    <w:p/>
    <w:p>
      <w:r>
        <w:rPr>
          <w:rFonts w:ascii="Arial" w:hAnsi="Arial" w:eastAsia="Arial"/>
          <w:b/>
          <w:color w:val="003366"/>
          <w:sz w:val="28"/>
        </w:rPr>
        <w:t>1. Project Goal</w:t>
      </w:r>
    </w:p>
    <w:p>
      <w:pPr>
        <w:spacing w:after="100" w:line="276" w:lineRule="auto"/>
      </w:pPr>
      <w:r>
        <w:rPr>
          <w:rFonts w:ascii="Arial" w:hAnsi="Arial" w:eastAsia="Arial"/>
          <w:b w:val="0"/>
          <w:sz w:val="22"/>
        </w:rPr>
        <w:t>Build an educational risk-stratification model that predicts 30-day early hospital readmission (&lt;30) among diabetic inpatients, with emphasis on interpretability, honest evaluation, and fairness across patient subgroups.</w:t>
      </w:r>
    </w:p>
    <w:p>
      <w:pPr>
        <w:spacing w:after="100" w:line="276" w:lineRule="auto"/>
      </w:pPr>
      <w:r>
        <w:rPr>
          <w:rFonts w:ascii="Arial" w:hAnsi="Arial" w:eastAsia="Arial"/>
          <w:b w:val="0"/>
          <w:sz w:val="22"/>
        </w:rPr>
        <w:t>This is not a deployed clinical decision system.</w:t>
      </w:r>
    </w:p>
    <w:p>
      <w:r>
        <w:rPr>
          <w:rFonts w:ascii="Arial" w:hAnsi="Arial" w:eastAsia="Arial"/>
          <w:b/>
          <w:color w:val="003366"/>
          <w:sz w:val="28"/>
        </w:rPr>
        <w:t>2. Dataset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Source: UCI Machine Learning Repository — Diabetes 130-US Hospitals for Years 1999–2008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Size: 101,766 encounters, 50 attributes, 130 US hospitals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Target: binary early readmission (&lt;30 vs. not), approximately 11.2% positive class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DOI: 10.24432/C5230J | License: CC BY 4.0</w:t>
      </w:r>
    </w:p>
    <w:p>
      <w:r>
        <w:rPr>
          <w:rFonts w:ascii="Arial" w:hAnsi="Arial" w:eastAsia="Arial"/>
          <w:b/>
          <w:color w:val="003366"/>
          <w:sz w:val="28"/>
        </w:rPr>
        <w:t>3. Data Preparation</w:t>
      </w:r>
    </w:p>
    <w:p>
      <w:r>
        <w:rPr>
          <w:rFonts w:ascii="Arial" w:hAnsi="Arial" w:eastAsia="Arial"/>
          <w:b/>
          <w:color w:val="004C99"/>
          <w:sz w:val="24"/>
        </w:rPr>
        <w:t>3.1 Dropped Columns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Identifiers: encounter_id, patient_nbr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High missingness: weight, max_glu_serum, A1Cresult, medical_specialty, payer_code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Raw diagnosis codes: diag_1, diag_2, diag_3 (replaced by grouped categories)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Target and near-constant columns: readmitted, examide, citoglipton</w:t>
      </w:r>
    </w:p>
    <w:p>
      <w:r>
        <w:rPr>
          <w:rFonts w:ascii="Arial" w:hAnsi="Arial" w:eastAsia="Arial"/>
          <w:b/>
          <w:color w:val="004C99"/>
          <w:sz w:val="24"/>
        </w:rPr>
        <w:t>3.2 ICD-9 Grouping</w:t>
      </w:r>
    </w:p>
    <w:p>
      <w:pPr>
        <w:spacing w:after="100" w:line="276" w:lineRule="auto"/>
      </w:pPr>
      <w:r>
        <w:rPr>
          <w:rFonts w:ascii="Arial" w:hAnsi="Arial" w:eastAsia="Arial"/>
          <w:b w:val="0"/>
          <w:sz w:val="22"/>
        </w:rPr>
        <w:t>Diagnosis codes were mapped to clinical categories: Circulatory, Respiratory, Digestive, Diabetes, Injury, Musculoskeletal, Genitourinary, Neoplasms, and Other.</w:t>
      </w:r>
    </w:p>
    <w:p>
      <w:r>
        <w:rPr>
          <w:rFonts w:ascii="Arial" w:hAnsi="Arial" w:eastAsia="Arial"/>
          <w:b/>
          <w:color w:val="004C99"/>
          <w:sz w:val="24"/>
        </w:rPr>
        <w:t>3.3 Feature Engineering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total_prior_visits = number_outpatient + number_emergency + number_inpatient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meds_per_day = num_medications / (time_in_hospital + 1)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lab_per_day = num_lab_procedures / (time_in_hospital + 1)</w:t>
      </w:r>
    </w:p>
    <w:p>
      <w:pPr>
        <w:spacing w:after="100" w:line="276" w:lineRule="auto"/>
      </w:pPr>
      <w:r>
        <w:rPr>
          <w:rFonts w:ascii="Arial" w:hAnsi="Arial" w:eastAsia="Arial"/>
          <w:b w:val="0"/>
          <w:sz w:val="22"/>
        </w:rPr>
        <w:t>Rationale: capture overall prior utilization intensity and treatment/lab intensity relative to length of stay.</w:t>
      </w:r>
    </w:p>
    <w:p>
      <w:r>
        <w:rPr>
          <w:rFonts w:ascii="Arial" w:hAnsi="Arial" w:eastAsia="Arial"/>
          <w:b/>
          <w:color w:val="004C99"/>
          <w:sz w:val="24"/>
        </w:rPr>
        <w:t>3.4 Encoding and Split</w:t>
      </w:r>
    </w:p>
    <w:p>
      <w:pPr>
        <w:spacing w:after="100" w:line="276" w:lineRule="auto"/>
      </w:pPr>
      <w:r>
        <w:rPr>
          <w:rFonts w:ascii="Arial" w:hAnsi="Arial" w:eastAsia="Arial"/>
          <w:b w:val="0"/>
          <w:sz w:val="22"/>
        </w:rPr>
        <w:t>Categorical variables were label-encoded. Data were split 80/20 with stratification and random_state=42. Class weight was set as scale_pos_weight ≈ 5.57 (full ratio × 0.7).</w:t>
      </w:r>
    </w:p>
    <w:p>
      <w:r>
        <w:rPr>
          <w:rFonts w:ascii="Arial" w:hAnsi="Arial" w:eastAsia="Arial"/>
          <w:b/>
          <w:color w:val="003366"/>
          <w:sz w:val="28"/>
        </w:rPr>
        <w:t>4. Models</w:t>
      </w:r>
    </w:p>
    <w:p>
      <w:r>
        <w:rPr>
          <w:rFonts w:ascii="Arial" w:hAnsi="Arial" w:eastAsia="Arial"/>
          <w:b/>
          <w:color w:val="004C99"/>
          <w:sz w:val="24"/>
        </w:rPr>
        <w:t>4.1 XGBoost and LightGBM</w:t>
      </w:r>
    </w:p>
    <w:p>
      <w:pPr>
        <w:spacing w:after="100" w:line="276" w:lineRule="auto"/>
      </w:pPr>
      <w:r>
        <w:rPr>
          <w:rFonts w:ascii="Arial" w:hAnsi="Arial" w:eastAsia="Arial"/>
          <w:b w:val="0"/>
          <w:sz w:val="22"/>
        </w:rPr>
        <w:t>Final models aligned with strong 2024–2025 papers on this dataset.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n_estimators=300, max_depth=6, learning_rate=0.05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subsample=0.8, colsample_bytree=0.8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scale_pos_weight for class imbalance</w:t>
      </w:r>
    </w:p>
    <w:p>
      <w:pPr>
        <w:spacing w:after="100" w:line="276" w:lineRule="auto"/>
      </w:pPr>
      <w:r>
        <w:rPr>
          <w:rFonts w:ascii="Arial" w:hAnsi="Arial" w:eastAsia="Arial"/>
          <w:b w:val="0"/>
          <w:sz w:val="22"/>
        </w:rPr>
        <w:t>XGBoost grows trees level-wise; LightGBM grows leaf-wise and is typically faster.</w:t>
      </w:r>
    </w:p>
    <w:p>
      <w:r>
        <w:rPr>
          <w:rFonts w:ascii="Arial" w:hAnsi="Arial" w:eastAsia="Arial"/>
          <w:b/>
          <w:color w:val="004C99"/>
          <w:sz w:val="24"/>
        </w:rPr>
        <w:t>4.2 Threshold Tuning</w:t>
      </w:r>
    </w:p>
    <w:p>
      <w:pPr>
        <w:spacing w:after="100" w:line="276" w:lineRule="auto"/>
      </w:pPr>
      <w:r>
        <w:rPr>
          <w:rFonts w:ascii="Arial" w:hAnsi="Arial" w:eastAsia="Arial"/>
          <w:b w:val="0"/>
          <w:sz w:val="22"/>
        </w:rPr>
        <w:t>Thresholds from 0.20 to 0.60 were evaluated on a validation split. The threshold maximizing F1 for the &lt;30 class was selected.</w:t>
      </w:r>
    </w:p>
    <w:p>
      <w:r>
        <w:rPr>
          <w:rFonts w:ascii="Arial" w:hAnsi="Arial" w:eastAsia="Arial"/>
          <w:b/>
          <w:color w:val="003366"/>
          <w:sz w:val="28"/>
        </w:rPr>
        <w:t>5. Results</w:t>
      </w:r>
    </w:p>
    <w:p>
      <w:pPr>
        <w:spacing w:after="100" w:line="276" w:lineRule="auto"/>
      </w:pPr>
      <w:r>
        <w:rPr>
          <w:rFonts w:ascii="Arial" w:hAnsi="Arial" w:eastAsia="Arial"/>
          <w:b/>
          <w:sz w:val="22"/>
        </w:rPr>
        <w:t>LightGBM: AUC ≈ 0.684 | F1 ≈ 0.288 | Recall ≈ 0.47</w:t>
      </w:r>
    </w:p>
    <w:p>
      <w:pPr>
        <w:spacing w:after="100" w:line="276" w:lineRule="auto"/>
      </w:pPr>
      <w:r>
        <w:rPr>
          <w:rFonts w:ascii="Arial" w:hAnsi="Arial" w:eastAsia="Arial"/>
          <w:b/>
          <w:sz w:val="22"/>
        </w:rPr>
        <w:t>XGBoost:  AUC ≈ 0.682 | F1 ≈ 0.287 | Recall ≈ 0.45</w:t>
      </w:r>
    </w:p>
    <w:p>
      <w:pPr>
        <w:spacing w:after="100" w:line="276" w:lineRule="auto"/>
      </w:pPr>
      <w:r>
        <w:rPr>
          <w:rFonts w:ascii="Arial" w:hAnsi="Arial" w:eastAsia="Arial"/>
          <w:b w:val="0"/>
          <w:sz w:val="22"/>
        </w:rPr>
        <w:t>These values match honest recent literature (typical AUC 0.66–0.70). Accuracy alone is misleading due to class imbalance.</w:t>
      </w:r>
    </w:p>
    <w:p>
      <w:r>
        <w:rPr>
          <w:rFonts w:ascii="Arial" w:hAnsi="Arial" w:eastAsia="Arial"/>
          <w:b/>
          <w:color w:val="003366"/>
          <w:sz w:val="28"/>
        </w:rPr>
        <w:t>6. Feature Importance (Q7)</w:t>
      </w:r>
    </w:p>
    <w:p>
      <w:pPr>
        <w:spacing w:after="100" w:line="276" w:lineRule="auto"/>
      </w:pPr>
      <w:r>
        <w:rPr>
          <w:rFonts w:ascii="Arial" w:hAnsi="Arial" w:eastAsia="Arial"/>
          <w:b w:val="0"/>
          <w:sz w:val="22"/>
        </w:rPr>
        <w:t>Top features from XGBoost: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1. number_inpatient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2. discharge_disposition_id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3. total_prior_visits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4. diabetesMed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5. diag1_cat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6. number_diagnoses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... (meds_per_day also ranked in the top 12)</w:t>
      </w:r>
    </w:p>
    <w:p>
      <w:pPr>
        <w:spacing w:after="100" w:line="276" w:lineRule="auto"/>
      </w:pPr>
      <w:r>
        <w:rPr>
          <w:rFonts w:ascii="Arial" w:hAnsi="Arial" w:eastAsia="Arial"/>
          <w:b w:val="0"/>
          <w:sz w:val="22"/>
        </w:rPr>
        <w:t>Figure: figures/feature_importance_xgb.png</w:t>
      </w:r>
    </w:p>
    <w:p>
      <w:r>
        <w:rPr>
          <w:rFonts w:ascii="Arial" w:hAnsi="Arial" w:eastAsia="Arial"/>
          <w:b/>
          <w:color w:val="003366"/>
          <w:sz w:val="28"/>
        </w:rPr>
        <w:t>7. Fairness (Q8)</w:t>
      </w:r>
    </w:p>
    <w:p>
      <w:pPr>
        <w:spacing w:after="100" w:line="276" w:lineRule="auto"/>
      </w:pPr>
      <w:r>
        <w:rPr>
          <w:rFonts w:ascii="Arial" w:hAnsi="Arial" w:eastAsia="Arial"/>
          <w:b w:val="0"/>
          <w:sz w:val="22"/>
        </w:rPr>
        <w:t>Model recall was compared across race, gender, and age brackets. Differences exist and were reported transparently. Figure: figures/08_fairness_recall.png</w:t>
      </w:r>
    </w:p>
    <w:p>
      <w:r>
        <w:rPr>
          <w:rFonts w:ascii="Arial" w:hAnsi="Arial" w:eastAsia="Arial"/>
          <w:b/>
          <w:color w:val="003366"/>
          <w:sz w:val="28"/>
        </w:rPr>
        <w:t>8. Limitations and Recommendation (Q9)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Data period 1999–2008; ICD-9 only; high missingness in key variables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Encounter-level split (not purely patient-level)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No external validation on contemporary data</w:t>
      </w:r>
    </w:p>
    <w:p>
      <w:pPr>
        <w:spacing w:after="100" w:line="276" w:lineRule="auto"/>
      </w:pPr>
      <w:r>
        <w:rPr>
          <w:rFonts w:ascii="Arial" w:hAnsi="Arial" w:eastAsia="Arial"/>
          <w:b w:val="0"/>
          <w:sz w:val="22"/>
        </w:rPr>
        <w:t>Recommendation: use only as a risk-stratification aid for discharge planning — never for automated care denial or approval.</w:t>
      </w:r>
    </w:p>
    <w:p>
      <w:r>
        <w:rPr>
          <w:rFonts w:ascii="Arial" w:hAnsi="Arial" w:eastAsia="Arial"/>
          <w:b/>
          <w:color w:val="003366"/>
          <w:sz w:val="28"/>
        </w:rPr>
        <w:t>9. Mapping to Project Questions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Q1–Q3: Population description, group comparisons, associations (EDA and preprocessing)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Q4: Baseline and strong models (XGBoost / LightGBM)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Q5–Q6: Class-wise evaluation and error analysis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Q7: Feature importance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Q8: Fairness across subgroups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sz w:val="22"/>
        </w:rPr>
        <w:t>Q9: Clinical interpretation and limitations</w:t>
      </w:r>
    </w:p>
    <w:p>
      <w:r>
        <w:rPr>
          <w:rFonts w:ascii="Arial" w:hAnsi="Arial" w:eastAsia="Arial"/>
          <w:b/>
          <w:color w:val="003366"/>
          <w:sz w:val="28"/>
        </w:rPr>
        <w:t>10. How to Run</w:t>
      </w:r>
    </w:p>
    <w:p>
      <w:pPr>
        <w:spacing w:after="100" w:line="276" w:lineRule="auto"/>
      </w:pPr>
      <w:r>
        <w:rPr>
          <w:rFonts w:ascii="Arial" w:hAnsi="Arial" w:eastAsia="Arial"/>
          <w:b w:val="0"/>
          <w:sz w:val="22"/>
        </w:rPr>
        <w:t>pip install -r requirements.txt</w:t>
      </w:r>
    </w:p>
    <w:p>
      <w:pPr>
        <w:spacing w:after="100" w:line="276" w:lineRule="auto"/>
      </w:pPr>
      <w:r>
        <w:rPr>
          <w:rFonts w:ascii="Arial" w:hAnsi="Arial" w:eastAsia="Arial"/>
          <w:b w:val="0"/>
          <w:sz w:val="22"/>
        </w:rPr>
        <w:t>python src/final_best_pipeline.py</w:t>
      </w:r>
    </w:p>
    <w:p>
      <w:pPr>
        <w:spacing w:after="100" w:line="276" w:lineRule="auto"/>
      </w:pPr>
      <w:r>
        <w:rPr>
          <w:rFonts w:ascii="Arial" w:hAnsi="Arial" w:eastAsia="Arial"/>
          <w:b w:val="0"/>
          <w:sz w:val="22"/>
        </w:rPr>
        <w:t>jupyter notebook notebooks/analysis.ipynb</w:t>
      </w:r>
    </w:p>
    <w:p>
      <w:r>
        <w:rPr>
          <w:rFonts w:ascii="Arial" w:hAnsi="Arial" w:eastAsia="Arial"/>
          <w:b/>
          <w:color w:val="003366"/>
          <w:sz w:val="28"/>
        </w:rPr>
        <w:t>11. Repository Structure</w:t>
      </w:r>
    </w:p>
    <w:p>
      <w:pPr>
        <w:spacing w:after="100" w:line="276" w:lineRule="auto"/>
      </w:pPr>
      <w:r>
        <w:rPr>
          <w:rFonts w:ascii="Arial" w:hAnsi="Arial" w:eastAsia="Arial"/>
          <w:b w:val="0"/>
          <w:sz w:val="22"/>
        </w:rPr>
        <w:t>data/ | figures/ | notebooks/analysis.ipynb | src/final_best_pipeline.py | report/ | README.md | requirements.txt</w:t>
      </w:r>
    </w:p>
    <w:p/>
    <w:p>
      <w:pPr>
        <w:jc w:val="center"/>
      </w:pPr>
      <w:r>
        <w:rPr>
          <w:rFonts w:ascii="Arial" w:hAnsi="Arial" w:eastAsia="Arial"/>
          <w:b w:val="0"/>
          <w:color w:val="646464"/>
          <w:sz w:val="18"/>
        </w:rPr>
        <w:t>StudyBuild — Learn • Build • Apply</w:t>
      </w:r>
    </w:p>
    <w:sectPr w:rsidR="00FC693F" w:rsidRPr="0006063C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