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Clinical AI Workbench</w:t>
      </w:r>
    </w:p>
    <w:p>
      <w:pPr>
        <w:spacing w:after="60"/>
        <w:jc w:val="center"/>
      </w:pPr>
      <w:r>
        <w:rPr>
          <w:b/>
          <w:bCs/>
          <w:color w:val="2E5496"/>
          <w:sz w:val="26"/>
          <w:szCs w:val="26"/>
        </w:rPr>
        <w:t xml:space="preserve">临床智能工作台 · 产品需求文档（PRD）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术前谈话分析 · 出院随访总结 · 科研数据清洗（基于 RAG）</w:t>
      </w:r>
    </w:p>
    <w:p>
      <w:pPr>
        <w:spacing w:after="400"/>
        <w:jc w:val="center"/>
      </w:pPr>
      <w:r>
        <w:rPr>
          <w:color w:val="999999"/>
          <w:sz w:val="18"/>
          <w:szCs w:val="18"/>
        </w:rPr>
        <w:t xml:space="preserve">版本 V1.0  |  2026-08-25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项目背景</w:t>
      </w:r>
    </w:p>
    <w:p>
      <w:pPr>
        <w:spacing w:after="120" w:line="320"/>
      </w:pPr>
      <w:r>
        <w:t xml:space="preserve">随着大型语言模型（LLM）与检索增强生成（RAG）技术的成熟，医疗场景中存在大量高价值但重复性强的文书与数据处理工作。本项目建设一个面向医院内部使用的临床智能工作台（Clinical AI Workbench），将三类典型需求统一在一个产品内：术前谈话记录分析、出院随访总结、科研数据清洗。</w:t>
      </w:r>
    </w:p>
    <w:p>
      <w:pPr>
        <w:spacing w:after="120" w:line="320"/>
      </w:pPr>
      <w:r>
        <w:t xml:space="preserve">项目采用 90% AI Vibe Coding 方式开发，目标是快速产出可上线的产品原型，并将其拆解为多条可写入简历的子级项目经验。</w:t>
      </w:r>
    </w:p>
    <w:p>
      <w:pPr>
        <w:pStyle w:val="Heading2"/>
      </w:pPr>
      <w:r>
        <w:t xml:space="preserve">1.2 项目目标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统一平台</w:t>
      </w:r>
      <w:r>
        <w:t xml:space="preserve">：将三个功能模块整合到同一个 SaaS 产品中，共用文档摄取、向量存储、检索与生成管线。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真实可用</w:t>
      </w:r>
      <w:r>
        <w:t xml:space="preserve">：基于合成数据（Synthea / MIMIC-IV-Note）跑通完整管线，真实 PHI 数据接入需通过合规审查。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生产级架构</w:t>
      </w:r>
      <w:r>
        <w:t xml:space="preserve">：具备多租户隔离、基于角色的访问控制（RBAC）、审计日志与安全护栏。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简历价值</w:t>
      </w:r>
      <w:r>
        <w:t xml:space="preserve">：形成从 0 到 1 设计、开发、上线的完整全栈 AI 项目经验。</w:t>
      </w:r>
    </w:p>
    <w:p>
      <w:pPr>
        <w:pStyle w:val="Heading2"/>
      </w:pPr>
      <w:r>
        <w:t xml:space="preserve">1.3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主要使用模块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医务科 / 质控办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检查术前谈话完整性与合规性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术前谈话记录分析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临床医生 / 患者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生成出院指导与随访计划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出院随访总结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科研团队 / 临床研究协调员（CRC）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批量结构化抽取临床变量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科研数据清洗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医院信息科 / 管理员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多租户管理、权限、审计与部署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系统管理后台</w:t>
            </w:r>
          </w:p>
        </w:tc>
      </w:tr>
    </w:tbl>
    <w:p>
      <w:pPr>
        <w:pStyle w:val="Heading1"/>
      </w:pPr>
      <w:r>
        <w:t xml:space="preserve">2. 技术选型与架构</w:t>
      </w:r>
    </w:p>
    <w:p>
      <w:pPr>
        <w:pStyle w:val="Heading2"/>
      </w:pPr>
      <w:r>
        <w:t xml:space="preserve">2.1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14 (App Router) + TypeScript + Tailwind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三个功能模块共用前端外壳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业务后端（BFF）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NestJS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多租户业务逻辑、RBAC、审计中间件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推理服务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FastAPI（Python）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文档摄取、嵌入、重排、LLM 调用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+ pgvector（Supabase / Neon）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业务数据 + 向量存储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认证 / 合规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NextAuth.js + Supabase RLS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行级安全 + JWT 双重隔离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部署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Vercel（前端）+ Supabase（后端）+ Docker Compose（本地）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生产级一键部署</w:t>
            </w:r>
          </w:p>
        </w:tc>
      </w:tr>
    </w:tbl>
    <w:p>
      <w:pPr>
        <w:pStyle w:val="Heading2"/>
      </w:pPr>
      <w:r>
        <w:t xml:space="preserve">2.2 推荐模板组合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内核</w:t>
      </w:r>
      <w:r>
        <w:t xml:space="preserve">：AI SaaS Monorepo Boilerplate（eyeamkd/init）—— 内置 RAG、提示词版本化、评估、合规护栏（guardrails）、Token 成本追踪，是唯一把生产级服务边界与 RAG 打包的开源脚手架。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外壳</w:t>
      </w:r>
      <w:r>
        <w:t xml:space="preserve">：MediFlow（免费开源，React + Supabase，RLS + 多诊所隔离 + 审计轨迹），预算充足时可替换为 HospitalNext SaaS（CodeCanyon 商业模板）。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备选（偏 NLP）</w:t>
      </w:r>
      <w:r>
        <w:t xml:space="preserve">：doctor-notes-app —— 已内置 SNOMED / ICD-10 / RxNorm / LOINC 术语编码与 FHIR 转换，适合科研清洗的术语标准化。</w:t>
      </w:r>
    </w:p>
    <w:p>
      <w:pPr>
        <w:pStyle w:val="Heading2"/>
      </w:pPr>
      <w:r>
        <w:t xml:space="preserve">2.3 系统架构</w:t>
      </w:r>
    </w:p>
    <w:p>
      <w:pPr>
        <w:spacing w:after="120" w:line="320"/>
      </w:pPr>
      <w:r>
        <w:t xml:space="preserve">三个功能模块共用同一套「文档摄取 → 向量存储 → 检索 → 生成」管线，差异仅在于提示词模板、检索策略与输出 Schema。整体架构如下：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组成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前端层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Next.js：/preop（术前）、/discharge（出院）、/research（科研）三个模块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业务层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NestJS BFF：多租户 + RBAC + 审计中间件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推理层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 服务（packages/rag）：术前 Hybrid / 出院 Timeline / 科研 Schema-aware 三种调用方式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存储层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Supabase（RLS + 审计）+ pgvector（向量库）+ LLM API（流式）</w:t>
            </w:r>
          </w:p>
        </w:tc>
      </w:tr>
    </w:tbl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模块一：术前谈话记录分析</w:t>
      </w:r>
    </w:p>
    <w:p>
      <w:pPr>
        <w:pStyle w:val="Heading3"/>
      </w:pPr>
      <w:r>
        <w:t xml:space="preserve">3.1.1 功能描述</w:t>
      </w:r>
    </w:p>
    <w:p>
      <w:pPr>
        <w:spacing w:after="120" w:line="320"/>
      </w:pPr>
      <w:r>
        <w:t xml:space="preserve">对医生与患者/家属之间的术前谈话录音或文本进行分析，提取关键信息并评估谈话的合规性与完整性。</w:t>
      </w:r>
    </w:p>
    <w:p>
      <w:pPr>
        <w:pStyle w:val="Heading3"/>
      </w:pPr>
      <w:r>
        <w:t xml:space="preserve">3.1.2 输入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谈话录音（经 ASR 转写为文本）、谈话记录文本、知情同意书草稿。</w:t>
      </w:r>
    </w:p>
    <w:p>
      <w:pPr>
        <w:pStyle w:val="Heading3"/>
      </w:pPr>
      <w:r>
        <w:t xml:space="preserve">3.1.3 处理流程（RAG）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从历史同类手术谈话记录、并发症统计数据、医院质控指南中</w:t>
      </w:r>
      <w:r>
        <w:rPr>
          <w:b/>
          <w:bCs/>
        </w:rPr>
        <w:t xml:space="preserve">检索</w:t>
      </w:r>
      <w:r>
        <w:t xml:space="preserve">相关片段。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混合检索（Hybrid Search）</w:t>
      </w:r>
      <w:r>
        <w:t xml:space="preserve">：向量语义检索 + BM25 关键词检索。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规则引擎</w:t>
      </w:r>
      <w:r>
        <w:t xml:space="preserve">：对照「必须包含的要素清单」，校验当前谈话是否覆盖手术风险、替代方案、患者疑问等。</w:t>
      </w:r>
    </w:p>
    <w:p>
      <w:pPr>
        <w:pStyle w:val="Heading3"/>
      </w:pPr>
      <w:r>
        <w:t xml:space="preserve">3.1.4 输出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谈话完整性检查报告（缺失项高亮）。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风险点摘要、患者疑问清单。</w:t>
      </w:r>
    </w:p>
    <w:p>
      <w:pPr>
        <w:pStyle w:val="Heading2"/>
      </w:pPr>
      <w:r>
        <w:t xml:space="preserve">3.2 模块二：出院随访总结</w:t>
      </w:r>
    </w:p>
    <w:p>
      <w:pPr>
        <w:pStyle w:val="Heading3"/>
      </w:pPr>
      <w:r>
        <w:t xml:space="preserve">3.2.1 功能描述</w:t>
      </w:r>
    </w:p>
    <w:p>
      <w:pPr>
        <w:spacing w:after="120" w:line="320"/>
      </w:pPr>
      <w:r>
        <w:t xml:space="preserve">根据患者住院期间的病历、医嘱、护理记录、检验结果，自动生成给患者看的通俗版出院指导，以及给医生的随访计划。</w:t>
      </w:r>
    </w:p>
    <w:p>
      <w:pPr>
        <w:pStyle w:val="Heading3"/>
      </w:pPr>
      <w:r>
        <w:t xml:space="preserve">3.2.2 输入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出院小结草稿、病程记录、用药记录、实验室结果、出院医嘱。</w:t>
      </w:r>
    </w:p>
    <w:p>
      <w:pPr>
        <w:pStyle w:val="Heading3"/>
      </w:pPr>
      <w:r>
        <w:t xml:space="preserve">3.2.3 处理流程（RAG）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时间线感知检索</w:t>
      </w:r>
      <w:r>
        <w:t xml:space="preserve">：按时间顺序拉取患者住院关键事件。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Graph RAG</w:t>
      </w:r>
      <w:r>
        <w:t xml:space="preserve">：理清诊疗路径与实体关系。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同时检索该疾病的</w:t>
      </w:r>
      <w:r>
        <w:rPr>
          <w:b/>
          <w:bCs/>
        </w:rPr>
        <w:t xml:space="preserve">标准随访指南</w:t>
      </w:r>
      <w:r>
        <w:t xml:space="preserve">（复查时间、药物调整规则）。</w:t>
      </w:r>
    </w:p>
    <w:p>
      <w:pPr>
        <w:pStyle w:val="Heading3"/>
      </w:pPr>
      <w:r>
        <w:t xml:space="preserve">3.2.4 输出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患者版出院指导</w:t>
      </w:r>
      <w:r>
        <w:t xml:space="preserve">：简化语言、避免术语。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医生版随访计划</w:t>
      </w:r>
      <w:r>
        <w:t xml:space="preserve">：下次复查项目、预警指标。</w:t>
      </w:r>
    </w:p>
    <w:p>
      <w:pPr>
        <w:pStyle w:val="Heading2"/>
      </w:pPr>
      <w:r>
        <w:t xml:space="preserve">3.3 模块三：科研数据清洗</w:t>
      </w:r>
    </w:p>
    <w:p>
      <w:pPr>
        <w:pStyle w:val="Heading3"/>
      </w:pPr>
      <w:r>
        <w:t xml:space="preserve">3.3.1 功能描述</w:t>
      </w:r>
    </w:p>
    <w:p>
      <w:pPr>
        <w:spacing w:after="120" w:line="320"/>
      </w:pPr>
      <w:r>
        <w:t xml:space="preserve">从非结构化临床文本（出院小结、病理报告、影像报告）中抽取结构化字段，用于回顾性研究或临床试验数据池。</w:t>
      </w:r>
    </w:p>
    <w:p>
      <w:pPr>
        <w:pStyle w:val="Heading3"/>
      </w:pPr>
      <w:r>
        <w:t xml:space="preserve">3.3.2 输入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大批量 PDF / Word 报告、扫描件（经 OCR 转文本）。</w:t>
      </w:r>
    </w:p>
    <w:p>
      <w:pPr>
        <w:pStyle w:val="Heading3"/>
      </w:pPr>
      <w:r>
        <w:t xml:space="preserve">3.3.3 处理流程（RAG）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Schema-aware Retrieval</w:t>
      </w:r>
      <w:r>
        <w:t xml:space="preserve">：从预定义的变量字典（ICD 编码、药物名称、分期标准）中检索匹配规则。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对每条记录检索相似病例的标注样例作为 few-shot 提示。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术语标准化：结合术语库（SNOMED / ICD-10 / RxNorm / LOINC）做「语义检索 + 确定性校验」双保险。</w:t>
      </w:r>
    </w:p>
    <w:p>
      <w:pPr>
        <w:pStyle w:val="Heading3"/>
      </w:pPr>
      <w:r>
        <w:t xml:space="preserve">3.3.4 输出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结构化表格（每行一个患者，每列一个变量），附带置信度与来源引用，供统计分析或机器学习训练。</w:t>
      </w:r>
    </w:p>
    <w:p>
      <w:pPr>
        <w:pStyle w:val="Heading2"/>
      </w:pPr>
      <w:r>
        <w:t xml:space="preserve">3.4 三模块对比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术前谈话分析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出院随访总结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科研数据清洗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医务科 / 质控办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临床医生 / 患者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科研团队 / CRC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输入粒度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单次谈话记录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单患者全程病历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百 / 千份报告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输出形式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检查清单 / 报告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患者指导 / 随访计划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结构化表格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检索知识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质控标准 + 历史案例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疾病指南 + 患者 EMR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编码字典 + 标注样本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侧重点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合规性检查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个性化生成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字段抽取与映射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PHI 接触度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高（可脱敏后处理）</w:t>
            </w:r>
          </w:p>
        </w:tc>
      </w:tr>
    </w:tbl>
    <w:p>
      <w:pPr>
        <w:pStyle w:val="Heading1"/>
      </w:pPr>
      <w:r>
        <w:t xml:space="preserve">4. 非功能需求与合规</w:t>
      </w:r>
    </w:p>
    <w:p>
      <w:pPr>
        <w:pStyle w:val="Heading2"/>
      </w:pPr>
      <w:r>
        <w:t xml:space="preserve">4.1 安全与合规（硬性要求）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审计日志</w:t>
      </w:r>
      <w:r>
        <w:t xml:space="preserve">：每次 PHI 访问记录 who / when / what / from where，防篡改，保留 6 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字段级加密</w:t>
      </w:r>
      <w:r>
        <w:t xml:space="preserve">：AES-256-GCM，不只依赖数据库级加密。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传输加密</w:t>
      </w:r>
      <w:r>
        <w:t xml:space="preserve">：全站 TLS 1.2 及以上。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服务端强制访问控制</w:t>
      </w:r>
      <w:r>
        <w:t xml:space="preserve">：在 API 层与数据库层（RLS / ORM）双重强制，不只靠 UI 隐藏。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多租户硬隔离</w:t>
      </w:r>
      <w:r>
        <w:t xml:space="preserve">：ORM / 数据库查询层强制 facility_id 过滤，跨院区数据物理不可见。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合规护栏（guardrails）</w:t>
      </w:r>
      <w:r>
        <w:t xml:space="preserve">：越狱 / 敏感词过滤，启用脚手架内置能力。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合成数据起步</w:t>
      </w:r>
      <w:r>
        <w:t xml:space="preserve">：使用 Synthea 或 MIMIC-IV-Note 验证管线；真实 PHI 绝不输入公开 AI 工具。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签署 BAA</w:t>
      </w:r>
      <w:r>
        <w:t xml:space="preserve">：接入真实 EMR 前必须签署（Supabase Pro / Vercel Enterprise 提供）。</w:t>
      </w:r>
    </w:p>
    <w:p>
      <w:pPr>
        <w:pStyle w:val="Heading2"/>
      </w:pPr>
      <w:r>
        <w:t xml:space="preserve">4.2 性能与可用性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文档摄取与向量化支持异步队列（Celery / RQ），大批量科研清洗不阻塞主流程。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LLM 生成采用流式响应（SSE / WebSocket），提升用户感知速度。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关键接口具备重试、超时与降级策略；Token 成本实时追踪与预算告警。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前端支持响应式布局，适配医生工作站与移动查房场景。</w:t>
      </w:r>
    </w:p>
    <w:p>
      <w:pPr>
        <w:pStyle w:val="Heading1"/>
      </w:pPr>
      <w:r>
        <w:t xml:space="preserve">5. 数据模型（核心 Schema）</w:t>
      </w:r>
    </w:p>
    <w:p>
      <w:pPr>
        <w:spacing w:after="120" w:line="320"/>
      </w:pPr>
      <w:r>
        <w:t xml:space="preserve">三个模块共享基础实体，差异体现在各自的输出结构。以下为简化版核心表设计。</w:t>
      </w:r>
    </w:p>
    <w:p>
      <w:pPr>
        <w:pStyle w:val="Heading3"/>
      </w:pPr>
      <w:r>
        <w:t xml:space="preserve">5.1 共享基础表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60"/>
        <w:gridCol w:w="36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tenant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name, created_at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租户 / 医院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tenant_id, role, email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用户，role ∈ {admin, doctor, nurse, researcher, patient}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tenant_id, owner_id, type, file_url, status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原始文档（谈话 / 病历 / 报告）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document_chunk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document_id, content, embedding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分块与向量（pgvector）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audit_log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user_id, action, target, ip, ts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审计日志</w:t>
            </w:r>
          </w:p>
        </w:tc>
      </w:tr>
    </w:tbl>
    <w:p>
      <w:pPr>
        <w:pStyle w:val="Heading3"/>
      </w:pPr>
      <w:r>
        <w:t xml:space="preserve">5.2 各模块输出表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48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输出表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术前谈话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preop_report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document_id, missing_items[], risk_points[], questions[], score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出院随访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discharge_summary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patient_id, patient_guide, doctor_plan, followup_date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科研清洗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research_record / research_variable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record_id, patient_key, variables(JSONB), confidence, source_ref</w:t>
            </w:r>
          </w:p>
        </w:tc>
      </w:tr>
    </w:tbl>
    <w:p>
      <w:pPr>
        <w:pStyle w:val="Heading1"/>
      </w:pPr>
      <w:r>
        <w:t xml:space="preserve">6. 开发与上线路线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5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主要工作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 周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 周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克隆 AI SaaS Monorepo，跑通本地 dev，用 MIMIC-IV 脱敏数据验证 RAG 管线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可运行的本地原型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2 周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2 周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套 MediFlow 外壳，实现科研数据清洗（Schema 映射 + 术语编码），加 RLS + 审计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科研清洗模块 + 合规底座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3 周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3 周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加出院随访（时间线检索）+ 术前谈话（Hybrid + 规则检查），部署 Vercel + Supabase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三模块完整产品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收尾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补充监控、备份、用量统计，整理合规文档，拆解为子级项目经验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可上线 + 简历素材</w:t>
            </w:r>
          </w:p>
        </w:tc>
      </w:tr>
    </w:tbl>
    <w:p>
      <w:pPr>
        <w:pStyle w:val="Heading1"/>
      </w:pPr>
      <w:r>
        <w:t xml:space="preserve">7. 简历子级项目经验拆解</w:t>
      </w:r>
    </w:p>
    <w:p>
      <w:pPr>
        <w:spacing w:after="120" w:line="320"/>
      </w:pPr>
      <w:r>
        <w:t xml:space="preserve">一个完整产品可拆解为以下 4 条子级经验，突出医疗领域理解 + AI 集成 + 合规意识的组合稀缺性：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3600"/>
        <w:gridCol w:w="3000"/>
      </w:tblGrid>
      <w:tr>
        <w:trPr>
          <w:tblHeader/>
        </w:trP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子级项目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技术关键词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简历亮点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临床 AI 工作台（三合一 RAG 平台）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+ FastAPI + pgvector + 混合检索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从 0 到 1 设计、多模块架构、RAG 工程化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术前谈话 / 出院随访 AI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Hybrid Search + Graph RAG + 规则引擎 + 流式响应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临床 NLP、Prompt 工程、个性化生成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科研数据清洗与术语标准化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Schema-aware Retrieval + FHIR + SNOMED/ICD-10 映射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批量结构化、医疗术语标准、数据质量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医疗 SaaS 多租户合规底座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NextAuth + Supabase RLS + 审计日志 + 字段加密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HIPAA 合规技术、数据安全、生产交付</w:t>
            </w:r>
          </w:p>
        </w:tc>
      </w:tr>
    </w:tbl>
    <w:p>
      <w:pPr>
        <w:pStyle w:val="Heading1"/>
      </w:pPr>
      <w:r>
        <w:t xml:space="preserve">8. 风险与约束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PHI 红线</w:t>
      </w:r>
      <w:r>
        <w:t xml:space="preserve">：真实患者数据（PHI）严禁输入公开 AI 工具；真实 EMR 集成须由医院信息科合规审查、签署 BAA、沙盒验证后方可进行。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LLM 幻觉</w:t>
      </w:r>
      <w:r>
        <w:t xml:space="preserve">：临床输出须带来源引用与置信度，关键结论不允许无依据的自动判定。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术语一致性</w:t>
      </w:r>
      <w:r>
        <w:t xml:space="preserve">：医疗术语标准（编码版本、字典）需锁定版本，避免抽取结果漂移。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成本可控</w:t>
      </w:r>
      <w:r>
        <w:t xml:space="preserve">：大批量科研清洗的 Token 消耗需预算告警与缓存策略。</w:t>
      </w:r>
    </w:p>
    <w:p>
      <w:pPr>
        <w:spacing w:before="240"/>
      </w:pPr>
      <w:r>
        <w:rPr>
          <w:color w:val="999999"/>
          <w:sz w:val="18"/>
          <w:szCs w:val="18"/>
        </w:rPr>
        <w:t xml:space="preserve">—— 文档结束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999999"/>
        <w:sz w:val="16"/>
        <w:szCs w:val="16"/>
      </w:rPr>
      <w:t xml:space="preserve">Clinical AI Workbench ·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240"/>
      <w:jc w:val="center"/>
    </w:pPr>
    <w:rPr>
      <w:rFonts w:ascii="Times New Roman" w:cs="Times New Roman" w:eastAsia="思源黑体" w:hAnsi="Times New Roman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00"/>
      <w:outlineLvl w:val="0"/>
    </w:pPr>
    <w:rPr>
      <w:rFonts w:ascii="Times New Roman" w:cs="Times New Roman" w:eastAsia="思源黑体" w:hAnsi="Times New Rom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思源黑体" w:hAnsi="Times New Roman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思源黑体" w:hAnsi="Times New Roman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2026-08-25T02:20:32.122Z</dcterms:created>
  <dcterms:modified xsi:type="dcterms:W3CDTF">2026-08-25T02:20:32.122Z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{"Label":"1","ContentProducer":"001191440300708461136T1WFUO","ProduceID":"98ab289c62e0ea257d0fc75e9fc867dc-PHuh","ReservedCode1":"{\"Type\":\" TC260PG\",\"Version\":1,\"Bindings\":[{\"Type\":\"soft\",\"AlgID\":\"sm3\",\"Value\":\"980c84b2e51e64c72923a9e9a9e7ef36fe3ae775de87d30bd648fd93d5c145db\"},{\"Type\":\"hash\",\"AlgID\":\"sm3\",\"Value\":\"10c3a638156d1cbaf5f56d0ab54cf230f4b84a79dbb46dc46c26b337b638db88\"}],\"PubSD\":[{\"Type\":\"DS\",\"AlgID\":\"sm2\",\"TBSData\":{\"Type\":\"Binding\",\"BType\":\"hash\"},\"Signature\":\"3045022005edbabfeb8ade9431fde5cd73772ce42b808b63f14725536b7436b2c7806739022100aa0e5e1e5d6cb247445de467639fd6bacd04fea6fd1084ae8523529438f2df3c\"},{\"Type\":\"PubKey\",\"AlgID\":\"sm2\",\"KeyValue\":\"0407f79b28a17a752b3aae4305c98b48978213832729a2571850b1310b2bc9fe8fee039ccf25ebfeac27502414d9fcef792d777183c98893d226171c2f7a3289a2\"}],\"Extension\":{\"Timestamp\":1787624453,\"KeyVersion\":\"v1-TxLeOmf7bqU223\"}}","ContentPropagator":"001191440300708461136T1WFUO","PropagateID":"98ab289c62e0ea257d0fc75e9fc867dc-PHuh","ReservedCode2":"{\"Type\":\" TC260PG\",\"Version\":1,\"Bindings\":[{\"Type\":\"soft\",\"AlgID\":\"sm3\",\"Value\":\"980c84b2e51e64c72923a9e9a9e7ef36fe3ae775de87d30bd648fd93d5c145db\"},{\"Type\":\"hash\",\"AlgID\":\"sm3\",\"Value\":\"10c3a638156d1cbaf5f56d0ab54cf230f4b84a79dbb46dc46c26b337b638db88\"}],\"PubSD\":[{\"Type\":\"DS\",\"AlgID\":\"sm2\",\"TBSData\":{\"Type\":\"Binding\",\"BType\":\"hash\"},\"Signature\":\"304402205a51b0fa364166543db40fbf45d4919abbb8dd1da5439a921b537b5e4b968d1602205e0967ec36805f6142abb5682ec9e3101470ddba8de007ad59daa9be7bcfa7f5\"},{\"Type\":\"PubKey\",\"AlgID\":\"sm2\",\"KeyValue\":\"0407f79b28a17a752b3aae4305c98b48978213832729a2571850b1310b2bc9fe8fee039ccf25ebfeac27502414d9fcef792d777183c98893d226171c2f7a3289a2\"}],\"Extension\":{\"Timestamp\":1787624453,\"KeyVersion\":\"v1-TxLeOmf7bqU223\"}}"}</vt:lpwstr>
  </property>
</Properties>
</file>