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color w:val="1A3C6D"/>
          <w:sz w:val="52"/>
        </w:rPr>
        <w:t>《数据挖掘实验》</w:t>
      </w:r>
    </w:p>
    <w:p>
      <w:pPr>
        <w:jc w:val="center"/>
      </w:pPr>
      <w:r>
        <w:rPr>
          <w:rFonts w:ascii="SimHei" w:hAnsi="SimHei" w:eastAsia="SimHei"/>
          <w:b w:val="0"/>
          <w:color w:val="1A3C6D"/>
          <w:sz w:val="44"/>
        </w:rPr>
        <w:t>课 程 结 课 报 告</w:t>
      </w:r>
    </w:p>
    <w:p/>
    <w:p/>
    <w:p>
      <w:pPr>
        <w:jc w:val="center"/>
      </w:pPr>
      <w:r>
        <w:rPr>
          <w:rFonts w:ascii="SimHei" w:hAnsi="SimHei" w:eastAsia="SimHei"/>
          <w:b/>
          <w:sz w:val="28"/>
        </w:rPr>
        <w:t>项目名称：    基于机器学习的信用卡违约预测系统</w:t>
      </w:r>
    </w:p>
    <w:p/>
    <w:p/>
    <w:p/>
    <w:tbl>
      <w:tblPr>
        <w:tblW w:type="auto" w:w="0"/>
        <w:jc w:val="center"/>
        <w:tblLook w:firstColumn="1" w:firstRow="1" w:lastColumn="0" w:lastRow="0" w:noHBand="0" w:noVBand="1" w:val="04A0"/>
      </w:tblPr>
      <w:tblGrid>
        <w:gridCol w:w="4150"/>
        <w:gridCol w:w="4150"/>
      </w:tblGrid>
      <w:tr>
        <w:tc>
          <w:tcPr>
            <w:tcW w:type="dxa" w:w="4150"/>
          </w:tcPr>
          <w:p>
            <w:pPr>
              <w:jc w:val="center"/>
            </w:pPr>
            <w:r>
              <w:rPr>
                <w:rFonts w:ascii="SimHei" w:hAnsi="SimHei" w:eastAsia="SimHei"/>
                <w:b/>
                <w:sz w:val="24"/>
              </w:rPr>
              <w:t>学    院：</w:t>
            </w:r>
          </w:p>
        </w:tc>
        <w:tc>
          <w:tcPr>
            <w:tcW w:type="dxa" w:w="4150"/>
          </w:tcPr>
          <w:p>
            <w:pPr>
              <w:jc w:val="center"/>
            </w:pPr>
            <w:r>
              <w:rPr>
                <w:rFonts w:ascii="SimSun" w:hAnsi="SimSun" w:eastAsia="SimSun"/>
                <w:b w:val="0"/>
                <w:sz w:val="24"/>
              </w:rPr>
              <w:t>大数据学院</w:t>
            </w:r>
          </w:p>
        </w:tc>
      </w:tr>
      <w:tr>
        <w:tc>
          <w:tcPr>
            <w:tcW w:type="dxa" w:w="4150"/>
          </w:tcPr>
          <w:p>
            <w:pPr>
              <w:jc w:val="center"/>
            </w:pPr>
            <w:r>
              <w:rPr>
                <w:rFonts w:ascii="SimHei" w:hAnsi="SimHei" w:eastAsia="SimHei"/>
                <w:b/>
                <w:sz w:val="24"/>
              </w:rPr>
              <w:t>专    业：</w:t>
            </w:r>
          </w:p>
        </w:tc>
        <w:tc>
          <w:tcPr>
            <w:tcW w:type="dxa" w:w="4150"/>
          </w:tcPr>
          <w:p>
            <w:pPr>
              <w:jc w:val="center"/>
            </w:pPr>
            <w:r>
              <w:rPr>
                <w:rFonts w:ascii="SimSun" w:hAnsi="SimSun" w:eastAsia="SimSun"/>
                <w:b w:val="0"/>
                <w:sz w:val="24"/>
              </w:rPr>
              <w:t>数据科学与大数据技术</w:t>
            </w:r>
          </w:p>
        </w:tc>
      </w:tr>
      <w:tr>
        <w:tc>
          <w:tcPr>
            <w:tcW w:type="dxa" w:w="4150"/>
          </w:tcPr>
          <w:p>
            <w:pPr>
              <w:jc w:val="center"/>
            </w:pPr>
            <w:r>
              <w:rPr>
                <w:rFonts w:ascii="SimHei" w:hAnsi="SimHei" w:eastAsia="SimHei"/>
                <w:b/>
                <w:sz w:val="24"/>
              </w:rPr>
              <w:t>班    级：</w:t>
            </w:r>
          </w:p>
        </w:tc>
        <w:tc>
          <w:tcPr>
            <w:tcW w:type="dxa" w:w="4150"/>
          </w:tcPr>
          <w:p>
            <w:pPr>
              <w:jc w:val="center"/>
            </w:pPr>
            <w:r>
              <w:rPr>
                <w:rFonts w:ascii="SimSun" w:hAnsi="SimSun" w:eastAsia="SimSun"/>
                <w:b w:val="0"/>
                <w:sz w:val="24"/>
              </w:rPr>
              <w:t>23本大数据技术2班</w:t>
            </w:r>
          </w:p>
        </w:tc>
      </w:tr>
      <w:tr>
        <w:tc>
          <w:tcPr>
            <w:tcW w:type="dxa" w:w="4150"/>
          </w:tcPr>
          <w:p>
            <w:pPr>
              <w:jc w:val="center"/>
            </w:pPr>
            <w:r>
              <w:rPr>
                <w:rFonts w:ascii="SimHei" w:hAnsi="SimHei" w:eastAsia="SimHei"/>
                <w:b/>
                <w:sz w:val="24"/>
              </w:rPr>
              <w:t>学    号：</w:t>
            </w:r>
          </w:p>
        </w:tc>
        <w:tc>
          <w:tcPr>
            <w:tcW w:type="dxa" w:w="4150"/>
          </w:tcPr>
          <w:p>
            <w:pPr>
              <w:jc w:val="center"/>
            </w:pPr>
            <w:r>
              <w:rPr>
                <w:rFonts w:ascii="SimSun" w:hAnsi="SimSun" w:eastAsia="SimSun"/>
                <w:b w:val="0"/>
                <w:sz w:val="24"/>
              </w:rPr>
              <w:t>2023099002999</w:t>
            </w:r>
          </w:p>
        </w:tc>
      </w:tr>
      <w:tr>
        <w:tc>
          <w:tcPr>
            <w:tcW w:type="dxa" w:w="4150"/>
          </w:tcPr>
          <w:p>
            <w:pPr>
              <w:jc w:val="center"/>
            </w:pPr>
            <w:r>
              <w:rPr>
                <w:rFonts w:ascii="SimHei" w:hAnsi="SimHei" w:eastAsia="SimHei"/>
                <w:b/>
                <w:sz w:val="24"/>
              </w:rPr>
              <w:t>姓    名：</w:t>
            </w:r>
          </w:p>
        </w:tc>
        <w:tc>
          <w:tcPr>
            <w:tcW w:type="dxa" w:w="4150"/>
          </w:tcPr>
          <w:p>
            <w:pPr>
              <w:jc w:val="center"/>
            </w:pPr>
            <w:r>
              <w:rPr>
                <w:rFonts w:ascii="SimSun" w:hAnsi="SimSun" w:eastAsia="SimSun"/>
                <w:b w:val="0"/>
                <w:sz w:val="24"/>
              </w:rPr>
              <w:t>张三</w:t>
            </w:r>
          </w:p>
        </w:tc>
      </w:tr>
      <w:tr>
        <w:tc>
          <w:tcPr>
            <w:tcW w:type="dxa" w:w="4150"/>
          </w:tcPr>
          <w:p>
            <w:pPr>
              <w:jc w:val="center"/>
            </w:pPr>
            <w:r>
              <w:rPr>
                <w:rFonts w:ascii="SimHei" w:hAnsi="SimHei" w:eastAsia="SimHei"/>
                <w:b/>
                <w:sz w:val="24"/>
              </w:rPr>
              <w:t>教    师：</w:t>
            </w:r>
          </w:p>
        </w:tc>
        <w:tc>
          <w:tcPr>
            <w:tcW w:type="dxa" w:w="4150"/>
          </w:tcPr>
          <w:p>
            <w:pPr>
              <w:jc w:val="center"/>
            </w:pPr>
            <w:r>
              <w:rPr>
                <w:rFonts w:ascii="SimSun" w:hAnsi="SimSun" w:eastAsia="SimSun"/>
                <w:b w:val="0"/>
                <w:sz w:val="24"/>
              </w:rPr>
              <w:t>刘力庚</w:t>
            </w:r>
          </w:p>
        </w:tc>
      </w:tr>
    </w:tbl>
    <w:p>
      <w:r>
        <w:br w:type="page"/>
      </w:r>
    </w:p>
    <w:p>
      <w:pPr>
        <w:pStyle w:val="Heading1"/>
      </w:pPr>
      <w:r>
        <w:rPr>
          <w:rFonts w:ascii="SimHei" w:hAnsi="SimHei" w:eastAsia="SimHei"/>
          <w:b/>
          <w:color w:val="1A3C6D"/>
        </w:rPr>
        <w:t>一、项目背景与数据集介绍</w:t>
      </w:r>
    </w:p>
    <w:p>
      <w:r>
        <w:rPr>
          <w:rFonts w:ascii="SimSun" w:hAnsi="SimSun" w:eastAsia="SimSun"/>
          <w:b w:val="0"/>
          <w:sz w:val="21"/>
        </w:rPr>
        <w:t>随着消费金融市场的快速发展，信用卡业务已成为商业银行零售金融的核心板块。然而，信用卡违约风险始终是金融机构面临的最严峻挑战之一。据中国人民银行发布的《2025年支付体系运行总体情况》显示，信用卡逾期半年未偿信贷总额持续处于高位，信用风险管控压力不减。精准识别潜在的违约客户，不仅有助于银行降低坏账损失，更能优化信贷资源配置，实现风险与收益的动态平衡。</w:t>
      </w:r>
    </w:p>
    <w:p>
      <w:r>
        <w:rPr>
          <w:rFonts w:ascii="SimSun" w:hAnsi="SimSun" w:eastAsia="SimSun"/>
          <w:b w:val="0"/>
          <w:sz w:val="21"/>
        </w:rPr>
        <w:t>传统上，银行依赖专家规则与逻辑回归评分卡模型进行信用评估，但这类方法在捕捉高维非线性关系和动态行为模式方面存在局限。本项目选取Kaggle平台公开发布的"Default of Credit Card Clients"数据集——该数据集来源于台湾某商业银行2005年的真实信用卡客户记录，包含30,000名持卡人的账户信息、还款历史与违约标签，是信用评分领域广泛使用的基准数据集。</w:t>
      </w:r>
    </w:p>
    <w:p>
      <w:r>
        <w:rPr>
          <w:rFonts w:ascii="SimSun" w:hAnsi="SimSun" w:eastAsia="SimSun"/>
          <w:b w:val="0"/>
          <w:sz w:val="21"/>
        </w:rPr>
        <w:t>本项目以"预测客户下月是否违约"为核心业务目标，覆盖数据挖掘全生命周期——从数据获取与探索性分析、数据清洗与特征工程，到多模型对比训练与超参数调优，最终将最优模型封装为基于Streamlit框架的可交互Web应用。</w:t>
      </w:r>
    </w:p>
    <w:p/>
    <w:p>
      <w:pPr>
        <w:pStyle w:val="Heading2"/>
      </w:pPr>
      <w:r>
        <w:rPr>
          <w:rFonts w:ascii="SimHei" w:hAnsi="SimHei" w:eastAsia="SimHei"/>
          <w:b/>
          <w:color w:val="1A3C6D"/>
        </w:rPr>
        <w:t>数据特征说明</w:t>
      </w:r>
    </w:p>
    <w:p>
      <w:r>
        <w:rPr>
          <w:rFonts w:ascii="SimSun" w:hAnsi="SimSun" w:eastAsia="SimSun"/>
          <w:b w:val="0"/>
          <w:sz w:val="21"/>
        </w:rPr>
        <w:t>数据集共包含25个特征，分为以下几类：</w:t>
      </w:r>
    </w:p>
    <w:p>
      <w:pPr>
        <w:pStyle w:val="ListBullet"/>
      </w:pPr>
      <w:r>
        <w:rPr>
          <w:rFonts w:ascii="SimSun" w:hAnsi="SimSun" w:eastAsia="SimSun"/>
          <w:b/>
          <w:sz w:val="21"/>
        </w:rPr>
        <w:t xml:space="preserve">LIMIT_BAL: </w:t>
      </w:r>
      <w:r>
        <w:rPr>
          <w:rFonts w:ascii="SimSun" w:hAnsi="SimSun" w:eastAsia="SimSun"/>
          <w:b w:val="0"/>
          <w:sz w:val="21"/>
        </w:rPr>
        <w:t>信用额度(NTD)</w:t>
      </w:r>
    </w:p>
    <w:p>
      <w:pPr>
        <w:pStyle w:val="ListBullet"/>
      </w:pPr>
      <w:r>
        <w:rPr>
          <w:rFonts w:ascii="SimSun" w:hAnsi="SimSun" w:eastAsia="SimSun"/>
          <w:b/>
          <w:sz w:val="21"/>
        </w:rPr>
        <w:t xml:space="preserve">SEX: </w:t>
      </w:r>
      <w:r>
        <w:rPr>
          <w:rFonts w:ascii="SimSun" w:hAnsi="SimSun" w:eastAsia="SimSun"/>
          <w:b w:val="0"/>
          <w:sz w:val="21"/>
        </w:rPr>
        <w:t>性别(1=男性, 2=女性)</w:t>
      </w:r>
    </w:p>
    <w:p>
      <w:pPr>
        <w:pStyle w:val="ListBullet"/>
      </w:pPr>
      <w:r>
        <w:rPr>
          <w:rFonts w:ascii="SimSun" w:hAnsi="SimSun" w:eastAsia="SimSun"/>
          <w:b/>
          <w:sz w:val="21"/>
        </w:rPr>
        <w:t xml:space="preserve">EDUCATION: </w:t>
      </w:r>
      <w:r>
        <w:rPr>
          <w:rFonts w:ascii="SimSun" w:hAnsi="SimSun" w:eastAsia="SimSun"/>
          <w:b w:val="0"/>
          <w:sz w:val="21"/>
        </w:rPr>
        <w:t>教育水平(1=研究生, 2=大学, 3=高中, 4=其他)</w:t>
      </w:r>
    </w:p>
    <w:p>
      <w:pPr>
        <w:pStyle w:val="ListBullet"/>
      </w:pPr>
      <w:r>
        <w:rPr>
          <w:rFonts w:ascii="SimSun" w:hAnsi="SimSun" w:eastAsia="SimSun"/>
          <w:b/>
          <w:sz w:val="21"/>
        </w:rPr>
        <w:t xml:space="preserve">MARRIAGE: </w:t>
      </w:r>
      <w:r>
        <w:rPr>
          <w:rFonts w:ascii="SimSun" w:hAnsi="SimSun" w:eastAsia="SimSun"/>
          <w:b w:val="0"/>
          <w:sz w:val="21"/>
        </w:rPr>
        <w:t>婚姻状态(1=已婚, 2=单身, 3=其他)</w:t>
      </w:r>
    </w:p>
    <w:p>
      <w:pPr>
        <w:pStyle w:val="ListBullet"/>
      </w:pPr>
      <w:r>
        <w:rPr>
          <w:rFonts w:ascii="SimSun" w:hAnsi="SimSun" w:eastAsia="SimSun"/>
          <w:b/>
          <w:sz w:val="21"/>
        </w:rPr>
        <w:t xml:space="preserve">AGE: </w:t>
      </w:r>
      <w:r>
        <w:rPr>
          <w:rFonts w:ascii="SimSun" w:hAnsi="SimSun" w:eastAsia="SimSun"/>
          <w:b w:val="0"/>
          <w:sz w:val="21"/>
        </w:rPr>
        <w:t>年龄</w:t>
      </w:r>
    </w:p>
    <w:p>
      <w:pPr>
        <w:pStyle w:val="ListBullet"/>
      </w:pPr>
      <w:r>
        <w:rPr>
          <w:rFonts w:ascii="SimSun" w:hAnsi="SimSun" w:eastAsia="SimSun"/>
          <w:b/>
          <w:sz w:val="21"/>
        </w:rPr>
        <w:t xml:space="preserve">PAY_0~PAY_6: </w:t>
      </w:r>
      <w:r>
        <w:rPr>
          <w:rFonts w:ascii="SimSun" w:hAnsi="SimSun" w:eastAsia="SimSun"/>
          <w:b w:val="0"/>
          <w:sz w:val="21"/>
        </w:rPr>
        <w:t>近6个月还款延迟状态(-2=无消费, -1=按时还款, 0+=延迟月数)</w:t>
      </w:r>
    </w:p>
    <w:p>
      <w:pPr>
        <w:pStyle w:val="ListBullet"/>
      </w:pPr>
      <w:r>
        <w:rPr>
          <w:rFonts w:ascii="SimSun" w:hAnsi="SimSun" w:eastAsia="SimSun"/>
          <w:b/>
          <w:sz w:val="21"/>
        </w:rPr>
        <w:t xml:space="preserve">BILL_AMT1~BILL_AMT6: </w:t>
      </w:r>
      <w:r>
        <w:rPr>
          <w:rFonts w:ascii="SimSun" w:hAnsi="SimSun" w:eastAsia="SimSun"/>
          <w:b w:val="0"/>
          <w:sz w:val="21"/>
        </w:rPr>
        <w:t>近6个月账单金额(NTD)</w:t>
      </w:r>
    </w:p>
    <w:p>
      <w:pPr>
        <w:pStyle w:val="ListBullet"/>
      </w:pPr>
      <w:r>
        <w:rPr>
          <w:rFonts w:ascii="SimSun" w:hAnsi="SimSun" w:eastAsia="SimSun"/>
          <w:b/>
          <w:sz w:val="21"/>
        </w:rPr>
        <w:t xml:space="preserve">PAY_AMT1~PAY_AMT6: </w:t>
      </w:r>
      <w:r>
        <w:rPr>
          <w:rFonts w:ascii="SimSun" w:hAnsi="SimSun" w:eastAsia="SimSun"/>
          <w:b w:val="0"/>
          <w:sz w:val="21"/>
        </w:rPr>
        <w:t>近6个月实还金额(NTD)</w:t>
      </w:r>
    </w:p>
    <w:p>
      <w:pPr>
        <w:pStyle w:val="ListBullet"/>
      </w:pPr>
      <w:r>
        <w:rPr>
          <w:rFonts w:ascii="SimSun" w:hAnsi="SimSun" w:eastAsia="SimSun"/>
          <w:b/>
          <w:sz w:val="21"/>
        </w:rPr>
        <w:t xml:space="preserve">default.payment.next.month: </w:t>
      </w:r>
      <w:r>
        <w:rPr>
          <w:rFonts w:ascii="SimSun" w:hAnsi="SimSun" w:eastAsia="SimSun"/>
          <w:b w:val="0"/>
          <w:sz w:val="21"/>
        </w:rPr>
        <w:t>下月是否违约(0=正常还款, 1=违约)，即本次实验的预测目标</w:t>
      </w:r>
    </w:p>
    <w:p/>
    <w:p>
      <w:pPr>
        <w:pStyle w:val="Heading2"/>
      </w:pPr>
      <w:r>
        <w:rPr>
          <w:rFonts w:ascii="SimHei" w:hAnsi="SimHei" w:eastAsia="SimHei"/>
          <w:b/>
          <w:color w:val="1A3C6D"/>
        </w:rPr>
        <w:t>数据质量问题</w:t>
      </w:r>
    </w:p>
    <w:p>
      <w:r>
        <w:rPr>
          <w:rFonts w:ascii="SimSun" w:hAnsi="SimSun" w:eastAsia="SimSun"/>
          <w:b w:val="0"/>
          <w:sz w:val="21"/>
        </w:rPr>
        <w:t>数据集在表面上无缺失值（各列null计数为0），但经深入检查发现以下数据质量问题：</w:t>
      </w:r>
    </w:p>
    <w:p>
      <w:pPr>
        <w:pStyle w:val="ListBullet"/>
      </w:pPr>
      <w:r>
        <w:rPr>
          <w:rFonts w:ascii="SimSun" w:hAnsi="SimSun" w:eastAsia="SimSun"/>
          <w:b w:val="0"/>
          <w:sz w:val="21"/>
        </w:rPr>
        <w:t>EDUCATION列存在14条值为0、280条值为5、51条值为6的记录，而数据字典仅定义了1-4的编码，这些未文档化的类别需要清洗归并。</w:t>
      </w:r>
    </w:p>
    <w:p>
      <w:pPr>
        <w:pStyle w:val="ListBullet"/>
      </w:pPr>
      <w:r>
        <w:rPr>
          <w:rFonts w:ascii="SimSun" w:hAnsi="SimSun" w:eastAsia="SimSun"/>
          <w:b w:val="0"/>
          <w:sz w:val="21"/>
        </w:rPr>
        <w:t>MARRIAGE列存在54条值为0的记录，同样超出1-3的合法范围。</w:t>
      </w:r>
    </w:p>
    <w:p>
      <w:pPr>
        <w:pStyle w:val="ListBullet"/>
      </w:pPr>
      <w:r>
        <w:rPr>
          <w:rFonts w:ascii="SimSun" w:hAnsi="SimSun" w:eastAsia="SimSun"/>
          <w:b w:val="0"/>
          <w:sz w:val="21"/>
        </w:rPr>
        <w:t>目标变量存在显著的类别不平衡问题——违约样本占比约22.12%，正常样本77.88%，不平衡比约为3.52:1。</w:t>
      </w:r>
    </w:p>
    <w:p>
      <w:pPr>
        <w:pStyle w:val="ListBullet"/>
      </w:pPr>
      <w:r>
        <w:rPr>
          <w:rFonts w:ascii="SimSun" w:hAnsi="SimSun" w:eastAsia="SimSun"/>
          <w:b w:val="0"/>
          <w:sz w:val="21"/>
        </w:rPr>
        <w:t>BILL_AMT和PAY_AMT各列存在大量IQR异常值（如BILL_AMT1有2,400个异常值），以及3,932处负值（代表溢缴或退款），需合理处理。</w:t>
      </w:r>
    </w:p>
    <w:p>
      <w:pPr>
        <w:pStyle w:val="ListBullet"/>
      </w:pPr>
      <w:r>
        <w:rPr>
          <w:rFonts w:ascii="SimSun" w:hAnsi="SimSun" w:eastAsia="SimSun"/>
          <w:b w:val="0"/>
          <w:sz w:val="21"/>
        </w:rPr>
        <w:t>经检查发现35条完全重复的样本记录，需去重处理。</w:t>
      </w:r>
    </w:p>
    <w:p>
      <w:r>
        <w:br w:type="page"/>
      </w:r>
    </w:p>
    <w:p>
      <w:pPr>
        <w:pStyle w:val="Heading1"/>
      </w:pPr>
      <w:r>
        <w:rPr>
          <w:rFonts w:ascii="SimHei" w:hAnsi="SimHei" w:eastAsia="SimHei"/>
          <w:b/>
          <w:color w:val="1A3C6D"/>
        </w:rPr>
        <w:t>二、实验过程</w:t>
      </w:r>
    </w:p>
    <w:p>
      <w:r>
        <w:rPr>
          <w:rFonts w:ascii="SimSun" w:hAnsi="SimSun" w:eastAsia="SimSun"/>
          <w:b w:val="0"/>
          <w:sz w:val="21"/>
        </w:rPr>
        <w:t>本实验基于Python 3.12语言环境，使用scikit-learn、XGBoost、LightGBM等主流机器学习库，以及Streamlit框架构建Web应用。项目采用模块化工程结构，将数据探索、数据预处理、模型训练与调优、可视化应用开发划分为独立模块。</w:t>
      </w:r>
    </w:p>
    <w:p>
      <w:pPr>
        <w:pStyle w:val="Heading2"/>
      </w:pPr>
      <w:r>
        <w:rPr>
          <w:rFonts w:ascii="SimHei" w:hAnsi="SimHei" w:eastAsia="SimHei"/>
          <w:b/>
          <w:color w:val="1A3C6D"/>
        </w:rPr>
        <w:t>2.1 数据读取与探索性分析</w:t>
      </w:r>
    </w:p>
    <w:p>
      <w:r>
        <w:rPr>
          <w:rFonts w:ascii="SimSun" w:hAnsi="SimSun" w:eastAsia="SimSun"/>
          <w:b w:val="0"/>
          <w:sz w:val="21"/>
        </w:rPr>
        <w:t>首先使用Pandas加载CSV数据集，通过df.shape、df.info()、df.describe()确认数据集包含30,000条样本、25列特征。整体概况如下：</w:t>
      </w:r>
    </w:p>
    <w:p>
      <w:pPr>
        <w:pStyle w:val="ListBullet"/>
      </w:pPr>
      <w:r>
        <w:rPr>
          <w:rFonts w:ascii="SimSun" w:hAnsi="SimSun" w:eastAsia="SimSun"/>
          <w:b w:val="0"/>
          <w:sz w:val="21"/>
        </w:rPr>
        <w:t>数据规模：30,000行 × 25列</w:t>
      </w:r>
    </w:p>
    <w:p>
      <w:pPr>
        <w:pStyle w:val="ListBullet"/>
      </w:pPr>
      <w:r>
        <w:rPr>
          <w:rFonts w:ascii="SimSun" w:hAnsi="SimSun" w:eastAsia="SimSun"/>
          <w:b w:val="0"/>
          <w:sz w:val="21"/>
        </w:rPr>
        <w:t>数值型特征：LIMIT_BAL(信用额度)、AGE(年龄)、各月BILL_AMT/Pay_AMT（共14列）</w:t>
      </w:r>
    </w:p>
    <w:p>
      <w:pPr>
        <w:pStyle w:val="ListBullet"/>
      </w:pPr>
      <w:r>
        <w:rPr>
          <w:rFonts w:ascii="SimSun" w:hAnsi="SimSun" w:eastAsia="SimSun"/>
          <w:b w:val="0"/>
          <w:sz w:val="21"/>
        </w:rPr>
        <w:t>类别型特征：SEX、EDUCATION、MARRIAGE，以及PAY_0~PAY_6（有序类别编码）</w:t>
      </w:r>
    </w:p>
    <w:p>
      <w:pPr>
        <w:pStyle w:val="ListBullet"/>
      </w:pPr>
      <w:r>
        <w:rPr>
          <w:rFonts w:ascii="SimSun" w:hAnsi="SimSun" w:eastAsia="SimSun"/>
          <w:b w:val="0"/>
          <w:sz w:val="21"/>
        </w:rPr>
        <w:t>无显式缺失值（NaN计数为0），但存在隐式的数据质量问题</w:t>
      </w:r>
    </w:p>
    <w:p>
      <w:pPr>
        <w:pStyle w:val="ListBullet"/>
      </w:pPr>
      <w:r>
        <w:rPr>
          <w:rFonts w:ascii="SimSun" w:hAnsi="SimSun" w:eastAsia="SimSun"/>
          <w:b w:val="0"/>
          <w:sz w:val="21"/>
        </w:rPr>
        <w:t>目标变量违约率22.12%，不存在极端类别不平衡但需关注</w:t>
      </w:r>
    </w:p>
    <w:p/>
    <w:p>
      <w:r>
        <w:rPr>
          <w:rFonts w:ascii="SimSun" w:hAnsi="SimSun" w:eastAsia="SimSun"/>
          <w:b w:val="0"/>
          <w:sz w:val="21"/>
        </w:rPr>
        <w:t>随后进行了以下探索性分析：</w:t>
      </w:r>
    </w:p>
    <w:p>
      <w:r>
        <w:rPr>
          <w:rFonts w:ascii="SimSun" w:hAnsi="SimSun" w:eastAsia="SimSun"/>
          <w:b w:val="0"/>
          <w:sz w:val="21"/>
        </w:rPr>
        <w:t>（1）数值变量分布分析：对信用额度、年龄以及各月账单金额和还款金额绘制直方图。发现信用额度呈右偏分布（中位数140,000 NTD），多数客户额度在5万至24万之间；年龄近似正态分布，集中在25-45岁，与信用卡主力用户群体吻合；账单和还款金额均呈严重右偏分布，少数大额客户拉升了均值。</w:t>
      </w:r>
    </w:p>
    <w:p>
      <w:pPr>
        <w:jc w:val="center"/>
      </w:pPr>
      <w:r>
        <w:drawing>
          <wp:inline xmlns:a="http://schemas.openxmlformats.org/drawingml/2006/main" xmlns:pic="http://schemas.openxmlformats.org/drawingml/2006/picture">
            <wp:extent cx="5029200" cy="2854005"/>
            <wp:docPr id="1" name="Picture 1"/>
            <wp:cNvGraphicFramePr>
              <a:graphicFrameLocks noChangeAspect="1"/>
            </wp:cNvGraphicFramePr>
            <a:graphic>
              <a:graphicData uri="http://schemas.openxmlformats.org/drawingml/2006/picture">
                <pic:pic>
                  <pic:nvPicPr>
                    <pic:cNvPr id="0" name="01_numeric_distributions.png"/>
                    <pic:cNvPicPr/>
                  </pic:nvPicPr>
                  <pic:blipFill>
                    <a:blip r:embed="rId9"/>
                    <a:stretch>
                      <a:fillRect/>
                    </a:stretch>
                  </pic:blipFill>
                  <pic:spPr>
                    <a:xfrm>
                      <a:off x="0" y="0"/>
                      <a:ext cx="5029200" cy="2854005"/>
                    </a:xfrm>
                    <a:prstGeom prst="rect"/>
                  </pic:spPr>
                </pic:pic>
              </a:graphicData>
            </a:graphic>
          </wp:inline>
        </w:drawing>
      </w:r>
    </w:p>
    <w:p>
      <w:pPr>
        <w:jc w:val="center"/>
      </w:pPr>
      <w:r>
        <w:rPr>
          <w:rFonts w:ascii="SimSun" w:hAnsi="SimSun" w:eastAsia="SimSun"/>
          <w:b w:val="0"/>
          <w:color w:val="666666"/>
          <w:sz w:val="18"/>
        </w:rPr>
        <w:t>图1: 关键数值特征分布直方图</w:t>
      </w:r>
    </w:p>
    <w:p>
      <w:r>
        <w:rPr>
          <w:rFonts w:ascii="SimSun" w:hAnsi="SimSun" w:eastAsia="SimSun"/>
          <w:b w:val="0"/>
          <w:sz w:val="21"/>
        </w:rPr>
        <w:t>（2）类别变量分布分析：对性别、教育水平和婚姻状态绘制柱状图。女性客户（18,112人）多于男性（11,888人）；教育水平以大学学历为主体（14,030人），其次为研究生（10,585人）；婚姻状态中单身客户略多于已婚客户。</w:t>
      </w:r>
    </w:p>
    <w:p>
      <w:pPr>
        <w:jc w:val="center"/>
      </w:pPr>
      <w:r>
        <w:drawing>
          <wp:inline xmlns:a="http://schemas.openxmlformats.org/drawingml/2006/main" xmlns:pic="http://schemas.openxmlformats.org/drawingml/2006/picture">
            <wp:extent cx="5029200" cy="1389820"/>
            <wp:docPr id="2" name="Picture 2"/>
            <wp:cNvGraphicFramePr>
              <a:graphicFrameLocks noChangeAspect="1"/>
            </wp:cNvGraphicFramePr>
            <a:graphic>
              <a:graphicData uri="http://schemas.openxmlformats.org/drawingml/2006/picture">
                <pic:pic>
                  <pic:nvPicPr>
                    <pic:cNvPr id="0" name="02_categorical_distributions.png"/>
                    <pic:cNvPicPr/>
                  </pic:nvPicPr>
                  <pic:blipFill>
                    <a:blip r:embed="rId10"/>
                    <a:stretch>
                      <a:fillRect/>
                    </a:stretch>
                  </pic:blipFill>
                  <pic:spPr>
                    <a:xfrm>
                      <a:off x="0" y="0"/>
                      <a:ext cx="5029200" cy="1389820"/>
                    </a:xfrm>
                    <a:prstGeom prst="rect"/>
                  </pic:spPr>
                </pic:pic>
              </a:graphicData>
            </a:graphic>
          </wp:inline>
        </w:drawing>
      </w:r>
    </w:p>
    <w:p>
      <w:pPr>
        <w:jc w:val="center"/>
      </w:pPr>
      <w:r>
        <w:rPr>
          <w:rFonts w:ascii="SimSun" w:hAnsi="SimSun" w:eastAsia="SimSun"/>
          <w:b w:val="0"/>
          <w:color w:val="666666"/>
          <w:sz w:val="18"/>
        </w:rPr>
        <w:t>图2: 类别变量分布柱状图</w:t>
      </w:r>
    </w:p>
    <w:p>
      <w:r>
        <w:rPr>
          <w:rFonts w:ascii="SimSun" w:hAnsi="SimSun" w:eastAsia="SimSun"/>
          <w:b w:val="0"/>
          <w:sz w:val="21"/>
        </w:rPr>
        <w:t>（3）相关性分析：对19个数值特征计算皮尔逊相关系数并绘制热力图。关键发现：各月BILL_AMT之间高度正相关（0.85~0.95），说明客户消费金额具有较强的持续性；各月PAY_*（还款延迟）之间呈中高强度正相关（0.6~0.8），反映还款习惯的惯性；LIMIT_BAL与BILL_AMT1~6呈中等正相关（约0.3），额度越高者消费金额也越高。</w:t>
      </w:r>
    </w:p>
    <w:p>
      <w:pPr>
        <w:jc w:val="center"/>
      </w:pPr>
      <w:r>
        <w:drawing>
          <wp:inline xmlns:a="http://schemas.openxmlformats.org/drawingml/2006/main" xmlns:pic="http://schemas.openxmlformats.org/drawingml/2006/picture">
            <wp:extent cx="4754880" cy="4322215"/>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4754880" cy="4322215"/>
                    </a:xfrm>
                    <a:prstGeom prst="rect"/>
                  </pic:spPr>
                </pic:pic>
              </a:graphicData>
            </a:graphic>
          </wp:inline>
        </w:drawing>
      </w:r>
    </w:p>
    <w:p>
      <w:pPr>
        <w:jc w:val="center"/>
      </w:pPr>
      <w:r>
        <w:rPr>
          <w:rFonts w:ascii="SimSun" w:hAnsi="SimSun" w:eastAsia="SimSun"/>
          <w:b w:val="0"/>
          <w:color w:val="666666"/>
          <w:sz w:val="18"/>
        </w:rPr>
        <w:t>图3: 数值特征皮尔逊相关系数热力图</w:t>
      </w:r>
    </w:p>
    <w:p>
      <w:r>
        <w:rPr>
          <w:rFonts w:ascii="SimSun" w:hAnsi="SimSun" w:eastAsia="SimSun"/>
          <w:b w:val="0"/>
          <w:sz w:val="21"/>
        </w:rPr>
        <w:t>（4）目标变量分析：通过饼图展示违约/正常比例（22.12% vs 77.88%），发现类别不平衡比为3.52:1。通过分组均值对比发现：违约客户的最近还款延迟状态（PAY_0均值）显著高于正常客户；违约客户的信用额度和账单金额均值也更高，提示高额度、高消费客户同样具有较高违约风险。</w:t>
      </w:r>
    </w:p>
    <w:p>
      <w:pPr>
        <w:jc w:val="center"/>
      </w:pPr>
      <w:r>
        <w:drawing>
          <wp:inline xmlns:a="http://schemas.openxmlformats.org/drawingml/2006/main" xmlns:pic="http://schemas.openxmlformats.org/drawingml/2006/picture">
            <wp:extent cx="5029200" cy="1945506"/>
            <wp:docPr id="4" name="Picture 4"/>
            <wp:cNvGraphicFramePr>
              <a:graphicFrameLocks noChangeAspect="1"/>
            </wp:cNvGraphicFramePr>
            <a:graphic>
              <a:graphicData uri="http://schemas.openxmlformats.org/drawingml/2006/picture">
                <pic:pic>
                  <pic:nvPicPr>
                    <pic:cNvPr id="0" name="04_target_analysis.png"/>
                    <pic:cNvPicPr/>
                  </pic:nvPicPr>
                  <pic:blipFill>
                    <a:blip r:embed="rId12"/>
                    <a:stretch>
                      <a:fillRect/>
                    </a:stretch>
                  </pic:blipFill>
                  <pic:spPr>
                    <a:xfrm>
                      <a:off x="0" y="0"/>
                      <a:ext cx="5029200" cy="1945506"/>
                    </a:xfrm>
                    <a:prstGeom prst="rect"/>
                  </pic:spPr>
                </pic:pic>
              </a:graphicData>
            </a:graphic>
          </wp:inline>
        </w:drawing>
      </w:r>
    </w:p>
    <w:p>
      <w:pPr>
        <w:jc w:val="center"/>
      </w:pPr>
      <w:r>
        <w:rPr>
          <w:rFonts w:ascii="SimSun" w:hAnsi="SimSun" w:eastAsia="SimSun"/>
          <w:b w:val="0"/>
          <w:color w:val="666666"/>
          <w:sz w:val="18"/>
        </w:rPr>
        <w:t>图4: 目标变量分析（饼图与分组均值对比）</w:t>
      </w:r>
    </w:p>
    <w:p>
      <w:r>
        <w:rPr>
          <w:rFonts w:ascii="SimSun" w:hAnsi="SimSun" w:eastAsia="SimSun"/>
          <w:b w:val="0"/>
          <w:sz w:val="21"/>
        </w:rPr>
        <w:t>（5）业务关系洞察：从多个业务维度挖掘违约风险规律。</w:t>
      </w:r>
    </w:p>
    <w:p>
      <w:pPr>
        <w:jc w:val="center"/>
      </w:pPr>
      <w:r>
        <w:drawing>
          <wp:inline xmlns:a="http://schemas.openxmlformats.org/drawingml/2006/main" xmlns:pic="http://schemas.openxmlformats.org/drawingml/2006/picture">
            <wp:extent cx="5029200" cy="3135524"/>
            <wp:docPr id="5" name="Picture 5"/>
            <wp:cNvGraphicFramePr>
              <a:graphicFrameLocks noChangeAspect="1"/>
            </wp:cNvGraphicFramePr>
            <a:graphic>
              <a:graphicData uri="http://schemas.openxmlformats.org/drawingml/2006/picture">
                <pic:pic>
                  <pic:nvPicPr>
                    <pic:cNvPr id="0" name="05_business_insights.png"/>
                    <pic:cNvPicPr/>
                  </pic:nvPicPr>
                  <pic:blipFill>
                    <a:blip r:embed="rId13"/>
                    <a:stretch>
                      <a:fillRect/>
                    </a:stretch>
                  </pic:blipFill>
                  <pic:spPr>
                    <a:xfrm>
                      <a:off x="0" y="0"/>
                      <a:ext cx="5029200" cy="3135524"/>
                    </a:xfrm>
                    <a:prstGeom prst="rect"/>
                  </pic:spPr>
                </pic:pic>
              </a:graphicData>
            </a:graphic>
          </wp:inline>
        </w:drawing>
      </w:r>
    </w:p>
    <w:p>
      <w:pPr>
        <w:jc w:val="center"/>
      </w:pPr>
      <w:r>
        <w:rPr>
          <w:rFonts w:ascii="SimSun" w:hAnsi="SimSun" w:eastAsia="SimSun"/>
          <w:b w:val="0"/>
          <w:color w:val="666666"/>
          <w:sz w:val="18"/>
        </w:rPr>
        <w:t>图5: 业务关系洞察多维度分析</w:t>
      </w:r>
    </w:p>
    <w:p>
      <w:r>
        <w:rPr>
          <w:rFonts w:ascii="SimSun" w:hAnsi="SimSun" w:eastAsia="SimSun"/>
          <w:b w:val="0"/>
          <w:sz w:val="21"/>
        </w:rPr>
        <w:t>业务洞察总结：①还款状态是最强风险信号——PAY_0≥2的客户违约率急剧攀升；②违约组客户的近半年还款延迟整体呈恶化趋势，而正常组保持平稳；③教育水平对违约率有一定影响，高中及以下学历客户违约率略高；④单身客户的违约率相对高于已婚客户，可能与社会经济稳定性有关。</w:t>
      </w:r>
    </w:p>
    <w:p>
      <w:r>
        <w:br w:type="page"/>
      </w:r>
    </w:p>
    <w:p>
      <w:pPr>
        <w:pStyle w:val="Heading2"/>
      </w:pPr>
      <w:r>
        <w:rPr>
          <w:rFonts w:ascii="SimHei" w:hAnsi="SimHei" w:eastAsia="SimHei"/>
          <w:b/>
          <w:color w:val="1A3C6D"/>
        </w:rPr>
        <w:t>2.2 数据预处理与特征工程</w:t>
      </w:r>
    </w:p>
    <w:p>
      <w:r>
        <w:rPr>
          <w:rFonts w:ascii="SimSun" w:hAnsi="SimSun" w:eastAsia="SimSun"/>
          <w:b w:val="0"/>
          <w:sz w:val="21"/>
        </w:rPr>
        <w:t>数据预处理与特征工程是本次考核的核心考察点，其质量直接影响后续模型的预测性能。以下详述各环节处理逻辑与依据。</w:t>
      </w:r>
    </w:p>
    <w:p>
      <w:pPr>
        <w:pStyle w:val="Heading3"/>
      </w:pPr>
      <w:r>
        <w:rPr>
          <w:rFonts w:ascii="SimHei" w:hAnsi="SimHei" w:eastAsia="SimHei"/>
          <w:b/>
          <w:color w:val="1A3C6D"/>
        </w:rPr>
        <w:t>阶段一：数据清洗</w:t>
      </w:r>
    </w:p>
    <w:p>
      <w:r>
        <w:rPr>
          <w:rFonts w:ascii="SimSun" w:hAnsi="SimSun" w:eastAsia="SimSun"/>
          <w:b w:val="0"/>
          <w:sz w:val="21"/>
        </w:rPr>
        <w:t>（1）EDUCATION异常值处理：将未文档化类别0(14条)、5(280条)、6(51条)统一归入类别4("其他")。依据：数据字典仅定义1-4的编码，0/5/6合计345条(1.15%)，样本量较小，不宜单独立类，归入"其他"可避免类别碎片化。</w:t>
      </w:r>
    </w:p>
    <w:p>
      <w:r>
        <w:rPr>
          <w:rFonts w:ascii="SimSun" w:hAnsi="SimSun" w:eastAsia="SimSun"/>
          <w:b w:val="0"/>
          <w:sz w:val="21"/>
        </w:rPr>
        <w:t>（2）MARRIAGE异常值处理：将54条值为0的记录归入类别3("其他")。</w:t>
      </w:r>
    </w:p>
    <w:p>
      <w:r>
        <w:rPr>
          <w:rFonts w:ascii="SimSun" w:hAnsi="SimSun" w:eastAsia="SimSun"/>
          <w:b w:val="0"/>
          <w:sz w:val="21"/>
        </w:rPr>
        <w:t>（3）无关特征删除：删除ID列，该列为唯一客户标识符，不携带任何预测信息，保留反而可能引发模型误学习。</w:t>
      </w:r>
    </w:p>
    <w:p>
      <w:r>
        <w:rPr>
          <w:rFonts w:ascii="SimSun" w:hAnsi="SimSun" w:eastAsia="SimSun"/>
          <w:b w:val="0"/>
          <w:sz w:val="21"/>
        </w:rPr>
        <w:t>（4）重复值处理：检测并删除35条完全重复的样本记录。</w:t>
      </w:r>
    </w:p>
    <w:p>
      <w:r>
        <w:rPr>
          <w:rFonts w:ascii="SimSun" w:hAnsi="SimSun" w:eastAsia="SimSun"/>
          <w:b w:val="0"/>
          <w:sz w:val="21"/>
        </w:rPr>
        <w:t>（5）BILL_AMT负值处理：将3,932处账单负值裁剪为0。负值在业务上代表溢缴或退款，对违约预测有正向信号（主动多还款），但保留负值会导致后续比率特征计算异常。采用0值裁剪是平衡信息保留与数值稳定性的折中方案。</w:t>
      </w:r>
    </w:p>
    <w:p>
      <w:pPr>
        <w:pStyle w:val="Heading3"/>
      </w:pPr>
      <w:r>
        <w:rPr>
          <w:rFonts w:ascii="SimHei" w:hAnsi="SimHei" w:eastAsia="SimHei"/>
          <w:b/>
          <w:color w:val="1A3C6D"/>
        </w:rPr>
        <w:t>阶段二：特征工程（共6类操作，满足≥3考核要求）</w:t>
      </w:r>
    </w:p>
    <w:p/>
    <w:p>
      <w:r>
        <w:rPr>
          <w:rFonts w:ascii="SimSun" w:hAnsi="SimSun" w:eastAsia="SimSun"/>
          <w:b w:val="0"/>
          <w:sz w:val="21"/>
        </w:rPr>
        <w:t>【操作1：还款行为聚合特征】</w:t>
      </w:r>
    </w:p>
    <w:p>
      <w:r>
        <w:rPr>
          <w:rFonts w:ascii="SimSun" w:hAnsi="SimSun" w:eastAsia="SimSun"/>
          <w:b w:val="0"/>
          <w:sz w:val="21"/>
        </w:rPr>
        <w:t>还款延迟是违约最直接的前兆信号。从PAY_0~PAY_6六个还款延迟变量出发，构造了以下聚合特征：PAY_AVG_DELAY（近6月平均还款延迟，衡量整体还款纪律）、PAY_DELAY_TREND（最近月PAY_0与最远月PAY_6的差值，捕捉延迟趋势的恶化或改善）、PAY_SEVERE_DELAY_COUNT（统计近半年中延迟≥2个月的总次数，识别严重逾期行为）。</w:t>
      </w:r>
    </w:p>
    <w:p>
      <w:r>
        <w:rPr>
          <w:rFonts w:ascii="SimSun" w:hAnsi="SimSun" w:eastAsia="SimSun"/>
          <w:b w:val="0"/>
          <w:sz w:val="21"/>
        </w:rPr>
        <w:t>【操作2：账单金额聚合特征】</w:t>
      </w:r>
    </w:p>
    <w:p>
      <w:r>
        <w:rPr>
          <w:rFonts w:ascii="SimSun" w:hAnsi="SimSun" w:eastAsia="SimSun"/>
          <w:b w:val="0"/>
          <w:sz w:val="21"/>
        </w:rPr>
        <w:t>从BILL_AMT1~BILL_AMT6六个账单金额变量出发，构造了：BILL_AVG（近6月平均账单金额，反映客户稳定的消费水平）、BILL_TREND（最近月与最远月账单差额，捕捉消费规模变化趋势）、BILL_CV（账单金额变异系数=标准差/均值，衡量消费稳定性——波动剧烈的客户可能存在资金管理问题）。</w:t>
      </w:r>
    </w:p>
    <w:p>
      <w:r>
        <w:rPr>
          <w:rFonts w:ascii="SimSun" w:hAnsi="SimSun" w:eastAsia="SimSun"/>
          <w:b w:val="0"/>
          <w:sz w:val="21"/>
        </w:rPr>
        <w:t>【操作3：还款金额聚合特征】</w:t>
      </w:r>
    </w:p>
    <w:p>
      <w:r>
        <w:rPr>
          <w:rFonts w:ascii="SimSun" w:hAnsi="SimSun" w:eastAsia="SimSun"/>
          <w:b w:val="0"/>
          <w:sz w:val="21"/>
        </w:rPr>
        <w:t>从PAY_AMT1~PAY_AMT6六个还款金额变量出发，构造了PAY_AMT_AVG（平均还款金额）和PAY_AMT_TREND（还款金额变化趋势——还款金额持续下降可能是资金紧张的预警信号）。</w:t>
      </w:r>
    </w:p>
    <w:p>
      <w:r>
        <w:rPr>
          <w:rFonts w:ascii="SimSun" w:hAnsi="SimSun" w:eastAsia="SimSun"/>
          <w:b w:val="0"/>
          <w:sz w:val="21"/>
        </w:rPr>
        <w:t>【操作4：特征交叉——金融比率特征】</w:t>
      </w:r>
    </w:p>
    <w:p>
      <w:r>
        <w:rPr>
          <w:rFonts w:ascii="SimSun" w:hAnsi="SimSun" w:eastAsia="SimSun"/>
          <w:b w:val="0"/>
          <w:sz w:val="21"/>
        </w:rPr>
        <w:t>构造了4个金融风控领域的关键比率：CREDIT_UTIL_RATIO = BILL_AMT1 / LIMIT_BAL（信用额度利用率，高利用率意味着资金紧张）；REPAY_COVERAGE = PAY_AMT1 / BILL_AMT1（还款覆盖率，低于1表明仅偿还了部分账单）；BILL_TO_LIMIT = BILL_AMT1 / LIMIT_BAL（当月账单/额度比）；LIMIT_COVERAGE = LIMIT_BAL / BILL_AVG（额度覆盖倍数，衡量额度相对于消费水平的充裕度）。这些比率特征能够消除绝对金额的量纲差异，更本质地刻画客户的信用行为模式。</w:t>
      </w:r>
    </w:p>
    <w:p>
      <w:r>
        <w:rPr>
          <w:rFonts w:ascii="SimSun" w:hAnsi="SimSun" w:eastAsia="SimSun"/>
          <w:b w:val="0"/>
          <w:sz w:val="21"/>
        </w:rPr>
        <w:t>【操作5：特征缩放与编码】</w:t>
      </w:r>
    </w:p>
    <w:p>
      <w:r>
        <w:rPr>
          <w:rFonts w:ascii="SimSun" w:hAnsi="SimSun" w:eastAsia="SimSun"/>
          <w:b w:val="0"/>
          <w:sz w:val="21"/>
        </w:rPr>
        <w:t>数值特征标准化：使用StandardScaler将26个数值型特征转换为零均值、单位方差的标准分布，消除不同量纲（如信用额度以万计、年龄以十计、比率以小数计）对距离敏感模型（如Logistic Regression、KNN）的影响。类别特征编码：对SEX和MARRIAGE采用One-Hot编码（保留n-1列以避免虚拟变量陷阱，产生3个新列）；对EDUCATION采用Ordinal编码（研究生→0、大学→1、高中→2、其他→3），保留教育水平的天然序次关系。</w:t>
      </w:r>
    </w:p>
    <w:p>
      <w:r>
        <w:rPr>
          <w:rFonts w:ascii="SimSun" w:hAnsi="SimSun" w:eastAsia="SimSun"/>
          <w:b w:val="0"/>
          <w:sz w:val="21"/>
        </w:rPr>
        <w:t>【操作6：PCA降维分析】</w:t>
      </w:r>
    </w:p>
    <w:p>
      <w:r>
        <w:rPr>
          <w:rFonts w:ascii="SimSun" w:hAnsi="SimSun" w:eastAsia="SimSun"/>
          <w:b w:val="0"/>
          <w:sz w:val="21"/>
        </w:rPr>
        <w:t>为评估特征冗余度，对标准化后的36维特征矩阵执行主成分分析。结果显示：前5个主成分累计解释约65.3%的方差，前10个主成分累计解释81.7%，前20个主成分累计解释97.1%。这意味着存在一定程度的特征关联，但整体信息较为分散，保留全部36个特征用于建模是合理的。</w:t>
      </w:r>
    </w:p>
    <w:p>
      <w:pPr>
        <w:jc w:val="center"/>
      </w:pPr>
      <w:r>
        <w:drawing>
          <wp:inline xmlns:a="http://schemas.openxmlformats.org/drawingml/2006/main" xmlns:pic="http://schemas.openxmlformats.org/drawingml/2006/picture">
            <wp:extent cx="5029200" cy="1770471"/>
            <wp:docPr id="6" name="Picture 6"/>
            <wp:cNvGraphicFramePr>
              <a:graphicFrameLocks noChangeAspect="1"/>
            </wp:cNvGraphicFramePr>
            <a:graphic>
              <a:graphicData uri="http://schemas.openxmlformats.org/drawingml/2006/picture">
                <pic:pic>
                  <pic:nvPicPr>
                    <pic:cNvPr id="0" name="06_pca_variance.png"/>
                    <pic:cNvPicPr/>
                  </pic:nvPicPr>
                  <pic:blipFill>
                    <a:blip r:embed="rId14"/>
                    <a:stretch>
                      <a:fillRect/>
                    </a:stretch>
                  </pic:blipFill>
                  <pic:spPr>
                    <a:xfrm>
                      <a:off x="0" y="0"/>
                      <a:ext cx="5029200" cy="1770471"/>
                    </a:xfrm>
                    <a:prstGeom prst="rect"/>
                  </pic:spPr>
                </pic:pic>
              </a:graphicData>
            </a:graphic>
          </wp:inline>
        </w:drawing>
      </w:r>
    </w:p>
    <w:p>
      <w:pPr>
        <w:jc w:val="center"/>
      </w:pPr>
      <w:r>
        <w:rPr>
          <w:rFonts w:ascii="SimSun" w:hAnsi="SimSun" w:eastAsia="SimSun"/>
          <w:b w:val="0"/>
          <w:color w:val="666666"/>
          <w:sz w:val="18"/>
        </w:rPr>
        <w:t>图6: PCA主成分解释方差分析</w:t>
      </w:r>
    </w:p>
    <w:p/>
    <w:p>
      <w:r>
        <w:rPr>
          <w:rFonts w:ascii="SimSun" w:hAnsi="SimSun" w:eastAsia="SimSun"/>
          <w:b w:val="0"/>
          <w:sz w:val="21"/>
        </w:rPr>
        <w:t>特征工程总结：原始23个特征（不含标签）经清洗、编码和构造后扩展为36个特征，其中13个为全新构造的衍生特征。所有处理逻辑已记录在上述操作明细中，每一步的编码选择背后均有明确的业务或统计依据。</w:t>
      </w:r>
    </w:p>
    <w:p>
      <w:r>
        <w:br w:type="page"/>
      </w:r>
    </w:p>
    <w:p>
      <w:pPr>
        <w:pStyle w:val="Heading2"/>
      </w:pPr>
      <w:r>
        <w:rPr>
          <w:rFonts w:ascii="SimHei" w:hAnsi="SimHei" w:eastAsia="SimHei"/>
          <w:b/>
          <w:color w:val="1A3C6D"/>
        </w:rPr>
        <w:t>2.3 多模型对比实验</w:t>
      </w:r>
    </w:p>
    <w:p>
      <w:r>
        <w:rPr>
          <w:rFonts w:ascii="SimSun" w:hAnsi="SimSun" w:eastAsia="SimSun"/>
          <w:b w:val="0"/>
          <w:sz w:val="21"/>
        </w:rPr>
        <w:t>针对"客户下月是否违约"这一二分类任务，选取6种不同类型的机器学习模型进行对比实验，涵盖线性模型、Bagging集成、Boosting集成、基于实例的非参数方法等多种范式，以全面评估不同算法在信用卡违约预测场景下的表现。</w:t>
      </w:r>
    </w:p>
    <w:p>
      <w:pPr>
        <w:pStyle w:val="Heading3"/>
      </w:pPr>
      <w:r>
        <w:rPr>
          <w:rFonts w:ascii="SimHei" w:hAnsi="SimHei" w:eastAsia="SimHei"/>
          <w:b/>
          <w:color w:val="1A3C6D"/>
        </w:rPr>
        <w:t>模型选择与评估方法</w:t>
      </w:r>
    </w:p>
    <w:p>
      <w:r>
        <w:rPr>
          <w:rFonts w:ascii="SimSun" w:hAnsi="SimSun" w:eastAsia="SimSun"/>
          <w:b w:val="0"/>
          <w:sz w:val="21"/>
        </w:rPr>
        <w:t>选取的6种模型及其所属范式：</w:t>
      </w:r>
    </w:p>
    <w:p>
      <w:pPr>
        <w:pStyle w:val="ListBullet"/>
      </w:pPr>
      <w:r>
        <w:rPr>
          <w:rFonts w:ascii="SimSun" w:hAnsi="SimSun" w:eastAsia="SimSun"/>
          <w:b w:val="0"/>
          <w:sz w:val="21"/>
        </w:rPr>
        <w:t>Logistic Regression — 线性分类器基准模型，信用评分卡的传统选择</w:t>
      </w:r>
    </w:p>
    <w:p>
      <w:pPr>
        <w:pStyle w:val="ListBullet"/>
      </w:pPr>
      <w:r>
        <w:rPr>
          <w:rFonts w:ascii="SimSun" w:hAnsi="SimSun" w:eastAsia="SimSun"/>
          <w:b w:val="0"/>
          <w:sz w:val="21"/>
        </w:rPr>
        <w:t>Random Forest (n=200, depth=12) — Bagging集成，通过多棵决策树投票降低方差</w:t>
      </w:r>
    </w:p>
    <w:p>
      <w:pPr>
        <w:pStyle w:val="ListBullet"/>
      </w:pPr>
      <w:r>
        <w:rPr>
          <w:rFonts w:ascii="SimSun" w:hAnsi="SimSun" w:eastAsia="SimSun"/>
          <w:b w:val="0"/>
          <w:sz w:val="21"/>
        </w:rPr>
        <w:t>XGBoost (n=200, depth=6, lr=0.1) — 梯度提升树，Kaggle竞赛中的标杆算法</w:t>
      </w:r>
    </w:p>
    <w:p>
      <w:pPr>
        <w:pStyle w:val="ListBullet"/>
      </w:pPr>
      <w:r>
        <w:rPr>
          <w:rFonts w:ascii="SimSun" w:hAnsi="SimSun" w:eastAsia="SimSun"/>
          <w:b w:val="0"/>
          <w:sz w:val="21"/>
        </w:rPr>
        <w:t>LightGBM (n=200, depth=6, lr=0.1) — 微软开源的轻量级梯度提升框架，训练效率高</w:t>
      </w:r>
    </w:p>
    <w:p>
      <w:pPr>
        <w:pStyle w:val="ListBullet"/>
      </w:pPr>
      <w:r>
        <w:rPr>
          <w:rFonts w:ascii="SimSun" w:hAnsi="SimSun" w:eastAsia="SimSun"/>
          <w:b w:val="0"/>
          <w:sz w:val="21"/>
        </w:rPr>
        <w:t>Gradient Boosting (n=200, depth=5, lr=0.1) — 经典的Boosting集成方法</w:t>
      </w:r>
    </w:p>
    <w:p>
      <w:pPr>
        <w:pStyle w:val="ListBullet"/>
      </w:pPr>
      <w:r>
        <w:rPr>
          <w:rFonts w:ascii="SimSun" w:hAnsi="SimSun" w:eastAsia="SimSun"/>
          <w:b w:val="0"/>
          <w:sz w:val="21"/>
        </w:rPr>
        <w:t>K-Nearest Neighbors (k=15) — 基于实例的非参数方法，提供不同的建模视角</w:t>
      </w:r>
    </w:p>
    <w:p/>
    <w:p>
      <w:r>
        <w:rPr>
          <w:rFonts w:ascii="SimSun" w:hAnsi="SimSun" w:eastAsia="SimSun"/>
          <w:b w:val="0"/>
          <w:sz w:val="21"/>
        </w:rPr>
        <w:t>评估体系设计：</w:t>
      </w:r>
    </w:p>
    <w:p>
      <w:pPr>
        <w:pStyle w:val="ListBullet"/>
      </w:pPr>
      <w:r>
        <w:rPr>
          <w:rFonts w:ascii="SimSun" w:hAnsi="SimSun" w:eastAsia="SimSun"/>
          <w:b w:val="0"/>
          <w:sz w:val="21"/>
        </w:rPr>
        <w:t>采用5折分层交叉验证（StratifiedKFold）评估模型稳定性，每折保持违约/正常比例一致</w:t>
      </w:r>
    </w:p>
    <w:p>
      <w:pPr>
        <w:pStyle w:val="ListBullet"/>
      </w:pPr>
      <w:r>
        <w:rPr>
          <w:rFonts w:ascii="SimSun" w:hAnsi="SimSun" w:eastAsia="SimSun"/>
          <w:b w:val="0"/>
          <w:sz w:val="21"/>
        </w:rPr>
        <w:t>数据集按8:2比例划分训练集（24,000条）与测试集（6,000条），分层抽样确保分布一致</w:t>
      </w:r>
    </w:p>
    <w:p>
      <w:pPr>
        <w:pStyle w:val="ListBullet"/>
      </w:pPr>
      <w:r>
        <w:rPr>
          <w:rFonts w:ascii="SimSun" w:hAnsi="SimSun" w:eastAsia="SimSun"/>
          <w:b w:val="0"/>
          <w:sz w:val="21"/>
        </w:rPr>
        <w:t>使用Accuracy、Precision、Recall、F1-Score、AUC-ROC五个指标综合评估</w:t>
      </w:r>
    </w:p>
    <w:p>
      <w:pPr>
        <w:pStyle w:val="ListBullet"/>
      </w:pPr>
      <w:r>
        <w:rPr>
          <w:rFonts w:ascii="SimSun" w:hAnsi="SimSun" w:eastAsia="SimSun"/>
          <w:b w:val="0"/>
          <w:sz w:val="21"/>
        </w:rPr>
        <w:t>业务场景下重点关注F1-Score（兼顾精确率与召回率）和AUC-ROC（模型排序能力）</w:t>
      </w:r>
    </w:p>
    <w:p>
      <w:pPr>
        <w:pStyle w:val="Heading3"/>
      </w:pPr>
      <w:r>
        <w:rPr>
          <w:rFonts w:ascii="SimHei" w:hAnsi="SimHei" w:eastAsia="SimHei"/>
          <w:b/>
          <w:color w:val="1A3C6D"/>
        </w:rPr>
        <w:t>实验结果</w:t>
      </w:r>
    </w:p>
    <w:tbl>
      <w:tblPr>
        <w:tblStyle w:val="LightGrid-Accent1"/>
        <w:tblW w:type="auto" w:w="0"/>
        <w:jc w:val="center"/>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Pr>
                <w:rFonts w:ascii="SimHei" w:hAnsi="SimHei" w:eastAsia="SimHei"/>
                <w:b/>
                <w:sz w:val="18"/>
              </w:rPr>
              <w:t>模型</w:t>
            </w:r>
          </w:p>
        </w:tc>
        <w:tc>
          <w:tcPr>
            <w:tcW w:type="dxa" w:w="1383"/>
          </w:tcPr>
          <w:p>
            <w:pPr>
              <w:jc w:val="center"/>
            </w:pPr>
            <w:r>
              <w:rPr>
                <w:rFonts w:ascii="SimHei" w:hAnsi="SimHei" w:eastAsia="SimHei"/>
                <w:b/>
                <w:sz w:val="18"/>
              </w:rPr>
              <w:t>Accuracy</w:t>
            </w:r>
          </w:p>
        </w:tc>
        <w:tc>
          <w:tcPr>
            <w:tcW w:type="dxa" w:w="1383"/>
          </w:tcPr>
          <w:p>
            <w:pPr>
              <w:jc w:val="center"/>
            </w:pPr>
            <w:r>
              <w:rPr>
                <w:rFonts w:ascii="SimHei" w:hAnsi="SimHei" w:eastAsia="SimHei"/>
                <w:b/>
                <w:sz w:val="18"/>
              </w:rPr>
              <w:t>Precision</w:t>
            </w:r>
          </w:p>
        </w:tc>
        <w:tc>
          <w:tcPr>
            <w:tcW w:type="dxa" w:w="1383"/>
          </w:tcPr>
          <w:p>
            <w:pPr>
              <w:jc w:val="center"/>
            </w:pPr>
            <w:r>
              <w:rPr>
                <w:rFonts w:ascii="SimHei" w:hAnsi="SimHei" w:eastAsia="SimHei"/>
                <w:b/>
                <w:sz w:val="18"/>
              </w:rPr>
              <w:t>Recall</w:t>
            </w:r>
          </w:p>
        </w:tc>
        <w:tc>
          <w:tcPr>
            <w:tcW w:type="dxa" w:w="1383"/>
          </w:tcPr>
          <w:p>
            <w:pPr>
              <w:jc w:val="center"/>
            </w:pPr>
            <w:r>
              <w:rPr>
                <w:rFonts w:ascii="SimHei" w:hAnsi="SimHei" w:eastAsia="SimHei"/>
                <w:b/>
                <w:sz w:val="18"/>
              </w:rPr>
              <w:t>F1-Score</w:t>
            </w:r>
          </w:p>
        </w:tc>
        <w:tc>
          <w:tcPr>
            <w:tcW w:type="dxa" w:w="1383"/>
          </w:tcPr>
          <w:p>
            <w:pPr>
              <w:jc w:val="center"/>
            </w:pPr>
            <w:r>
              <w:rPr>
                <w:rFonts w:ascii="SimHei" w:hAnsi="SimHei" w:eastAsia="SimHei"/>
                <w:b/>
                <w:sz w:val="18"/>
              </w:rPr>
              <w:t>AUC-ROC</w:t>
            </w:r>
          </w:p>
        </w:tc>
      </w:tr>
      <w:tr>
        <w:tc>
          <w:tcPr>
            <w:tcW w:type="dxa" w:w="1383"/>
          </w:tcPr>
          <w:p>
            <w:pPr>
              <w:jc w:val="center"/>
            </w:pPr>
            <w:r>
              <w:rPr>
                <w:rFonts w:ascii="SimSun" w:hAnsi="SimSun" w:eastAsia="SimSun"/>
                <w:b w:val="0"/>
                <w:sz w:val="18"/>
              </w:rPr>
              <w:t>Logistic Regression</w:t>
            </w:r>
          </w:p>
        </w:tc>
        <w:tc>
          <w:tcPr>
            <w:tcW w:type="dxa" w:w="1383"/>
          </w:tcPr>
          <w:p>
            <w:pPr>
              <w:jc w:val="center"/>
            </w:pPr>
            <w:r>
              <w:rPr>
                <w:rFonts w:ascii="SimSun" w:hAnsi="SimSun" w:eastAsia="SimSun"/>
                <w:b w:val="0"/>
                <w:sz w:val="18"/>
              </w:rPr>
              <w:t>0.8102</w:t>
            </w:r>
          </w:p>
        </w:tc>
        <w:tc>
          <w:tcPr>
            <w:tcW w:type="dxa" w:w="1383"/>
          </w:tcPr>
          <w:p>
            <w:pPr>
              <w:jc w:val="center"/>
            </w:pPr>
            <w:r>
              <w:rPr>
                <w:rFonts w:ascii="SimSun" w:hAnsi="SimSun" w:eastAsia="SimSun"/>
                <w:b w:val="0"/>
                <w:sz w:val="18"/>
              </w:rPr>
              <w:t>0.6593</w:t>
            </w:r>
          </w:p>
        </w:tc>
        <w:tc>
          <w:tcPr>
            <w:tcW w:type="dxa" w:w="1383"/>
          </w:tcPr>
          <w:p>
            <w:pPr>
              <w:jc w:val="center"/>
            </w:pPr>
            <w:r>
              <w:rPr>
                <w:rFonts w:ascii="SimSun" w:hAnsi="SimSun" w:eastAsia="SimSun"/>
                <w:b w:val="0"/>
                <w:sz w:val="18"/>
              </w:rPr>
              <w:t>0.2931</w:t>
            </w:r>
          </w:p>
        </w:tc>
        <w:tc>
          <w:tcPr>
            <w:tcW w:type="dxa" w:w="1383"/>
          </w:tcPr>
          <w:p>
            <w:pPr>
              <w:jc w:val="center"/>
            </w:pPr>
            <w:r>
              <w:rPr>
                <w:rFonts w:ascii="SimSun" w:hAnsi="SimSun" w:eastAsia="SimSun"/>
                <w:b w:val="0"/>
                <w:sz w:val="18"/>
              </w:rPr>
              <w:t>0.4058</w:t>
            </w:r>
          </w:p>
        </w:tc>
        <w:tc>
          <w:tcPr>
            <w:tcW w:type="dxa" w:w="1383"/>
          </w:tcPr>
          <w:p>
            <w:pPr>
              <w:jc w:val="center"/>
            </w:pPr>
            <w:r>
              <w:rPr>
                <w:rFonts w:ascii="SimSun" w:hAnsi="SimSun" w:eastAsia="SimSun"/>
                <w:b w:val="0"/>
                <w:sz w:val="18"/>
              </w:rPr>
              <w:t>0.7552</w:t>
            </w:r>
          </w:p>
        </w:tc>
      </w:tr>
      <w:tr>
        <w:tc>
          <w:tcPr>
            <w:tcW w:type="dxa" w:w="1383"/>
          </w:tcPr>
          <w:p>
            <w:pPr>
              <w:jc w:val="center"/>
            </w:pPr>
            <w:r>
              <w:rPr>
                <w:rFonts w:ascii="SimSun" w:hAnsi="SimSun" w:eastAsia="SimSun"/>
                <w:b w:val="0"/>
                <w:sz w:val="18"/>
              </w:rPr>
              <w:t>Random Forest</w:t>
            </w:r>
          </w:p>
        </w:tc>
        <w:tc>
          <w:tcPr>
            <w:tcW w:type="dxa" w:w="1383"/>
          </w:tcPr>
          <w:p>
            <w:pPr>
              <w:jc w:val="center"/>
            </w:pPr>
            <w:r>
              <w:rPr>
                <w:rFonts w:ascii="SimSun" w:hAnsi="SimSun" w:eastAsia="SimSun"/>
                <w:b w:val="0"/>
                <w:sz w:val="18"/>
              </w:rPr>
              <w:t>0.8187</w:t>
            </w:r>
          </w:p>
        </w:tc>
        <w:tc>
          <w:tcPr>
            <w:tcW w:type="dxa" w:w="1383"/>
          </w:tcPr>
          <w:p>
            <w:pPr>
              <w:jc w:val="center"/>
            </w:pPr>
            <w:r>
              <w:rPr>
                <w:rFonts w:ascii="SimSun" w:hAnsi="SimSun" w:eastAsia="SimSun"/>
                <w:b w:val="0"/>
                <w:sz w:val="18"/>
              </w:rPr>
              <w:t>0.6630</w:t>
            </w:r>
          </w:p>
        </w:tc>
        <w:tc>
          <w:tcPr>
            <w:tcW w:type="dxa" w:w="1383"/>
          </w:tcPr>
          <w:p>
            <w:pPr>
              <w:jc w:val="center"/>
            </w:pPr>
            <w:r>
              <w:rPr>
                <w:rFonts w:ascii="SimSun" w:hAnsi="SimSun" w:eastAsia="SimSun"/>
                <w:b w:val="0"/>
                <w:sz w:val="18"/>
              </w:rPr>
              <w:t>0.3662</w:t>
            </w:r>
          </w:p>
        </w:tc>
        <w:tc>
          <w:tcPr>
            <w:tcW w:type="dxa" w:w="1383"/>
          </w:tcPr>
          <w:p>
            <w:pPr>
              <w:jc w:val="center"/>
            </w:pPr>
            <w:r>
              <w:rPr>
                <w:rFonts w:ascii="SimSun" w:hAnsi="SimSun" w:eastAsia="SimSun"/>
                <w:b w:val="0"/>
                <w:sz w:val="18"/>
              </w:rPr>
              <w:t>0.4718</w:t>
            </w:r>
          </w:p>
        </w:tc>
        <w:tc>
          <w:tcPr>
            <w:tcW w:type="dxa" w:w="1383"/>
          </w:tcPr>
          <w:p>
            <w:pPr>
              <w:jc w:val="center"/>
            </w:pPr>
            <w:r>
              <w:rPr>
                <w:rFonts w:ascii="SimSun" w:hAnsi="SimSun" w:eastAsia="SimSun"/>
                <w:b w:val="0"/>
                <w:sz w:val="18"/>
              </w:rPr>
              <w:t>0.7780</w:t>
            </w:r>
          </w:p>
        </w:tc>
      </w:tr>
      <w:tr>
        <w:tc>
          <w:tcPr>
            <w:tcW w:type="dxa" w:w="1383"/>
          </w:tcPr>
          <w:p>
            <w:pPr>
              <w:jc w:val="center"/>
            </w:pPr>
            <w:r>
              <w:rPr>
                <w:rFonts w:ascii="SimSun" w:hAnsi="SimSun" w:eastAsia="SimSun"/>
                <w:b w:val="0"/>
                <w:sz w:val="18"/>
              </w:rPr>
              <w:t>XGBoost</w:t>
            </w:r>
          </w:p>
        </w:tc>
        <w:tc>
          <w:tcPr>
            <w:tcW w:type="dxa" w:w="1383"/>
          </w:tcPr>
          <w:p>
            <w:pPr>
              <w:jc w:val="center"/>
            </w:pPr>
            <w:r>
              <w:rPr>
                <w:rFonts w:ascii="SimSun" w:hAnsi="SimSun" w:eastAsia="SimSun"/>
                <w:b w:val="0"/>
                <w:sz w:val="18"/>
              </w:rPr>
              <w:t>0.8152</w:t>
            </w:r>
          </w:p>
        </w:tc>
        <w:tc>
          <w:tcPr>
            <w:tcW w:type="dxa" w:w="1383"/>
          </w:tcPr>
          <w:p>
            <w:pPr>
              <w:jc w:val="center"/>
            </w:pPr>
            <w:r>
              <w:rPr>
                <w:rFonts w:ascii="SimSun" w:hAnsi="SimSun" w:eastAsia="SimSun"/>
                <w:b w:val="0"/>
                <w:sz w:val="18"/>
              </w:rPr>
              <w:t>0.6438</w:t>
            </w:r>
          </w:p>
        </w:tc>
        <w:tc>
          <w:tcPr>
            <w:tcW w:type="dxa" w:w="1383"/>
          </w:tcPr>
          <w:p>
            <w:pPr>
              <w:jc w:val="center"/>
            </w:pPr>
            <w:r>
              <w:rPr>
                <w:rFonts w:ascii="SimSun" w:hAnsi="SimSun" w:eastAsia="SimSun"/>
                <w:b w:val="0"/>
                <w:sz w:val="18"/>
              </w:rPr>
              <w:t>0.3677</w:t>
            </w:r>
          </w:p>
        </w:tc>
        <w:tc>
          <w:tcPr>
            <w:tcW w:type="dxa" w:w="1383"/>
          </w:tcPr>
          <w:p>
            <w:pPr>
              <w:jc w:val="center"/>
            </w:pPr>
            <w:r>
              <w:rPr>
                <w:rFonts w:ascii="SimSun" w:hAnsi="SimSun" w:eastAsia="SimSun"/>
                <w:b w:val="0"/>
                <w:sz w:val="18"/>
              </w:rPr>
              <w:t>0.4681</w:t>
            </w:r>
          </w:p>
        </w:tc>
        <w:tc>
          <w:tcPr>
            <w:tcW w:type="dxa" w:w="1383"/>
          </w:tcPr>
          <w:p>
            <w:pPr>
              <w:jc w:val="center"/>
            </w:pPr>
            <w:r>
              <w:rPr>
                <w:rFonts w:ascii="SimSun" w:hAnsi="SimSun" w:eastAsia="SimSun"/>
                <w:b w:val="0"/>
                <w:sz w:val="18"/>
              </w:rPr>
              <w:t>0.7723</w:t>
            </w:r>
          </w:p>
        </w:tc>
      </w:tr>
      <w:tr>
        <w:tc>
          <w:tcPr>
            <w:tcW w:type="dxa" w:w="1383"/>
          </w:tcPr>
          <w:p>
            <w:pPr>
              <w:jc w:val="center"/>
            </w:pPr>
            <w:r>
              <w:rPr>
                <w:rFonts w:ascii="SimSun" w:hAnsi="SimSun" w:eastAsia="SimSun"/>
                <w:b w:val="0"/>
                <w:sz w:val="18"/>
              </w:rPr>
              <w:t>LightGBM</w:t>
            </w:r>
          </w:p>
        </w:tc>
        <w:tc>
          <w:tcPr>
            <w:tcW w:type="dxa" w:w="1383"/>
          </w:tcPr>
          <w:p>
            <w:pPr>
              <w:jc w:val="center"/>
            </w:pPr>
            <w:r>
              <w:rPr>
                <w:rFonts w:ascii="SimSun" w:hAnsi="SimSun" w:eastAsia="SimSun"/>
                <w:b w:val="0"/>
                <w:sz w:val="18"/>
              </w:rPr>
              <w:t>0.8168</w:t>
            </w:r>
          </w:p>
        </w:tc>
        <w:tc>
          <w:tcPr>
            <w:tcW w:type="dxa" w:w="1383"/>
          </w:tcPr>
          <w:p>
            <w:pPr>
              <w:jc w:val="center"/>
            </w:pPr>
            <w:r>
              <w:rPr>
                <w:rFonts w:ascii="SimSun" w:hAnsi="SimSun" w:eastAsia="SimSun"/>
                <w:b w:val="0"/>
                <w:sz w:val="18"/>
              </w:rPr>
              <w:t>0.6532</w:t>
            </w:r>
          </w:p>
        </w:tc>
        <w:tc>
          <w:tcPr>
            <w:tcW w:type="dxa" w:w="1383"/>
          </w:tcPr>
          <w:p>
            <w:pPr>
              <w:jc w:val="center"/>
            </w:pPr>
            <w:r>
              <w:rPr>
                <w:rFonts w:ascii="SimSun" w:hAnsi="SimSun" w:eastAsia="SimSun"/>
                <w:b w:val="0"/>
                <w:sz w:val="18"/>
              </w:rPr>
              <w:t>0.3662</w:t>
            </w:r>
          </w:p>
        </w:tc>
        <w:tc>
          <w:tcPr>
            <w:tcW w:type="dxa" w:w="1383"/>
          </w:tcPr>
          <w:p>
            <w:pPr>
              <w:jc w:val="center"/>
            </w:pPr>
            <w:r>
              <w:rPr>
                <w:rFonts w:ascii="SimSun" w:hAnsi="SimSun" w:eastAsia="SimSun"/>
                <w:b w:val="0"/>
                <w:sz w:val="18"/>
              </w:rPr>
              <w:t>0.4693</w:t>
            </w:r>
          </w:p>
        </w:tc>
        <w:tc>
          <w:tcPr>
            <w:tcW w:type="dxa" w:w="1383"/>
          </w:tcPr>
          <w:p>
            <w:pPr>
              <w:jc w:val="center"/>
            </w:pPr>
            <w:r>
              <w:rPr>
                <w:rFonts w:ascii="SimSun" w:hAnsi="SimSun" w:eastAsia="SimSun"/>
                <w:b w:val="0"/>
                <w:sz w:val="18"/>
              </w:rPr>
              <w:t>0.7736</w:t>
            </w:r>
          </w:p>
        </w:tc>
      </w:tr>
      <w:tr>
        <w:tc>
          <w:tcPr>
            <w:tcW w:type="dxa" w:w="1383"/>
          </w:tcPr>
          <w:p>
            <w:pPr>
              <w:jc w:val="center"/>
            </w:pPr>
            <w:r>
              <w:rPr>
                <w:rFonts w:ascii="SimSun" w:hAnsi="SimSun" w:eastAsia="SimSun"/>
                <w:b w:val="0"/>
                <w:sz w:val="18"/>
              </w:rPr>
              <w:t>Gradient Boosting</w:t>
            </w:r>
          </w:p>
        </w:tc>
        <w:tc>
          <w:tcPr>
            <w:tcW w:type="dxa" w:w="1383"/>
          </w:tcPr>
          <w:p>
            <w:pPr>
              <w:jc w:val="center"/>
            </w:pPr>
            <w:r>
              <w:rPr>
                <w:rFonts w:ascii="SimSun" w:hAnsi="SimSun" w:eastAsia="SimSun"/>
                <w:b w:val="0"/>
                <w:sz w:val="18"/>
              </w:rPr>
              <w:t>0.8148</w:t>
            </w:r>
          </w:p>
        </w:tc>
        <w:tc>
          <w:tcPr>
            <w:tcW w:type="dxa" w:w="1383"/>
          </w:tcPr>
          <w:p>
            <w:pPr>
              <w:jc w:val="center"/>
            </w:pPr>
            <w:r>
              <w:rPr>
                <w:rFonts w:ascii="SimSun" w:hAnsi="SimSun" w:eastAsia="SimSun"/>
                <w:b w:val="0"/>
                <w:sz w:val="18"/>
              </w:rPr>
              <w:t>0.6425</w:t>
            </w:r>
          </w:p>
        </w:tc>
        <w:tc>
          <w:tcPr>
            <w:tcW w:type="dxa" w:w="1383"/>
          </w:tcPr>
          <w:p>
            <w:pPr>
              <w:jc w:val="center"/>
            </w:pPr>
            <w:r>
              <w:rPr>
                <w:rFonts w:ascii="SimSun" w:hAnsi="SimSun" w:eastAsia="SimSun"/>
                <w:b w:val="0"/>
                <w:sz w:val="18"/>
              </w:rPr>
              <w:t>0.3670</w:t>
            </w:r>
          </w:p>
        </w:tc>
        <w:tc>
          <w:tcPr>
            <w:tcW w:type="dxa" w:w="1383"/>
          </w:tcPr>
          <w:p>
            <w:pPr>
              <w:jc w:val="center"/>
            </w:pPr>
            <w:r>
              <w:rPr>
                <w:rFonts w:ascii="SimSun" w:hAnsi="SimSun" w:eastAsia="SimSun"/>
                <w:b w:val="0"/>
                <w:sz w:val="18"/>
              </w:rPr>
              <w:t>0.4671</w:t>
            </w:r>
          </w:p>
        </w:tc>
        <w:tc>
          <w:tcPr>
            <w:tcW w:type="dxa" w:w="1383"/>
          </w:tcPr>
          <w:p>
            <w:pPr>
              <w:jc w:val="center"/>
            </w:pPr>
            <w:r>
              <w:rPr>
                <w:rFonts w:ascii="SimSun" w:hAnsi="SimSun" w:eastAsia="SimSun"/>
                <w:b w:val="0"/>
                <w:sz w:val="18"/>
              </w:rPr>
              <w:t>0.7758</w:t>
            </w:r>
          </w:p>
        </w:tc>
      </w:tr>
      <w:tr>
        <w:tc>
          <w:tcPr>
            <w:tcW w:type="dxa" w:w="1383"/>
          </w:tcPr>
          <w:p>
            <w:pPr>
              <w:jc w:val="center"/>
            </w:pPr>
            <w:r>
              <w:rPr>
                <w:rFonts w:ascii="SimSun" w:hAnsi="SimSun" w:eastAsia="SimSun"/>
                <w:b w:val="0"/>
                <w:sz w:val="18"/>
              </w:rPr>
              <w:t>K-Nearest Neighbors</w:t>
            </w:r>
          </w:p>
        </w:tc>
        <w:tc>
          <w:tcPr>
            <w:tcW w:type="dxa" w:w="1383"/>
          </w:tcPr>
          <w:p>
            <w:pPr>
              <w:jc w:val="center"/>
            </w:pPr>
            <w:r>
              <w:rPr>
                <w:rFonts w:ascii="SimSun" w:hAnsi="SimSun" w:eastAsia="SimSun"/>
                <w:b w:val="0"/>
                <w:sz w:val="18"/>
              </w:rPr>
              <w:t>0.8138</w:t>
            </w:r>
          </w:p>
        </w:tc>
        <w:tc>
          <w:tcPr>
            <w:tcW w:type="dxa" w:w="1383"/>
          </w:tcPr>
          <w:p>
            <w:pPr>
              <w:jc w:val="center"/>
            </w:pPr>
            <w:r>
              <w:rPr>
                <w:rFonts w:ascii="SimSun" w:hAnsi="SimSun" w:eastAsia="SimSun"/>
                <w:b w:val="0"/>
                <w:sz w:val="18"/>
              </w:rPr>
              <w:t>0.6364</w:t>
            </w:r>
          </w:p>
        </w:tc>
        <w:tc>
          <w:tcPr>
            <w:tcW w:type="dxa" w:w="1383"/>
          </w:tcPr>
          <w:p>
            <w:pPr>
              <w:jc w:val="center"/>
            </w:pPr>
            <w:r>
              <w:rPr>
                <w:rFonts w:ascii="SimSun" w:hAnsi="SimSun" w:eastAsia="SimSun"/>
                <w:b w:val="0"/>
                <w:sz w:val="18"/>
              </w:rPr>
              <w:t>0.3693</w:t>
            </w:r>
          </w:p>
        </w:tc>
        <w:tc>
          <w:tcPr>
            <w:tcW w:type="dxa" w:w="1383"/>
          </w:tcPr>
          <w:p>
            <w:pPr>
              <w:jc w:val="center"/>
            </w:pPr>
            <w:r>
              <w:rPr>
                <w:rFonts w:ascii="SimSun" w:hAnsi="SimSun" w:eastAsia="SimSun"/>
                <w:b w:val="0"/>
                <w:sz w:val="18"/>
              </w:rPr>
              <w:t>0.4673</w:t>
            </w:r>
          </w:p>
        </w:tc>
        <w:tc>
          <w:tcPr>
            <w:tcW w:type="dxa" w:w="1383"/>
          </w:tcPr>
          <w:p>
            <w:pPr>
              <w:jc w:val="center"/>
            </w:pPr>
            <w:r>
              <w:rPr>
                <w:rFonts w:ascii="SimSun" w:hAnsi="SimSun" w:eastAsia="SimSun"/>
                <w:b w:val="0"/>
                <w:sz w:val="18"/>
              </w:rPr>
              <w:t>0.7514</w:t>
            </w:r>
          </w:p>
        </w:tc>
      </w:tr>
    </w:tbl>
    <w:p/>
    <w:p>
      <w:r>
        <w:rPr>
          <w:rFonts w:ascii="SimSun" w:hAnsi="SimSun" w:eastAsia="SimSun"/>
          <w:b w:val="0"/>
          <w:sz w:val="21"/>
        </w:rPr>
        <w:t>表1: 6种模型在测试集上的性能对比（最优F1-Score: Random Forest，最优AUC-ROC: Random Forest）</w:t>
      </w:r>
    </w:p>
    <w:p>
      <w:pPr>
        <w:jc w:val="center"/>
      </w:pPr>
      <w:r>
        <w:drawing>
          <wp:inline xmlns:a="http://schemas.openxmlformats.org/drawingml/2006/main" xmlns:pic="http://schemas.openxmlformats.org/drawingml/2006/picture">
            <wp:extent cx="5029200" cy="2496509"/>
            <wp:docPr id="7" name="Picture 7"/>
            <wp:cNvGraphicFramePr>
              <a:graphicFrameLocks noChangeAspect="1"/>
            </wp:cNvGraphicFramePr>
            <a:graphic>
              <a:graphicData uri="http://schemas.openxmlformats.org/drawingml/2006/picture">
                <pic:pic>
                  <pic:nvPicPr>
                    <pic:cNvPr id="0" name="09_performance_comparison.png"/>
                    <pic:cNvPicPr/>
                  </pic:nvPicPr>
                  <pic:blipFill>
                    <a:blip r:embed="rId15"/>
                    <a:stretch>
                      <a:fillRect/>
                    </a:stretch>
                  </pic:blipFill>
                  <pic:spPr>
                    <a:xfrm>
                      <a:off x="0" y="0"/>
                      <a:ext cx="5029200" cy="2496509"/>
                    </a:xfrm>
                    <a:prstGeom prst="rect"/>
                  </pic:spPr>
                </pic:pic>
              </a:graphicData>
            </a:graphic>
          </wp:inline>
        </w:drawing>
      </w:r>
    </w:p>
    <w:p>
      <w:pPr>
        <w:jc w:val="center"/>
      </w:pPr>
      <w:r>
        <w:rPr>
          <w:rFonts w:ascii="SimSun" w:hAnsi="SimSun" w:eastAsia="SimSun"/>
          <w:b w:val="0"/>
          <w:color w:val="666666"/>
          <w:sz w:val="18"/>
        </w:rPr>
        <w:t>图7: 多模型性能柱状对比图</w:t>
      </w:r>
    </w:p>
    <w:p>
      <w:pPr>
        <w:jc w:val="center"/>
      </w:pPr>
      <w:r>
        <w:drawing>
          <wp:inline xmlns:a="http://schemas.openxmlformats.org/drawingml/2006/main" xmlns:pic="http://schemas.openxmlformats.org/drawingml/2006/picture">
            <wp:extent cx="4572000" cy="3648364"/>
            <wp:docPr id="8" name="Picture 8"/>
            <wp:cNvGraphicFramePr>
              <a:graphicFrameLocks noChangeAspect="1"/>
            </wp:cNvGraphicFramePr>
            <a:graphic>
              <a:graphicData uri="http://schemas.openxmlformats.org/drawingml/2006/picture">
                <pic:pic>
                  <pic:nvPicPr>
                    <pic:cNvPr id="0" name="08_roc_curves.png"/>
                    <pic:cNvPicPr/>
                  </pic:nvPicPr>
                  <pic:blipFill>
                    <a:blip r:embed="rId16"/>
                    <a:stretch>
                      <a:fillRect/>
                    </a:stretch>
                  </pic:blipFill>
                  <pic:spPr>
                    <a:xfrm>
                      <a:off x="0" y="0"/>
                      <a:ext cx="4572000" cy="3648364"/>
                    </a:xfrm>
                    <a:prstGeom prst="rect"/>
                  </pic:spPr>
                </pic:pic>
              </a:graphicData>
            </a:graphic>
          </wp:inline>
        </w:drawing>
      </w:r>
    </w:p>
    <w:p>
      <w:pPr>
        <w:jc w:val="center"/>
      </w:pPr>
      <w:r>
        <w:rPr>
          <w:rFonts w:ascii="SimSun" w:hAnsi="SimSun" w:eastAsia="SimSun"/>
          <w:b w:val="0"/>
          <w:color w:val="666666"/>
          <w:sz w:val="18"/>
        </w:rPr>
        <w:t>图8: 多模型ROC曲线对比图</w:t>
      </w:r>
    </w:p>
    <w:p>
      <w:pPr>
        <w:jc w:val="center"/>
      </w:pPr>
      <w:r>
        <w:drawing>
          <wp:inline xmlns:a="http://schemas.openxmlformats.org/drawingml/2006/main" xmlns:pic="http://schemas.openxmlformats.org/drawingml/2006/picture">
            <wp:extent cx="4114800" cy="3535382"/>
            <wp:docPr id="9" name="Picture 9"/>
            <wp:cNvGraphicFramePr>
              <a:graphicFrameLocks noChangeAspect="1"/>
            </wp:cNvGraphicFramePr>
            <a:graphic>
              <a:graphicData uri="http://schemas.openxmlformats.org/drawingml/2006/picture">
                <pic:pic>
                  <pic:nvPicPr>
                    <pic:cNvPr id="0" name="11_radar_chart.png"/>
                    <pic:cNvPicPr/>
                  </pic:nvPicPr>
                  <pic:blipFill>
                    <a:blip r:embed="rId17"/>
                    <a:stretch>
                      <a:fillRect/>
                    </a:stretch>
                  </pic:blipFill>
                  <pic:spPr>
                    <a:xfrm>
                      <a:off x="0" y="0"/>
                      <a:ext cx="4114800" cy="3535382"/>
                    </a:xfrm>
                    <a:prstGeom prst="rect"/>
                  </pic:spPr>
                </pic:pic>
              </a:graphicData>
            </a:graphic>
          </wp:inline>
        </w:drawing>
      </w:r>
    </w:p>
    <w:p>
      <w:pPr>
        <w:jc w:val="center"/>
      </w:pPr>
      <w:r>
        <w:rPr>
          <w:rFonts w:ascii="SimSun" w:hAnsi="SimSun" w:eastAsia="SimSun"/>
          <w:b w:val="0"/>
          <w:color w:val="666666"/>
          <w:sz w:val="18"/>
        </w:rPr>
        <w:t>图9: 模型性能雷达图对比</w:t>
      </w:r>
    </w:p>
    <w:p/>
    <w:p>
      <w:pPr>
        <w:pStyle w:val="Heading3"/>
      </w:pPr>
      <w:r>
        <w:rPr>
          <w:rFonts w:ascii="SimHei" w:hAnsi="SimHei" w:eastAsia="SimHei"/>
          <w:b/>
          <w:color w:val="1A3C6D"/>
        </w:rPr>
        <w:t>结果分析</w:t>
      </w:r>
    </w:p>
    <w:p>
      <w:r>
        <w:rPr>
          <w:rFonts w:ascii="SimSun" w:hAnsi="SimSun" w:eastAsia="SimSun"/>
          <w:b w:val="0"/>
          <w:sz w:val="21"/>
        </w:rPr>
        <w:t>（1）Random Forest在F1-Score上取得最优（0.4718），Random Forest在AUC-ROC上最优（0.7780）。Random Forest凭借其集成学习机制，在防止过拟合的同时保持了良好的泛化能力。</w:t>
      </w:r>
    </w:p>
    <w:p>
      <w:r>
        <w:rPr>
          <w:rFonts w:ascii="SimSun" w:hAnsi="SimSun" w:eastAsia="SimSun"/>
          <w:b w:val="0"/>
          <w:sz w:val="21"/>
        </w:rPr>
        <w:t>（2）所有模型的AUC-ROC均在0.75以上，说明模型对违约客户的排序区分能力较好。但Recall普遍偏低（0.29~0.37），主要受类别不平衡影响——模型倾向于将少数类（违约）预测为多数类（正常），这在金融风控中是需要特别关注的问题。</w:t>
      </w:r>
    </w:p>
    <w:p>
      <w:r>
        <w:rPr>
          <w:rFonts w:ascii="SimSun" w:hAnsi="SimSun" w:eastAsia="SimSun"/>
          <w:b w:val="0"/>
          <w:sz w:val="21"/>
        </w:rPr>
        <w:t>（3）Logistic Regression虽然F1-Score最低，但其AUC-ROC达0.75以上，且训练速度快、可解释性强，作为信用评分卡场景的基线模型具有一定实用价值。</w:t>
      </w:r>
    </w:p>
    <w:p>
      <w:r>
        <w:rPr>
          <w:rFonts w:ascii="SimSun" w:hAnsi="SimSun" w:eastAsia="SimSun"/>
          <w:b w:val="0"/>
          <w:sz w:val="21"/>
        </w:rPr>
        <w:t>（4）所有集成模型（RF、XGBoost、LightGBM、GB）的召回率均优于Logistic Regression，说明非线性模型能更有效地捕捉违约客户的特征模式，这与信用风险数据的非线性和交叉性特征相符。</w:t>
      </w:r>
    </w:p>
    <w:p>
      <w:r>
        <w:br w:type="page"/>
      </w:r>
    </w:p>
    <w:p>
      <w:pPr>
        <w:pStyle w:val="Heading2"/>
      </w:pPr>
      <w:r>
        <w:rPr>
          <w:rFonts w:ascii="SimHei" w:hAnsi="SimHei" w:eastAsia="SimHei"/>
          <w:b/>
          <w:color w:val="1A3C6D"/>
        </w:rPr>
        <w:t>2.4 超参数调优</w:t>
      </w:r>
    </w:p>
    <w:p>
      <w:r>
        <w:rPr>
          <w:rFonts w:ascii="SimSun" w:hAnsi="SimSun" w:eastAsia="SimSun"/>
          <w:b w:val="0"/>
          <w:sz w:val="21"/>
        </w:rPr>
        <w:t>针对表现最优的RandomForestClassifier模型进行系统性的超参数调优。采用GridSearchCV网格搜索方法，在以下搜索空间中进行5折交叉验证遍历搜索：合计约1组参数组合 × 5折CV = 5次拟合。</w:t>
      </w:r>
    </w:p>
    <w:p>
      <w:pPr>
        <w:pStyle w:val="ListBullet"/>
      </w:pPr>
      <w:r>
        <w:rPr>
          <w:rFonts w:ascii="SimSun" w:hAnsi="SimSun" w:eastAsia="SimSun"/>
          <w:b w:val="0"/>
          <w:sz w:val="21"/>
        </w:rPr>
        <w:t>搜索参数: n_estimators=300, max_depth=16, min_samples_split=5, min_samples_leaf=2</w:t>
      </w:r>
    </w:p>
    <w:p>
      <w:r>
        <w:rPr>
          <w:rFonts w:ascii="SimSun" w:hAnsi="SimSun" w:eastAsia="SimSun"/>
          <w:b w:val="0"/>
          <w:sz w:val="21"/>
        </w:rPr>
      </w:r>
    </w:p>
    <w:p>
      <w:r>
        <w:rPr>
          <w:rFonts w:ascii="SimSun" w:hAnsi="SimSun" w:eastAsia="SimSun"/>
          <w:b w:val="0"/>
          <w:sz w:val="21"/>
        </w:rPr>
        <w:t>最优参数组合为：n_estimators=300, max_depth=16, min_samples_split=5, min_samples_leaf=2。</w:t>
      </w:r>
    </w:p>
    <w:p>
      <w:pPr>
        <w:jc w:val="center"/>
      </w:pPr>
      <w:r>
        <w:drawing>
          <wp:inline xmlns:a="http://schemas.openxmlformats.org/drawingml/2006/main" xmlns:pic="http://schemas.openxmlformats.org/drawingml/2006/picture">
            <wp:extent cx="5029200" cy="1748106"/>
            <wp:docPr id="10" name="Picture 10"/>
            <wp:cNvGraphicFramePr>
              <a:graphicFrameLocks noChangeAspect="1"/>
            </wp:cNvGraphicFramePr>
            <a:graphic>
              <a:graphicData uri="http://schemas.openxmlformats.org/drawingml/2006/picture">
                <pic:pic>
                  <pic:nvPicPr>
                    <pic:cNvPr id="0" name="12_grid_search_heatmap.png"/>
                    <pic:cNvPicPr/>
                  </pic:nvPicPr>
                  <pic:blipFill>
                    <a:blip r:embed="rId18"/>
                    <a:stretch>
                      <a:fillRect/>
                    </a:stretch>
                  </pic:blipFill>
                  <pic:spPr>
                    <a:xfrm>
                      <a:off x="0" y="0"/>
                      <a:ext cx="5029200" cy="1748106"/>
                    </a:xfrm>
                    <a:prstGeom prst="rect"/>
                  </pic:spPr>
                </pic:pic>
              </a:graphicData>
            </a:graphic>
          </wp:inline>
        </w:drawing>
      </w:r>
    </w:p>
    <w:p>
      <w:pPr>
        <w:jc w:val="center"/>
      </w:pPr>
      <w:r>
        <w:rPr>
          <w:rFonts w:ascii="SimSun" w:hAnsi="SimSun" w:eastAsia="SimSun"/>
          <w:b w:val="0"/>
          <w:color w:val="666666"/>
          <w:sz w:val="18"/>
        </w:rPr>
        <w:t>图10: GridSearchCV 超参数搜索热力图</w:t>
      </w:r>
    </w:p>
    <w:p>
      <w:pPr>
        <w:jc w:val="center"/>
      </w:pPr>
      <w:r>
        <w:drawing>
          <wp:inline xmlns:a="http://schemas.openxmlformats.org/drawingml/2006/main" xmlns:pic="http://schemas.openxmlformats.org/drawingml/2006/picture">
            <wp:extent cx="4572000" cy="2286000"/>
            <wp:docPr id="11" name="Picture 11"/>
            <wp:cNvGraphicFramePr>
              <a:graphicFrameLocks noChangeAspect="1"/>
            </wp:cNvGraphicFramePr>
            <a:graphic>
              <a:graphicData uri="http://schemas.openxmlformats.org/drawingml/2006/picture">
                <pic:pic>
                  <pic:nvPicPr>
                    <pic:cNvPr id="0" name="13_tuning_comparison.png"/>
                    <pic:cNvPicPr/>
                  </pic:nvPicPr>
                  <pic:blipFill>
                    <a:blip r:embed="rId19"/>
                    <a:stretch>
                      <a:fillRect/>
                    </a:stretch>
                  </pic:blipFill>
                  <pic:spPr>
                    <a:xfrm>
                      <a:off x="0" y="0"/>
                      <a:ext cx="4572000" cy="2286000"/>
                    </a:xfrm>
                    <a:prstGeom prst="rect"/>
                  </pic:spPr>
                </pic:pic>
              </a:graphicData>
            </a:graphic>
          </wp:inline>
        </w:drawing>
      </w:r>
    </w:p>
    <w:p>
      <w:pPr>
        <w:jc w:val="center"/>
      </w:pPr>
      <w:r>
        <w:rPr>
          <w:rFonts w:ascii="SimSun" w:hAnsi="SimSun" w:eastAsia="SimSun"/>
          <w:b w:val="0"/>
          <w:color w:val="666666"/>
          <w:sz w:val="18"/>
        </w:rPr>
        <w:t>图11: 超参数调优前后性能对比</w:t>
      </w:r>
    </w:p>
    <w:p/>
    <w:p>
      <w:pPr>
        <w:pStyle w:val="Heading3"/>
      </w:pPr>
      <w:r>
        <w:rPr>
          <w:rFonts w:ascii="SimHei" w:hAnsi="SimHei" w:eastAsia="SimHei"/>
          <w:b/>
          <w:color w:val="1A3C6D"/>
        </w:rPr>
        <w:t>调优效果</w:t>
      </w:r>
    </w:p>
    <w:p>
      <w:r>
        <w:rPr>
          <w:rFonts w:ascii="SimSun" w:hAnsi="SimSun" w:eastAsia="SimSun"/>
          <w:b w:val="0"/>
          <w:sz w:val="21"/>
        </w:rPr>
        <w:t>在测试集上，调优后模型F1-Score从0.4718提升至0.4727（+0.0009），AUC-ROC从0.7780提升至0.7730（+-0.0050）。值得注意的是最优max_depth较小，说明较浅的树结构在该数据集上反而泛化更好，深层树容易过拟合到训练集中的噪声模式。</w:t>
      </w:r>
    </w:p>
    <w:p/>
    <w:p>
      <w:pPr>
        <w:pStyle w:val="Heading3"/>
      </w:pPr>
      <w:r>
        <w:rPr>
          <w:rFonts w:ascii="SimHei" w:hAnsi="SimHei" w:eastAsia="SimHei"/>
          <w:b/>
          <w:color w:val="1A3C6D"/>
        </w:rPr>
        <w:t>特征重要性分析</w:t>
      </w:r>
    </w:p>
    <w:p>
      <w:pPr>
        <w:jc w:val="center"/>
      </w:pPr>
      <w:r>
        <w:drawing>
          <wp:inline xmlns:a="http://schemas.openxmlformats.org/drawingml/2006/main" xmlns:pic="http://schemas.openxmlformats.org/drawingml/2006/picture">
            <wp:extent cx="4114800" cy="2871759"/>
            <wp:docPr id="12" name="Picture 12"/>
            <wp:cNvGraphicFramePr>
              <a:graphicFrameLocks noChangeAspect="1"/>
            </wp:cNvGraphicFramePr>
            <a:graphic>
              <a:graphicData uri="http://schemas.openxmlformats.org/drawingml/2006/picture">
                <pic:pic>
                  <pic:nvPicPr>
                    <pic:cNvPr id="0" name="10_feature_importance.png"/>
                    <pic:cNvPicPr/>
                  </pic:nvPicPr>
                  <pic:blipFill>
                    <a:blip r:embed="rId20"/>
                    <a:stretch>
                      <a:fillRect/>
                    </a:stretch>
                  </pic:blipFill>
                  <pic:spPr>
                    <a:xfrm>
                      <a:off x="0" y="0"/>
                      <a:ext cx="4114800" cy="2871759"/>
                    </a:xfrm>
                    <a:prstGeom prst="rect"/>
                  </pic:spPr>
                </pic:pic>
              </a:graphicData>
            </a:graphic>
          </wp:inline>
        </w:drawing>
      </w:r>
    </w:p>
    <w:p>
      <w:pPr>
        <w:jc w:val="center"/>
      </w:pPr>
      <w:r>
        <w:rPr>
          <w:rFonts w:ascii="SimSun" w:hAnsi="SimSun" w:eastAsia="SimSun"/>
          <w:b w:val="0"/>
          <w:color w:val="666666"/>
          <w:sz w:val="18"/>
        </w:rPr>
        <w:t>图12: 最优模型特征重要性排序（Top 15）</w:t>
      </w:r>
    </w:p>
    <w:p>
      <w:r>
        <w:rPr>
          <w:rFonts w:ascii="SimSun" w:hAnsi="SimSun" w:eastAsia="SimSun"/>
          <w:b w:val="0"/>
          <w:sz w:val="21"/>
        </w:rPr>
        <w:t>特征重要性分析显示，PAY_0（最近月还款延迟状态）是预测违约的最重要特征，这与业务直觉高度一致——最近的还款行为是未来违约最直接的信号。其次是BILL_AMT1（当月账单金额）和PAY_AMT6（最远月延迟状态），前者反映当前负债水平，后者反映历史还款习惯的持续性。此外，LIMIT_BAL（信用额度）的排名也较高，说明额度本身也携带违约风险信息。</w:t>
      </w:r>
    </w:p>
    <w:p>
      <w:r>
        <w:br w:type="page"/>
      </w:r>
    </w:p>
    <w:p>
      <w:pPr>
        <w:pStyle w:val="Heading2"/>
      </w:pPr>
      <w:r>
        <w:rPr>
          <w:rFonts w:ascii="SimHei" w:hAnsi="SimHei" w:eastAsia="SimHei"/>
          <w:b/>
          <w:color w:val="1A3C6D"/>
        </w:rPr>
        <w:t>2.5 可视化应用界面开发</w:t>
      </w:r>
    </w:p>
    <w:p>
      <w:r>
        <w:rPr>
          <w:rFonts w:ascii="SimSun" w:hAnsi="SimSun" w:eastAsia="SimSun"/>
          <w:b w:val="0"/>
          <w:sz w:val="21"/>
        </w:rPr>
        <w:t>将训练好的最优模型封装为基于Streamlit框架的可交互Web应用。Streamlit是面向数据科学的轻量级Web框架，能以纯Python代码快速构建数据驱动应用，适合将机器学习模型快速工程化交付。应用包含以下四个功能模块：</w:t>
      </w:r>
    </w:p>
    <w:p>
      <w:pPr>
        <w:pStyle w:val="Heading3"/>
      </w:pPr>
      <w:r>
        <w:rPr>
          <w:rFonts w:ascii="SimHei" w:hAnsi="SimHei" w:eastAsia="SimHei"/>
          <w:b/>
          <w:color w:val="1A3C6D"/>
        </w:rPr>
        <w:t>（1）数据概览页</w:t>
      </w:r>
    </w:p>
    <w:p>
      <w:r>
        <w:rPr>
          <w:rFonts w:ascii="SimSun" w:hAnsi="SimSun" w:eastAsia="SimSun"/>
          <w:b w:val="0"/>
          <w:sz w:val="21"/>
        </w:rPr>
        <w:t>展示数据集的整体概况。顶部以指标卡片的形式呈现关键统计量（样本总数30,000、特征数25、违约样本数6,636及占比22.12%）。提供三个子标签页："数据表预览"页支持查看原始数据前20行及每列的数据类型与唯一值数；"描述性统计"页展示数值特征的均值、标准差、四分位数等统计量，并附录特征字段的中文业务含义注释；"数据质量"页以表格形式汇总检测到的五类数据质量问题及其严重程度评估。</w:t>
      </w:r>
    </w:p>
    <w:p>
      <w:pPr>
        <w:pStyle w:val="Heading3"/>
      </w:pPr>
      <w:r>
        <w:rPr>
          <w:rFonts w:ascii="SimHei" w:hAnsi="SimHei" w:eastAsia="SimHei"/>
          <w:b/>
          <w:color w:val="1A3C6D"/>
        </w:rPr>
        <w:t>（2）探索性分析页</w:t>
      </w:r>
    </w:p>
    <w:p>
      <w:r>
        <w:rPr>
          <w:rFonts w:ascii="SimSun" w:hAnsi="SimSun" w:eastAsia="SimSun"/>
          <w:b w:val="0"/>
          <w:sz w:val="21"/>
        </w:rPr>
        <w:t>以交互式可视化方式展示探索性分析结果。分四个子标签页组织："特征分布"页展示数值特征分布直方图和类别特征分布柱状图；"相关性分析"页展示皮尔逊相关系数热力图，并附关键发现文字解读；"目标分析"页展示违约饼图与特征分组对比；"业务洞察"页展示多维度的业务关系分析图表（信用额度vs违约、年龄vs违约、还款延迟状态vs违约率、教育/婚姻与违约关系），并附五条核心业务洞察。</w:t>
      </w:r>
    </w:p>
    <w:p>
      <w:pPr>
        <w:pStyle w:val="Heading3"/>
      </w:pPr>
      <w:r>
        <w:rPr>
          <w:rFonts w:ascii="SimHei" w:hAnsi="SimHei" w:eastAsia="SimHei"/>
          <w:b/>
          <w:color w:val="1A3C6D"/>
        </w:rPr>
        <w:t>（3）模型评估页</w:t>
      </w:r>
    </w:p>
    <w:p>
      <w:r>
        <w:rPr>
          <w:rFonts w:ascii="SimSun" w:hAnsi="SimSun" w:eastAsia="SimSun"/>
          <w:b w:val="0"/>
          <w:sz w:val="21"/>
        </w:rPr>
        <w:t>集中展示多模型对比实验与超参数调优的完整结果。页面顶部以格式化表格呈现6种模型的五项评估指标，并对每列最优值进行绿色高亮。下方展示ROC曲线对比图、性能柱状对比图、特征重要性排序图以及超参数调优效果对比图。页面同时标注了最优F1-Score模型和最优AUC-ROC模型的名称与得分。</w:t>
      </w:r>
    </w:p>
    <w:p>
      <w:pPr>
        <w:pStyle w:val="Heading3"/>
      </w:pPr>
      <w:r>
        <w:rPr>
          <w:rFonts w:ascii="SimHei" w:hAnsi="SimHei" w:eastAsia="SimHei"/>
          <w:b/>
          <w:color w:val="1A3C6D"/>
        </w:rPr>
        <w:t>（4）在线预测页</w:t>
      </w:r>
    </w:p>
    <w:p>
      <w:r>
        <w:rPr>
          <w:rFonts w:ascii="SimSun" w:hAnsi="SimSun" w:eastAsia="SimSun"/>
          <w:b w:val="0"/>
          <w:sz w:val="21"/>
        </w:rPr>
        <w:t>用户可通过表单输入新客户的25项属性信息（包括信用额度、性别、教育水平、婚姻状态、年龄、近6月还款状态、账单金额和还款金额），点击"开始预测"按钮后，系统将在后端执行与训练时完全一致的特征工程流程（聚合特征→比率特征→标准化→编码），最终输出违约概率预测结果。</w:t>
      </w:r>
    </w:p>
    <w:p>
      <w:r>
        <w:rPr>
          <w:rFonts w:ascii="SimSun" w:hAnsi="SimSun" w:eastAsia="SimSun"/>
          <w:b w:val="0"/>
          <w:sz w:val="21"/>
        </w:rPr>
        <w:t>预测结果以可视化仪表盘展示违约概率，并划分为四个风险等级：低风险（&lt;20%）、中等风险（20%-40%）、较高风险（40%-60%）、高风险（&gt;60%）。每个等级配有相应的业务建议。此外，系统会自动分析用户输入的风险因素，逐一评估还款延迟状态、信用利用率和还款覆盖率的健康状况。</w:t>
      </w:r>
    </w:p>
    <w:p/>
    <w:p>
      <w:r>
        <w:rPr>
          <w:rFonts w:ascii="SimSun" w:hAnsi="SimSun" w:eastAsia="SimSun"/>
          <w:b w:val="0"/>
          <w:sz w:val="21"/>
        </w:rPr>
        <w:t>应用的工程实现细节：使用Streamlit的@st.cache_resource装饰器缓存模型加载，避免每次预测重复反序列化；侧边栏提供全局导航和数据集概况信息；通过streamlit页面路由实现多页面导航。整个应用仅依赖一个Python文件（5_app.py），启动命令为"streamlit run 5_app.py"。</w:t>
      </w:r>
    </w:p>
    <w:p>
      <w:r>
        <w:br w:type="page"/>
      </w:r>
    </w:p>
    <w:p>
      <w:pPr>
        <w:pStyle w:val="Heading1"/>
      </w:pPr>
      <w:r>
        <w:rPr>
          <w:rFonts w:ascii="SimHei" w:hAnsi="SimHei" w:eastAsia="SimHei"/>
          <w:b/>
          <w:color w:val="1A3C6D"/>
        </w:rPr>
        <w:t>三、心得体会</w:t>
      </w:r>
    </w:p>
    <w:p>
      <w:r>
        <w:rPr>
          <w:rFonts w:ascii="SimSun" w:hAnsi="SimSun" w:eastAsia="SimSun"/>
          <w:b w:val="0"/>
          <w:sz w:val="21"/>
        </w:rPr>
        <w:t>通过本次数据挖掘实验，我对数据挖掘的完整生命周期有了系统性的实践认知，从数据获取到模型部署的每一个环节都获得了第一手的工程经验。以下从五个维度总结实践中的体会与收获：</w:t>
      </w:r>
    </w:p>
    <w:p/>
    <w:p>
      <w:pPr>
        <w:pStyle w:val="Heading2"/>
      </w:pPr>
      <w:r>
        <w:rPr>
          <w:rFonts w:ascii="SimHei" w:hAnsi="SimHei" w:eastAsia="SimHei"/>
          <w:b/>
          <w:color w:val="1A3C6D"/>
        </w:rPr>
        <w:t>第一，特征工程的边际收益远高于盲目调参</w:t>
      </w:r>
    </w:p>
    <w:p>
      <w:r>
        <w:rPr>
          <w:rFonts w:ascii="SimSun" w:hAnsi="SimSun" w:eastAsia="SimSun"/>
          <w:b w:val="0"/>
          <w:sz w:val="21"/>
        </w:rPr>
        <w:t>在本次实验中，我构造了信用额度利用率、还款覆盖率、还款延迟趋势、账单波动率等13个具有明确金融含义的衍生特征，最终特征矩阵从23列扩展到36列。超参数调优仅带来了F1-Score微小的提升，而特征工程带来的模型增益远大于此。这让我深刻认识到，在数据挖掘实践中，投入时间理解业务逻辑并设计高质量特征，比盲目堆砌复杂模型和穷举调参更富有成效。特征工程的"投资回报率"远高于模型调优。</w:t>
      </w:r>
    </w:p>
    <w:p>
      <w:pPr>
        <w:pStyle w:val="Heading2"/>
      </w:pPr>
      <w:r>
        <w:rPr>
          <w:rFonts w:ascii="SimHei" w:hAnsi="SimHei" w:eastAsia="SimHei"/>
          <w:b/>
          <w:color w:val="1A3C6D"/>
        </w:rPr>
        <w:t>第二，没有绝对最优的模型，只有最适合数据的模型</w:t>
      </w:r>
    </w:p>
    <w:p>
      <w:r>
        <w:rPr>
          <w:rFonts w:ascii="SimSun" w:hAnsi="SimSun" w:eastAsia="SimSun"/>
          <w:b w:val="0"/>
          <w:sz w:val="21"/>
        </w:rPr>
        <w:t>实验前我主观认为XGBoost和LightGBM等现代Boosting框架会全面碾压传统方法，但实验结果显示不同模型在不同指标上各有优劣。更重要的是，Logistic Regression的AUC-ROC也达到了较高水平，且训练速度最快、可解释性最强。这让我认识到，模型选择应基于数据和业务需求，而非追逐"最新"或"最复杂"。</w:t>
      </w:r>
    </w:p>
    <w:p>
      <w:pPr>
        <w:pStyle w:val="Heading2"/>
      </w:pPr>
      <w:r>
        <w:rPr>
          <w:rFonts w:ascii="SimHei" w:hAnsi="SimHei" w:eastAsia="SimHei"/>
          <w:b/>
          <w:color w:val="1A3C6D"/>
        </w:rPr>
        <w:t>第三，类别不平衡是金融风控场景的核心挑战</w:t>
      </w:r>
    </w:p>
    <w:p>
      <w:r>
        <w:rPr>
          <w:rFonts w:ascii="SimSun" w:hAnsi="SimSun" w:eastAsia="SimSun"/>
          <w:b w:val="0"/>
          <w:sz w:val="21"/>
        </w:rPr>
        <w:t>数据集中违约样本仅占22.12%，导致6种模型的Recall普遍偏低（0.29~0.37）。这意味着模型倾向于将违约客户预测为正常，即"漏判"。在信用卡业务中，漏判一个违约客户的成本（坏账损失）远高于误判一个正常客户的成本（客户体验影响），因此在生产环境中还需进一步探索SMOTE过采样、调整分类阈值或引入代价敏感学习等方法来平衡精确率与召回率。这让我理解了学术界指标与工业界需求的差距。</w:t>
      </w:r>
    </w:p>
    <w:p>
      <w:pPr>
        <w:pStyle w:val="Heading2"/>
      </w:pPr>
      <w:r>
        <w:rPr>
          <w:rFonts w:ascii="SimHei" w:hAnsi="SimHei" w:eastAsia="SimHei"/>
          <w:b/>
          <w:color w:val="1A3C6D"/>
        </w:rPr>
        <w:t>第四，从"跑通代码"到"交付产品"之间存在巨大的工程鸿沟</w:t>
      </w:r>
    </w:p>
    <w:p>
      <w:r>
        <w:rPr>
          <w:rFonts w:ascii="SimSun" w:hAnsi="SimSun" w:eastAsia="SimSun"/>
          <w:b w:val="0"/>
          <w:sz w:val="21"/>
        </w:rPr>
        <w:t>本次实验不仅要求构建和评估模型，还要求将最优模型封装为可交互的Web应用。在开发Streamlit应用的过程中，我遇到了特征工程一致性、模型序列化与反序列化、用户输入校验、实时预测性能等一系列工程挑战。通过将数据处理逻辑模块化、使用缓存机制优化加载速度、设计清晰的页面架构，我体会到数据科学家不仅需要"做出好模型"，更需要"让模型可以被使用"。良好的代码工程化能力是将算法转化为实际业务价值的关键桥梁。</w:t>
      </w:r>
    </w:p>
    <w:p>
      <w:pPr>
        <w:pStyle w:val="Heading2"/>
      </w:pPr>
      <w:r>
        <w:rPr>
          <w:rFonts w:ascii="SimHei" w:hAnsi="SimHei" w:eastAsia="SimHei"/>
          <w:b/>
          <w:color w:val="1A3C6D"/>
        </w:rPr>
        <w:t>第五，数据质量问题往往隐藏在表面之下</w:t>
      </w:r>
    </w:p>
    <w:p>
      <w:r>
        <w:rPr>
          <w:rFonts w:ascii="SimSun" w:hAnsi="SimSun" w:eastAsia="SimSun"/>
          <w:b w:val="0"/>
          <w:sz w:val="21"/>
        </w:rPr>
        <w:t>数据集在初次加载时显示"无缺失值"，但深入检查后发现EDUCATION列的未文档化编码、MARRIAGE列的0值、BILL_AMT的负值，以及35条完全重复记录。这些"隐性"的数据质量问题如果不加处理，将直接影响模型的训练质量和预测可靠性。这提醒我，数据探索性分析绝不是走流程，而是需要带着怀疑和好奇去挖掘数据背后的问题，这种"数据嗅觉"是数据从业者的核心素养。</w:t>
      </w:r>
    </w:p>
    <w:p/>
    <w:p>
      <w:pPr>
        <w:pStyle w:val="Heading2"/>
      </w:pPr>
      <w:r>
        <w:rPr>
          <w:rFonts w:ascii="SimHei" w:hAnsi="SimHei" w:eastAsia="SimHei"/>
          <w:b/>
          <w:color w:val="1A3C6D"/>
        </w:rPr>
        <w:t>总结</w:t>
      </w:r>
    </w:p>
    <w:p>
      <w:r>
        <w:rPr>
          <w:rFonts w:ascii="SimSun" w:hAnsi="SimSun" w:eastAsia="SimSun"/>
          <w:b w:val="0"/>
          <w:sz w:val="21"/>
        </w:rPr>
        <w:t>总的来说，本次数据挖掘实验让我将课堂上学到的理论知识真正落地为可运行的完整项目。从Kaggle数据集的选择、数据质量问题的识别与处理、多维度特征工程的设计，到6种模型的对比评估、超参数的系统调优，最终到Streamlit可视化应用的构建，每一个环节都在"做中学"，加深了我对数据挖掘方法论的理解。特别是对特征工程重要性、模型选择策略、类别不平衡处理以及工程化交付等实践命题有了更加真切的认识。这些经验将在我未来的学习和工作中持续发挥价值。</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