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C0000"/>
          <w:sz w:val="18"/>
        </w:rPr>
        <w:t>MICRON TECHNOLOGY, INC. — PROPRIETARY AND CONFIDENTIAL</w:t>
      </w:r>
    </w:p>
    <w:p/>
    <w:p>
      <w:pPr>
        <w:jc w:val="center"/>
      </w:pPr>
      <w:r>
        <w:rPr>
          <w:b/>
          <w:sz w:val="36"/>
        </w:rPr>
        <w:t>Project AURORA — DRAM Next-Generation Roadmap</w:t>
      </w:r>
    </w:p>
    <w:p>
      <w:pPr>
        <w:jc w:val="center"/>
      </w:pPr>
      <w:r>
        <w:rPr>
          <w:color w:val="555555"/>
          <w:sz w:val="20"/>
        </w:rPr>
        <w:t>Strategic Planning Document | Micron Confidential</w:t>
        <w:br/>
        <w:t>Document No.: MTI-SPD-2026-0042 | Rev 1.3 | 2026-Q3</w:t>
      </w:r>
    </w:p>
    <w:p/>
    <w:p>
      <w:pPr>
        <w:pStyle w:val="Heading1"/>
      </w:pPr>
      <w:r>
        <w:rPr>
          <w:color w:val="006BC9"/>
        </w:rPr>
        <w:t>1. Executive Summary</w:t>
      </w:r>
    </w:p>
    <w:p>
      <w:r>
        <w:t>This document outlines the confidential product roadmap for Micron Technology, Inc.'s next-generation DRAM initiative, internally designated Project AURORA. The AURORA platform targets volume production in calendar year 2027 using a proprietary 1-gamma node process. Distribution of this document is restricted to authorized personnel under active NDA.</w:t>
      </w:r>
    </w:p>
    <w:p>
      <w:pPr>
        <w:pStyle w:val="Heading1"/>
      </w:pPr>
      <w:r>
        <w:rPr>
          <w:color w:val="006BC9"/>
        </w:rPr>
        <w:t>2. Product Roadmap &amp; Milestones</w:t>
      </w:r>
    </w:p>
    <w:p>
      <w:r>
        <w:t>The following milestone schedule governs the AURORA program through mass production: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Design Tape-out (Rev A)</w:t>
            </w:r>
          </w:p>
        </w:tc>
        <w:tc>
          <w:tcPr>
            <w:tcW w:type="dxa" w:w="2880"/>
          </w:tcPr>
          <w:p>
            <w:r>
              <w:t>2026-Q4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Engineering Sample Release</w:t>
            </w:r>
          </w:p>
        </w:tc>
        <w:tc>
          <w:tcPr>
            <w:tcW w:type="dxa" w:w="2880"/>
          </w:tcPr>
          <w:p>
            <w:r>
              <w:t>2027-Q1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Customer Qualification</w:t>
            </w:r>
          </w:p>
        </w:tc>
        <w:tc>
          <w:tcPr>
            <w:tcW w:type="dxa" w:w="2880"/>
          </w:tcPr>
          <w:p>
            <w:r>
              <w:t>2027-Q2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Mass Production Ramp</w:t>
            </w:r>
          </w:p>
        </w:tc>
        <w:tc>
          <w:tcPr>
            <w:tcW w:type="dxa" w:w="2880"/>
          </w:tcPr>
          <w:p>
            <w:r>
              <w:t>2027-Q3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Full Volume Production</w:t>
            </w:r>
          </w:p>
        </w:tc>
        <w:tc>
          <w:tcPr>
            <w:tcW w:type="dxa" w:w="2880"/>
          </w:tcPr>
          <w:p>
            <w:r>
              <w:t>2027-Q4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rPr>
          <w:color w:val="006BC9"/>
        </w:rPr>
        <w:t>3. Financial Projections</w:t>
      </w:r>
    </w:p>
    <w:p>
      <w:r>
        <w:t>The following revenue and margin targets reflect current internal planning assumptions for the AURORA program and are subject to revision pending fab yield results:</w:t>
      </w:r>
    </w:p>
    <w:p>
      <w:pPr>
        <w:pStyle w:val="ListBullet"/>
      </w:pPr>
      <w:r>
        <w:t>• Projected AURORA revenue (FY2028): $3.4B</w:t>
      </w:r>
    </w:p>
    <w:p>
      <w:pPr>
        <w:pStyle w:val="ListBullet"/>
      </w:pPr>
      <w:r>
        <w:t>• Estimated gross margin target: 42%</w:t>
      </w:r>
    </w:p>
    <w:p>
      <w:pPr>
        <w:pStyle w:val="ListBullet"/>
      </w:pPr>
      <w:r>
        <w:t>• CapEx allocation (fab tooling): $1.1B</w:t>
      </w:r>
    </w:p>
    <w:p>
      <w:pPr>
        <w:pStyle w:val="ListBullet"/>
      </w:pPr>
      <w:r>
        <w:t>• Addressable TAM (DDR6 + LPDDR6): $22B</w:t>
      </w:r>
    </w:p>
    <w:p/>
    <w:p>
      <w:pPr>
        <w:pStyle w:val="Heading1"/>
      </w:pPr>
      <w:r>
        <w:rPr>
          <w:color w:val="006BC9"/>
        </w:rPr>
        <w:t>4. Technical Specifications — Proprietary</w:t>
      </w:r>
    </w:p>
    <w:p>
      <w:r>
        <w:t>The following fabrication parameters are proprietary to Micron Technology, Inc. and constitute trade secret information subject to the highest level of protection:</w:t>
      </w:r>
    </w:p>
    <w:p>
      <w:pPr>
        <w:pStyle w:val="ListBullet"/>
      </w:pPr>
      <w:r>
        <w:t>• Node designation: 1γ (1-gamma), ~10.5 nm effective half-pitch</w:t>
      </w:r>
    </w:p>
    <w:p>
      <w:pPr>
        <w:pStyle w:val="ListBullet"/>
      </w:pPr>
      <w:r>
        <w:t>• Cell capacitance target: ~12 fF</w:t>
      </w:r>
    </w:p>
    <w:p>
      <w:pPr>
        <w:pStyle w:val="ListBullet"/>
      </w:pPr>
      <w:r>
        <w:t>• Retention spec: ≥64 ms at 85 °C</w:t>
      </w:r>
    </w:p>
    <w:p>
      <w:pPr>
        <w:pStyle w:val="ListBullet"/>
      </w:pPr>
      <w:r>
        <w:t>• Die size (16 Gb): ~68 mm²</w:t>
      </w:r>
    </w:p>
    <w:p/>
    <w:p>
      <w:pPr>
        <w:pStyle w:val="Heading1"/>
      </w:pPr>
      <w:r>
        <w:rPr>
          <w:color w:val="006BC9"/>
        </w:rPr>
        <w:t>5. Restricted Distribution</w:t>
      </w:r>
    </w:p>
    <w:p>
      <w:r>
        <w:t>This document is the property of Micron Technology, Inc. and contains information that is proprietary and confidential. Distribution is restricted to individuals who have signed a Non-Disclosure Agreement (NDA) with Micron Technology, Inc. Unauthorized disclosure, reproduction, or distribution is strictly prohibited and may result in legal action.</w:t>
      </w:r>
    </w:p>
    <w:p/>
    <w:p>
      <w:pPr>
        <w:jc w:val="center"/>
      </w:pPr>
      <w:r>
        <w:rPr>
          <w:b/>
          <w:color w:val="CC0000"/>
          <w:sz w:val="18"/>
        </w:rPr>
        <w:t>MICRON TECHNOLOGY, INC. — PROPRIETARY AND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