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600" w:after="0"/>
      </w:pPr>
    </w:p>
    <w:tbl>
      <w:tblPr>
        <w:tblW w:w="8929" w:type="dxa"/>
        <w:tblLayout w:type="fixed"/>
      </w:tblPr>
      <w:tblGrid>
        <w:gridCol w:w="8929"/>
      </w:tblGrid>
      <w:tr>
        <w:tc>
          <w:tcPr>
            <w:tcW w:w="8929" w:type="dxa"/>
            <w:shd w:val="clear" w:color="auto" w:fill="E60012"/>
          </w:tcPr>
          <w:p>
            <w:pPr>
              <w:pStyle w:val="CoverTitle"/>
              <w:spacing w:before="360" w:after="120"/>
              <w:ind w:left="284"/>
              <w:jc w:val="left"/>
            </w:pPr>
            <w:r>
              <w:rPr/>
              <w:t xml:space="preserve">Advice Financial</w:t>
            </w:r>
          </w:p>
          <w:p>
            <w:pPr>
              <w:pStyle w:val="CoverTitle"/>
              <w:spacing w:after="360"/>
              <w:ind w:left="284"/>
              <w:jc w:val="left"/>
            </w:pPr>
            <w:r>
              <w:rPr>
                <w:sz w:val="40"/>
                <w:szCs w:val="40"/>
              </w:rPr>
              <w:t xml:space="preserve">SharePoint Modernisation, Governance &amp; Information Architecture Assessment</w:t>
            </w:r>
          </w:p>
        </w:tc>
      </w:tr>
    </w:tbl>
    <w:p>
      <w:pPr>
        <w:keepNext/>
        <w:spacing w:before="120" w:after="60"/>
        <w:jc w:val="center"/>
      </w:pPr>
      <w:r>
        <w:drawing>
          <wp:inline distT="0" distB="0" distL="0" distR="0">
            <wp:extent cx="5616000" cy="2466547"/>
            <wp:docPr id="101" name="hero.png" descr="Hero illustration: Advice Financial Hub dashboard with governance shie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hero.png"/>
                    <pic:cNvPicPr/>
                  </pic:nvPicPr>
                  <pic:blipFill>
                    <a:blip r:embed="rIdImg101"/>
                    <a:stretch>
                      <a:fillRect/>
                    </a:stretch>
                  </pic:blipFill>
                  <pic:spPr>
                    <a:xfrm>
                      <a:off x="0" y="0"/>
                      <a:ext cx="5616000" cy="2466547"/>
                    </a:xfrm>
                    <a:prstGeom prst="rect">
                      <a:avLst/>
                    </a:prstGeom>
                  </pic:spPr>
                </pic:pic>
              </a:graphicData>
            </a:graphic>
          </wp:inline>
        </w:drawing>
      </w:r>
    </w:p>
    <w:p>
      <w:pPr>
        <w:pStyle w:val="NotificationBox"/>
        <w:jc w:val="left"/>
      </w:pPr>
      <w:r>
        <w:rPr/>
        <w:t xml:space="preserve">Hero image: rendered illustration. For final artwork, use this AI prompt: "Modern New Zealand financial services workplace, clean Microsoft 365 digital workplace, SharePoint intranet dashboards, governance visualisation, Ricoh red branding accents, professional executive consulting style, white background, corporate infographic aesthetic."</w:t>
      </w:r>
    </w:p>
    <w:p>
      <w:pPr>
        <w:pStyle w:val="CoverCompanyName"/>
        <w:spacing w:before="480"/>
      </w:pPr>
      <w:r>
        <w:rPr/>
        <w:t xml:space="preserve">Prepared by Ricoh New Zealand</w:t>
      </w:r>
    </w:p>
    <w:p>
      <w:pPr>
        <w:pStyle w:val="CoverText"/>
      </w:pPr>
      <w:r>
        <w:rPr/>
        <w:t xml:space="preserve">October 2026</w:t>
      </w:r>
    </w:p>
    <w:p>
      <w:pPr>
        <w:pStyle w:val="Heading1"/>
        <w:pageBreakBefore/>
        <w:pBdr>
          <w:bottom w:val="single" w:sz="18" w:space="4" w:color="E60012"/>
        </w:pBdr>
      </w:pPr>
      <w:r>
        <w:rPr/>
        <w:t xml:space="preserve">Executive Summary</w:t>
      </w:r>
    </w:p>
    <w:p>
      <w:pPr>
        <w:pStyle w:val="Heading2"/>
        <w:keepNext/>
        <w:spacing w:before="240" w:after="120"/>
      </w:pPr>
      <w:r>
        <w:rPr/>
        <w:t xml:space="preserve">Key Findings</w:t>
      </w:r>
    </w:p>
    <w:tbl>
      <w:tblPr>
        <w:tblStyle w:val="RicohTableStyle"/>
        <w:tblW w:w="8929" w:type="dxa"/>
        <w:tblLayout w:type="fixed"/>
        <w:tblLook w:val="04A0" w:firstRow="1" w:lastRow="0" w:firstColumn="0" w:lastColumn="0" w:noHBand="0" w:noVBand="1"/>
      </w:tblPr>
      <w:tblGrid>
        <w:gridCol w:w="4600"/>
        <w:gridCol w:w="4329"/>
      </w:tblGrid>
      <w:tr>
        <w:trPr>
          <w:cantSplit/>
          <w:tblHeader/>
        </w:trPr>
        <w:tc>
          <w:tcPr>
            <w:tcW w:w="4600" w:type="dxa"/>
          </w:tcPr>
          <w:p>
            <w:pPr>
              <w:spacing w:before="40" w:after="40"/>
              <w:jc w:val="left"/>
            </w:pPr>
            <w:r>
              <w:rPr>
                <w:b/>
                <w:color w:val="FFFFFF"/>
                <w:sz w:val="20"/>
                <w:szCs w:val="20"/>
              </w:rPr>
              <w:t xml:space="preserve">Area</w:t>
            </w:r>
          </w:p>
        </w:tc>
        <w:tc>
          <w:tcPr>
            <w:tcW w:w="4329" w:type="dxa"/>
          </w:tcPr>
          <w:p>
            <w:pPr>
              <w:spacing w:before="40" w:after="40"/>
              <w:jc w:val="left"/>
            </w:pPr>
            <w:r>
              <w:rPr>
                <w:b/>
                <w:color w:val="FFFFFF"/>
                <w:sz w:val="20"/>
                <w:szCs w:val="20"/>
              </w:rPr>
              <w:t xml:space="preserve">Assessment</w:t>
            </w:r>
          </w:p>
        </w:tc>
      </w:tr>
      <w:tr>
        <w:trPr>
          <w:cantSplit/>
        </w:trPr>
        <w:tc>
          <w:tcPr>
            <w:tcW w:w="4600" w:type="dxa"/>
          </w:tcPr>
          <w:p>
            <w:pPr>
              <w:spacing w:before="40" w:after="40"/>
              <w:jc w:val="left"/>
            </w:pPr>
            <w:r>
              <w:rPr>
                <w:sz w:val="20"/>
                <w:szCs w:val="20"/>
              </w:rPr>
              <w:t xml:space="preserve">SharePoint Adoption</w:t>
            </w:r>
          </w:p>
        </w:tc>
        <w:tc>
          <w:tcPr>
            <w:tcW w:w="4329" w:type="dxa"/>
          </w:tcPr>
          <w:p>
            <w:pPr>
              <w:spacing w:before="40" w:after="40"/>
              <w:jc w:val="left"/>
            </w:pPr>
            <w:r>
              <w:rPr>
                <w:b/>
                <w:color w:val="2E7D32"/>
                <w:sz w:val="20"/>
                <w:szCs w:val="20"/>
              </w:rPr>
              <w:t xml:space="preserve">Strong</w:t>
            </w:r>
          </w:p>
        </w:tc>
      </w:tr>
      <w:tr>
        <w:trPr>
          <w:cantSplit/>
        </w:trPr>
        <w:tc>
          <w:tcPr>
            <w:tcW w:w="4600" w:type="dxa"/>
          </w:tcPr>
          <w:p>
            <w:pPr>
              <w:spacing w:before="40" w:after="40"/>
              <w:jc w:val="left"/>
            </w:pPr>
            <w:r>
              <w:rPr>
                <w:sz w:val="20"/>
                <w:szCs w:val="20"/>
              </w:rPr>
              <w:t xml:space="preserve">Client Data Management</w:t>
            </w:r>
          </w:p>
        </w:tc>
        <w:tc>
          <w:tcPr>
            <w:tcW w:w="4329" w:type="dxa"/>
          </w:tcPr>
          <w:p>
            <w:pPr>
              <w:spacing w:before="40" w:after="40"/>
              <w:jc w:val="left"/>
            </w:pPr>
            <w:r>
              <w:rPr>
                <w:b/>
                <w:color w:val="E60012"/>
                <w:sz w:val="20"/>
                <w:szCs w:val="20"/>
              </w:rPr>
              <w:t xml:space="preserve">High Risk</w:t>
            </w:r>
          </w:p>
        </w:tc>
      </w:tr>
      <w:tr>
        <w:trPr>
          <w:cantSplit/>
        </w:trPr>
        <w:tc>
          <w:tcPr>
            <w:tcW w:w="4600" w:type="dxa"/>
          </w:tcPr>
          <w:p>
            <w:pPr>
              <w:spacing w:before="40" w:after="40"/>
              <w:jc w:val="left"/>
            </w:pPr>
            <w:r>
              <w:rPr>
                <w:sz w:val="20"/>
                <w:szCs w:val="20"/>
              </w:rPr>
              <w:t xml:space="preserve">Information Architecture</w:t>
            </w:r>
          </w:p>
        </w:tc>
        <w:tc>
          <w:tcPr>
            <w:tcW w:w="4329" w:type="dxa"/>
          </w:tcPr>
          <w:p>
            <w:pPr>
              <w:spacing w:before="40" w:after="40"/>
              <w:jc w:val="left"/>
            </w:pPr>
            <w:r>
              <w:rPr>
                <w:b/>
                <w:color w:val="C77700"/>
                <w:sz w:val="20"/>
                <w:szCs w:val="20"/>
              </w:rPr>
              <w:t xml:space="preserve">Limited</w:t>
            </w:r>
          </w:p>
        </w:tc>
      </w:tr>
      <w:tr>
        <w:trPr>
          <w:cantSplit/>
        </w:trPr>
        <w:tc>
          <w:tcPr>
            <w:tcW w:w="4600" w:type="dxa"/>
          </w:tcPr>
          <w:p>
            <w:pPr>
              <w:spacing w:before="40" w:after="40"/>
              <w:jc w:val="left"/>
            </w:pPr>
            <w:r>
              <w:rPr>
                <w:sz w:val="20"/>
                <w:szCs w:val="20"/>
              </w:rPr>
              <w:t xml:space="preserve">Governance Controls</w:t>
            </w:r>
          </w:p>
        </w:tc>
        <w:tc>
          <w:tcPr>
            <w:tcW w:w="4329" w:type="dxa"/>
          </w:tcPr>
          <w:p>
            <w:pPr>
              <w:spacing w:before="40" w:after="40"/>
              <w:jc w:val="left"/>
            </w:pPr>
            <w:r>
              <w:rPr>
                <w:b/>
                <w:color w:val="C77700"/>
                <w:sz w:val="20"/>
                <w:szCs w:val="20"/>
              </w:rPr>
              <w:t xml:space="preserve">Requires Improvement</w:t>
            </w:r>
          </w:p>
        </w:tc>
      </w:tr>
      <w:tr>
        <w:trPr>
          <w:cantSplit/>
        </w:trPr>
        <w:tc>
          <w:tcPr>
            <w:tcW w:w="4600" w:type="dxa"/>
          </w:tcPr>
          <w:p>
            <w:pPr>
              <w:spacing w:before="40" w:after="40"/>
              <w:jc w:val="left"/>
            </w:pPr>
            <w:r>
              <w:rPr>
                <w:sz w:val="20"/>
                <w:szCs w:val="20"/>
              </w:rPr>
              <w:t xml:space="preserve">Permissions Model</w:t>
            </w:r>
          </w:p>
        </w:tc>
        <w:tc>
          <w:tcPr>
            <w:tcW w:w="4329" w:type="dxa"/>
          </w:tcPr>
          <w:p>
            <w:pPr>
              <w:spacing w:before="40" w:after="40"/>
              <w:jc w:val="left"/>
            </w:pPr>
            <w:r>
              <w:rPr>
                <w:b/>
                <w:color w:val="E60012"/>
                <w:sz w:val="20"/>
                <w:szCs w:val="20"/>
              </w:rPr>
              <w:t xml:space="preserve">Significant Exposure</w:t>
            </w:r>
          </w:p>
        </w:tc>
      </w:tr>
      <w:tr>
        <w:trPr>
          <w:cantSplit/>
        </w:trPr>
        <w:tc>
          <w:tcPr>
            <w:tcW w:w="4600" w:type="dxa"/>
          </w:tcPr>
          <w:p>
            <w:pPr>
              <w:spacing w:before="40" w:after="40"/>
              <w:jc w:val="left"/>
            </w:pPr>
            <w:r>
              <w:rPr>
                <w:sz w:val="20"/>
                <w:szCs w:val="20"/>
              </w:rPr>
              <w:t xml:space="preserve">Future Readiness</w:t>
            </w:r>
          </w:p>
        </w:tc>
        <w:tc>
          <w:tcPr>
            <w:tcW w:w="4329" w:type="dxa"/>
          </w:tcPr>
          <w:p>
            <w:pPr>
              <w:spacing w:before="40" w:after="40"/>
              <w:jc w:val="left"/>
            </w:pPr>
            <w:r>
              <w:rPr>
                <w:b/>
                <w:color w:val="C77700"/>
                <w:sz w:val="20"/>
                <w:szCs w:val="20"/>
              </w:rPr>
              <w:t xml:space="preserve">Moderate</w:t>
            </w:r>
          </w:p>
        </w:tc>
      </w:tr>
    </w:tbl>
    <w:p>
      <w:pPr>
        <w:spacing w:after="120"/>
      </w:pPr>
    </w:p>
    <w:tbl>
      <w:tblPr>
        <w:tblW w:w="8928" w:type="dxa"/>
        <w:tblBorders>
          <w:top w:val="single" w:sz="24" w:space="0" w:color="FFFFFF"/>
          <w:left w:val="single" w:sz="24" w:space="0" w:color="FFFFFF"/>
          <w:bottom w:val="single" w:sz="24" w:space="0" w:color="FFFFFF"/>
          <w:right w:val="single" w:sz="24" w:space="0" w:color="FFFFFF"/>
          <w:insideH w:val="single" w:sz="24" w:space="0" w:color="FFFFFF"/>
          <w:insideV w:val="single" w:sz="24" w:space="0" w:color="FFFFFF"/>
        </w:tblBorders>
        <w:tblLayout w:type="fixed"/>
      </w:tblPr>
      <w:tblGrid>
        <w:gridCol w:w="2976"/>
        <w:gridCol w:w="2976"/>
        <w:gridCol w:w="2976"/>
      </w:tblGrid>
      <w:tr>
        <w:tc>
          <w:tcPr>
            <w:tcW w:w="2976" w:type="dxa"/>
            <w:shd w:val="clear" w:color="auto" w:fill="F4F4F4"/>
          </w:tcPr>
          <w:p>
            <w:pPr>
              <w:spacing w:before="120" w:after="0"/>
              <w:jc w:val="center"/>
            </w:pPr>
            <w:r>
              <w:rPr>
                <w:b/>
                <w:color w:val="E60012"/>
                <w:sz w:val="44"/>
                <w:szCs w:val="44"/>
              </w:rPr>
              <w:t xml:space="preserve">236,539</w:t>
            </w:r>
          </w:p>
          <w:p>
            <w:pPr>
              <w:spacing w:before="0" w:after="120"/>
              <w:jc w:val="center"/>
            </w:pPr>
            <w:r>
              <w:rPr>
                <w:color w:val="333333"/>
                <w:sz w:val="18"/>
                <w:szCs w:val="18"/>
              </w:rPr>
              <w:t xml:space="preserve">files in AF Client Portal</w:t>
            </w:r>
          </w:p>
        </w:tc>
        <w:tc>
          <w:tcPr>
            <w:tcW w:w="2976" w:type="dxa"/>
            <w:shd w:val="clear" w:color="auto" w:fill="F4F4F4"/>
          </w:tcPr>
          <w:p>
            <w:pPr>
              <w:spacing w:before="120" w:after="0"/>
              <w:jc w:val="center"/>
            </w:pPr>
            <w:r>
              <w:rPr>
                <w:b/>
                <w:color w:val="E60012"/>
                <w:sz w:val="44"/>
                <w:szCs w:val="44"/>
              </w:rPr>
              <w:t xml:space="preserve">104.58 GB</w:t>
            </w:r>
          </w:p>
          <w:p>
            <w:pPr>
              <w:spacing w:before="0" w:after="120"/>
              <w:jc w:val="center"/>
            </w:pPr>
            <w:r>
              <w:rPr>
                <w:color w:val="333333"/>
                <w:sz w:val="18"/>
                <w:szCs w:val="18"/>
              </w:rPr>
              <w:t xml:space="preserve">AF Client Portal storage</w:t>
            </w:r>
          </w:p>
        </w:tc>
        <w:tc>
          <w:tcPr>
            <w:tcW w:w="2976" w:type="dxa"/>
            <w:shd w:val="clear" w:color="auto" w:fill="F4F4F4"/>
          </w:tcPr>
          <w:p>
            <w:pPr>
              <w:spacing w:before="120" w:after="0"/>
              <w:jc w:val="center"/>
            </w:pPr>
            <w:r>
              <w:rPr>
                <w:b/>
                <w:color w:val="E60012"/>
                <w:sz w:val="44"/>
                <w:szCs w:val="44"/>
              </w:rPr>
              <w:t xml:space="preserve">179,236</w:t>
            </w:r>
          </w:p>
          <w:p>
            <w:pPr>
              <w:spacing w:before="0" w:after="120"/>
              <w:jc w:val="center"/>
            </w:pPr>
            <w:r>
              <w:rPr>
                <w:color w:val="333333"/>
                <w:sz w:val="18"/>
                <w:szCs w:val="18"/>
              </w:rPr>
              <w:t xml:space="preserve">file interactions</w:t>
            </w:r>
          </w:p>
        </w:tc>
      </w:tr>
    </w:tbl>
    <w:p>
      <w:pPr>
        <w:spacing w:after="120"/>
      </w:pPr>
    </w:p>
    <w:p>
      <w:pPr>
        <w:pStyle w:val="Heading3"/>
        <w:keepNext/>
      </w:pPr>
      <w:r>
        <w:rPr/>
        <w:t xml:space="preserve">Supporting evidence includes</w:t>
      </w:r>
    </w:p>
    <w:p>
      <w:pPr>
        <w:pStyle w:val="ListParagraph"/>
        <w:jc w:val="left"/>
      </w:pPr>
      <w:r>
        <w:rPr/>
        <w:t xml:space="preserve">AF Client Portal contains approximately 236,539 files</w:t>
      </w:r>
    </w:p>
    <w:p>
      <w:pPr>
        <w:pStyle w:val="ListParagraph"/>
        <w:jc w:val="left"/>
      </w:pPr>
      <w:r>
        <w:rPr/>
        <w:t xml:space="preserve">AF Client Portal stores approximately 104.58 GB</w:t>
      </w:r>
    </w:p>
    <w:p>
      <w:pPr>
        <w:pStyle w:val="ListParagraph"/>
        <w:jc w:val="left"/>
      </w:pPr>
      <w:r>
        <w:rPr/>
        <w:t xml:space="preserve">AF Client Portal recorded approximately 179,236 file interactions</w:t>
      </w:r>
    </w:p>
    <w:p>
      <w:pPr>
        <w:pStyle w:val="ListParagraph"/>
        <w:jc w:val="left"/>
      </w:pPr>
      <w:r>
        <w:rPr/>
        <w:t xml:space="preserve">Numerous client records are accessible via "Everyone Except External Users" permissions</w:t>
      </w:r>
    </w:p>
    <w:p>
      <w:pPr>
        <w:pStyle w:val="ListParagraph"/>
        <w:jc w:val="left"/>
      </w:pPr>
      <w:r>
        <w:rPr/>
        <w:t xml:space="preserve">Archived OneDrive repositories remain present within the tenant</w:t>
      </w:r>
    </w:p>
    <w:p>
      <w:pPr>
        <w:pStyle w:val="WarningBox"/>
        <w:jc w:val="left"/>
      </w:pPr>
      <w:r>
        <w:rPr/>
        <w:t xml:space="preserve">Advice Financial has strongly adopted SharePoint, but client records, operational content and governance documentation share one broadly permissioned ecosystem. The priority is to segregate client data and move to role-based access.</w:t>
      </w:r>
    </w:p>
    <w:p>
      <w:pPr>
        <w:pStyle w:val="Heading1"/>
        <w:pageBreakBefore/>
        <w:pBdr>
          <w:bottom w:val="single" w:sz="18" w:space="4" w:color="E60012"/>
        </w:pBdr>
      </w:pPr>
      <w:r>
        <w:rPr/>
        <w:t xml:space="preserve">Section 1: Current Environment Overview</w:t>
      </w:r>
    </w:p>
    <w:p>
      <w:pPr>
        <w:pStyle w:val="Heading2"/>
        <w:keepNext/>
        <w:spacing w:before="240" w:after="120"/>
      </w:pPr>
      <w:r>
        <w:rPr/>
        <w:t xml:space="preserve">Current State Architecture</w:t>
      </w:r>
    </w:p>
    <w:p>
      <w:pPr>
        <w:keepNext/>
        <w:spacing w:before="120" w:after="60"/>
        <w:jc w:val="center"/>
      </w:pPr>
      <w:r>
        <w:drawing>
          <wp:inline distT="0" distB="0" distL="0" distR="0">
            <wp:extent cx="4860000" cy="2594763"/>
            <wp:docPr id="102" name="current.png" descr="Current state 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current.png"/>
                    <pic:cNvPicPr/>
                  </pic:nvPicPr>
                  <pic:blipFill>
                    <a:blip r:embed="rIdImg102"/>
                    <a:stretch>
                      <a:fillRect/>
                    </a:stretch>
                  </pic:blipFill>
                  <pic:spPr>
                    <a:xfrm>
                      <a:off x="0" y="0"/>
                      <a:ext cx="4860000" cy="2594763"/>
                    </a:xfrm>
                    <a:prstGeom prst="rect">
                      <a:avLst/>
                    </a:prstGeom>
                  </pic:spPr>
                </pic:pic>
              </a:graphicData>
            </a:graphic>
          </wp:inline>
        </w:drawing>
      </w:r>
    </w:p>
    <w:p>
      <w:pPr>
        <w:spacing w:before="60" w:after="200"/>
        <w:jc w:val="center"/>
      </w:pPr>
      <w:r>
        <w:rPr>
          <w:i/>
          <w:color w:val="7F7F7F"/>
          <w:sz w:val="16"/>
          <w:szCs w:val="16"/>
        </w:rPr>
        <w:t xml:space="preserve">Figure 1: Current state architecture</w:t>
      </w:r>
    </w:p>
    <w:p>
      <w:pPr>
        <w:spacing w:after="120"/>
        <w:jc w:val="left"/>
      </w:pPr>
      <w:r>
        <w:rPr/>
        <w:t xml:space="preserve">Based on the assessment, client records, operational content and governance documentation coexist within the same ecosystem.</w:t>
      </w:r>
    </w:p>
    <w:p>
      <w:pPr>
        <w:pStyle w:val="Heading2"/>
        <w:keepNext/>
        <w:spacing w:before="240" w:after="120"/>
      </w:pPr>
      <w:r>
        <w:rPr/>
        <w:t xml:space="preserve">Current Environment Statistics</w:t>
      </w:r>
    </w:p>
    <w:tbl>
      <w:tblPr>
        <w:tblW w:w="8928" w:type="dxa"/>
        <w:tblBorders>
          <w:top w:val="single" w:sz="24" w:space="0" w:color="FFFFFF"/>
          <w:left w:val="single" w:sz="24" w:space="0" w:color="FFFFFF"/>
          <w:bottom w:val="single" w:sz="24" w:space="0" w:color="FFFFFF"/>
          <w:right w:val="single" w:sz="24" w:space="0" w:color="FFFFFF"/>
          <w:insideH w:val="single" w:sz="24" w:space="0" w:color="FFFFFF"/>
          <w:insideV w:val="single" w:sz="24" w:space="0" w:color="FFFFFF"/>
        </w:tblBorders>
        <w:tblLayout w:type="fixed"/>
      </w:tblPr>
      <w:tblGrid>
        <w:gridCol w:w="2976"/>
        <w:gridCol w:w="2976"/>
        <w:gridCol w:w="2976"/>
      </w:tblGrid>
      <w:tr>
        <w:tc>
          <w:tcPr>
            <w:tcW w:w="2976" w:type="dxa"/>
            <w:shd w:val="clear" w:color="auto" w:fill="F4F4F4"/>
          </w:tcPr>
          <w:p>
            <w:pPr>
              <w:spacing w:before="120" w:after="0"/>
              <w:jc w:val="center"/>
            </w:pPr>
            <w:r>
              <w:rPr>
                <w:b/>
                <w:color w:val="E60012"/>
                <w:sz w:val="44"/>
                <w:szCs w:val="44"/>
              </w:rPr>
              <w:t xml:space="preserve">236,539</w:t>
            </w:r>
          </w:p>
          <w:p>
            <w:pPr>
              <w:spacing w:before="0" w:after="120"/>
              <w:jc w:val="center"/>
            </w:pPr>
            <w:r>
              <w:rPr>
                <w:color w:val="333333"/>
                <w:sz w:val="18"/>
                <w:szCs w:val="18"/>
              </w:rPr>
              <w:t xml:space="preserve">Files</w:t>
            </w:r>
          </w:p>
        </w:tc>
        <w:tc>
          <w:tcPr>
            <w:tcW w:w="2976" w:type="dxa"/>
            <w:shd w:val="clear" w:color="auto" w:fill="F4F4F4"/>
          </w:tcPr>
          <w:p>
            <w:pPr>
              <w:spacing w:before="120" w:after="0"/>
              <w:jc w:val="center"/>
            </w:pPr>
            <w:r>
              <w:rPr>
                <w:b/>
                <w:color w:val="E60012"/>
                <w:sz w:val="44"/>
                <w:szCs w:val="44"/>
              </w:rPr>
              <w:t xml:space="preserve">104.58 GB</w:t>
            </w:r>
          </w:p>
          <w:p>
            <w:pPr>
              <w:spacing w:before="0" w:after="120"/>
              <w:jc w:val="center"/>
            </w:pPr>
            <w:r>
              <w:rPr>
                <w:color w:val="333333"/>
                <w:sz w:val="18"/>
                <w:szCs w:val="18"/>
              </w:rPr>
              <w:t xml:space="preserve">Storage</w:t>
            </w:r>
          </w:p>
        </w:tc>
        <w:tc>
          <w:tcPr>
            <w:tcW w:w="2976" w:type="dxa"/>
            <w:shd w:val="clear" w:color="auto" w:fill="F4F4F4"/>
          </w:tcPr>
          <w:p>
            <w:pPr>
              <w:spacing w:before="120" w:after="0"/>
              <w:jc w:val="center"/>
            </w:pPr>
            <w:r>
              <w:rPr>
                <w:b/>
                <w:color w:val="E60012"/>
                <w:sz w:val="44"/>
                <w:szCs w:val="44"/>
              </w:rPr>
              <w:t xml:space="preserve">179,236</w:t>
            </w:r>
          </w:p>
          <w:p>
            <w:pPr>
              <w:spacing w:before="0" w:after="120"/>
              <w:jc w:val="center"/>
            </w:pPr>
            <w:r>
              <w:rPr>
                <w:color w:val="333333"/>
                <w:sz w:val="18"/>
                <w:szCs w:val="18"/>
              </w:rPr>
              <w:t xml:space="preserve">File interactions</w:t>
            </w:r>
          </w:p>
        </w:tc>
      </w:tr>
    </w:tbl>
    <w:p>
      <w:pPr>
        <w:spacing w:after="120"/>
      </w:pPr>
    </w:p>
    <w:tbl>
      <w:tblPr>
        <w:tblStyle w:val="RicohTableStyle"/>
        <w:tblW w:w="8929" w:type="dxa"/>
        <w:tblLayout w:type="fixed"/>
        <w:tblLook w:val="04A0" w:firstRow="1" w:lastRow="0" w:firstColumn="0" w:lastColumn="0" w:noHBand="0" w:noVBand="1"/>
      </w:tblPr>
      <w:tblGrid>
        <w:gridCol w:w="4600"/>
        <w:gridCol w:w="4329"/>
      </w:tblGrid>
      <w:tr>
        <w:trPr>
          <w:cantSplit/>
          <w:tblHeader/>
        </w:trPr>
        <w:tc>
          <w:tcPr>
            <w:tcW w:w="4600" w:type="dxa"/>
          </w:tcPr>
          <w:p>
            <w:pPr>
              <w:spacing w:before="40" w:after="40"/>
              <w:jc w:val="left"/>
            </w:pPr>
            <w:r>
              <w:rPr>
                <w:b/>
                <w:color w:val="FFFFFF"/>
                <w:sz w:val="20"/>
                <w:szCs w:val="20"/>
              </w:rPr>
              <w:t xml:space="preserve">Metric</w:t>
            </w:r>
          </w:p>
        </w:tc>
        <w:tc>
          <w:tcPr>
            <w:tcW w:w="4329" w:type="dxa"/>
          </w:tcPr>
          <w:p>
            <w:pPr>
              <w:spacing w:before="40" w:after="40"/>
              <w:jc w:val="left"/>
            </w:pPr>
            <w:r>
              <w:rPr>
                <w:b/>
                <w:color w:val="FFFFFF"/>
                <w:sz w:val="20"/>
                <w:szCs w:val="20"/>
              </w:rPr>
              <w:t xml:space="preserve">Value</w:t>
            </w:r>
          </w:p>
        </w:tc>
      </w:tr>
      <w:tr>
        <w:trPr>
          <w:cantSplit/>
        </w:trPr>
        <w:tc>
          <w:tcPr>
            <w:tcW w:w="4600" w:type="dxa"/>
          </w:tcPr>
          <w:p>
            <w:pPr>
              <w:spacing w:before="40" w:after="40"/>
              <w:jc w:val="left"/>
            </w:pPr>
            <w:r>
              <w:rPr>
                <w:sz w:val="20"/>
                <w:szCs w:val="20"/>
              </w:rPr>
              <w:t xml:space="preserve">SharePoint Sites</w:t>
            </w:r>
          </w:p>
        </w:tc>
        <w:tc>
          <w:tcPr>
            <w:tcW w:w="4329" w:type="dxa"/>
          </w:tcPr>
          <w:p>
            <w:pPr>
              <w:spacing w:before="40" w:after="40"/>
              <w:jc w:val="left"/>
            </w:pPr>
            <w:r>
              <w:rPr>
                <w:sz w:val="20"/>
                <w:szCs w:val="20"/>
              </w:rPr>
              <w:t xml:space="preserve">Multiple</w:t>
            </w:r>
          </w:p>
        </w:tc>
      </w:tr>
      <w:tr>
        <w:trPr>
          <w:cantSplit/>
        </w:trPr>
        <w:tc>
          <w:tcPr>
            <w:tcW w:w="4600" w:type="dxa"/>
          </w:tcPr>
          <w:p>
            <w:pPr>
              <w:spacing w:before="40" w:after="40"/>
              <w:jc w:val="left"/>
            </w:pPr>
            <w:r>
              <w:rPr>
                <w:sz w:val="20"/>
                <w:szCs w:val="20"/>
              </w:rPr>
              <w:t xml:space="preserve">Largest Site</w:t>
            </w:r>
          </w:p>
        </w:tc>
        <w:tc>
          <w:tcPr>
            <w:tcW w:w="4329" w:type="dxa"/>
          </w:tcPr>
          <w:p>
            <w:pPr>
              <w:spacing w:before="40" w:after="40"/>
              <w:jc w:val="left"/>
            </w:pPr>
            <w:r>
              <w:rPr>
                <w:sz w:val="20"/>
                <w:szCs w:val="20"/>
              </w:rPr>
              <w:t xml:space="preserve">AF Client Portal</w:t>
            </w:r>
          </w:p>
        </w:tc>
      </w:tr>
      <w:tr>
        <w:trPr>
          <w:cantSplit/>
        </w:trPr>
        <w:tc>
          <w:tcPr>
            <w:tcW w:w="4600" w:type="dxa"/>
          </w:tcPr>
          <w:p>
            <w:pPr>
              <w:spacing w:before="40" w:after="40"/>
              <w:jc w:val="left"/>
            </w:pPr>
            <w:r>
              <w:rPr>
                <w:sz w:val="20"/>
                <w:szCs w:val="20"/>
              </w:rPr>
              <w:t xml:space="preserve">Files in AF Client Portal</w:t>
            </w:r>
          </w:p>
        </w:tc>
        <w:tc>
          <w:tcPr>
            <w:tcW w:w="4329" w:type="dxa"/>
          </w:tcPr>
          <w:p>
            <w:pPr>
              <w:spacing w:before="40" w:after="40"/>
              <w:jc w:val="left"/>
            </w:pPr>
            <w:r>
              <w:rPr>
                <w:sz w:val="20"/>
                <w:szCs w:val="20"/>
              </w:rPr>
              <w:t xml:space="preserve">236,539</w:t>
            </w:r>
          </w:p>
        </w:tc>
      </w:tr>
      <w:tr>
        <w:trPr>
          <w:cantSplit/>
        </w:trPr>
        <w:tc>
          <w:tcPr>
            <w:tcW w:w="4600" w:type="dxa"/>
          </w:tcPr>
          <w:p>
            <w:pPr>
              <w:spacing w:before="40" w:after="40"/>
              <w:jc w:val="left"/>
            </w:pPr>
            <w:r>
              <w:rPr>
                <w:sz w:val="20"/>
                <w:szCs w:val="20"/>
              </w:rPr>
              <w:t xml:space="preserve">Storage Consumption</w:t>
            </w:r>
          </w:p>
        </w:tc>
        <w:tc>
          <w:tcPr>
            <w:tcW w:w="4329" w:type="dxa"/>
          </w:tcPr>
          <w:p>
            <w:pPr>
              <w:spacing w:before="40" w:after="40"/>
              <w:jc w:val="left"/>
            </w:pPr>
            <w:r>
              <w:rPr>
                <w:sz w:val="20"/>
                <w:szCs w:val="20"/>
              </w:rPr>
              <w:t xml:space="preserve">104.58 GB</w:t>
            </w:r>
          </w:p>
        </w:tc>
      </w:tr>
      <w:tr>
        <w:trPr>
          <w:cantSplit/>
        </w:trPr>
        <w:tc>
          <w:tcPr>
            <w:tcW w:w="4600" w:type="dxa"/>
          </w:tcPr>
          <w:p>
            <w:pPr>
              <w:spacing w:before="40" w:after="40"/>
              <w:jc w:val="left"/>
            </w:pPr>
            <w:r>
              <w:rPr>
                <w:sz w:val="20"/>
                <w:szCs w:val="20"/>
              </w:rPr>
              <w:t xml:space="preserve">File Interactions</w:t>
            </w:r>
          </w:p>
        </w:tc>
        <w:tc>
          <w:tcPr>
            <w:tcW w:w="4329" w:type="dxa"/>
          </w:tcPr>
          <w:p>
            <w:pPr>
              <w:spacing w:before="40" w:after="40"/>
              <w:jc w:val="left"/>
            </w:pPr>
            <w:r>
              <w:rPr>
                <w:sz w:val="20"/>
                <w:szCs w:val="20"/>
              </w:rPr>
              <w:t xml:space="preserve">179,236</w:t>
            </w:r>
          </w:p>
        </w:tc>
      </w:tr>
      <w:tr>
        <w:trPr>
          <w:cantSplit/>
        </w:trPr>
        <w:tc>
          <w:tcPr>
            <w:tcW w:w="4600" w:type="dxa"/>
          </w:tcPr>
          <w:p>
            <w:pPr>
              <w:spacing w:before="40" w:after="40"/>
              <w:jc w:val="left"/>
            </w:pPr>
            <w:r>
              <w:rPr>
                <w:sz w:val="20"/>
                <w:szCs w:val="20"/>
              </w:rPr>
              <w:t xml:space="preserve">Page Views</w:t>
            </w:r>
          </w:p>
        </w:tc>
        <w:tc>
          <w:tcPr>
            <w:tcW w:w="4329" w:type="dxa"/>
          </w:tcPr>
          <w:p>
            <w:pPr>
              <w:spacing w:before="40" w:after="40"/>
              <w:jc w:val="left"/>
            </w:pPr>
            <w:r>
              <w:rPr>
                <w:sz w:val="20"/>
                <w:szCs w:val="20"/>
              </w:rPr>
              <w:t xml:space="preserve">115</w:t>
            </w:r>
          </w:p>
        </w:tc>
      </w:tr>
      <w:tr>
        <w:trPr>
          <w:cantSplit/>
        </w:trPr>
        <w:tc>
          <w:tcPr>
            <w:tcW w:w="4600" w:type="dxa"/>
          </w:tcPr>
          <w:p>
            <w:pPr>
              <w:spacing w:before="40" w:after="40"/>
              <w:jc w:val="left"/>
            </w:pPr>
            <w:r>
              <w:rPr>
                <w:sz w:val="20"/>
                <w:szCs w:val="20"/>
              </w:rPr>
              <w:t xml:space="preserve">Page Visits</w:t>
            </w:r>
          </w:p>
        </w:tc>
        <w:tc>
          <w:tcPr>
            <w:tcW w:w="4329" w:type="dxa"/>
          </w:tcPr>
          <w:p>
            <w:pPr>
              <w:spacing w:before="40" w:after="40"/>
              <w:jc w:val="left"/>
            </w:pPr>
            <w:r>
              <w:rPr>
                <w:sz w:val="20"/>
                <w:szCs w:val="20"/>
              </w:rPr>
              <w:t xml:space="preserve">9</w:t>
            </w:r>
          </w:p>
        </w:tc>
      </w:tr>
    </w:tbl>
    <w:p>
      <w:pPr>
        <w:spacing w:after="120"/>
      </w:pPr>
    </w:p>
    <w:p>
      <w:pPr>
        <w:keepNext/>
        <w:spacing w:before="120" w:after="60"/>
        <w:jc w:val="center"/>
      </w:pPr>
      <w:r>
        <w:drawing>
          <wp:inline distT="0" distB="0" distL="0" distR="0">
            <wp:extent cx="5040000" cy="2193764"/>
            <wp:docPr id="103" name="storage.png" descr="Horizontal bar chart of SharePoint site storage consum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storage.png"/>
                    <pic:cNvPicPr/>
                  </pic:nvPicPr>
                  <pic:blipFill>
                    <a:blip r:embed="rIdImg103"/>
                    <a:stretch>
                      <a:fillRect/>
                    </a:stretch>
                  </pic:blipFill>
                  <pic:spPr>
                    <a:xfrm>
                      <a:off x="0" y="0"/>
                      <a:ext cx="5040000" cy="2193764"/>
                    </a:xfrm>
                    <a:prstGeom prst="rect">
                      <a:avLst/>
                    </a:prstGeom>
                  </pic:spPr>
                </pic:pic>
              </a:graphicData>
            </a:graphic>
          </wp:inline>
        </w:drawing>
      </w:r>
    </w:p>
    <w:p>
      <w:pPr>
        <w:spacing w:before="60" w:after="200"/>
        <w:jc w:val="center"/>
      </w:pPr>
      <w:r>
        <w:rPr>
          <w:i/>
          <w:color w:val="7F7F7F"/>
          <w:sz w:val="16"/>
          <w:szCs w:val="16"/>
        </w:rPr>
        <w:t xml:space="preserve">Figure 2: SharePoint site storage consumption. Only the AF Client Portal figure was supplied in the brief; populate the remaining bars from AllSitesActiveFinance.xlsx.</w:t>
      </w:r>
    </w:p>
    <w:p>
      <w:pPr>
        <w:pStyle w:val="Heading1"/>
        <w:pageBreakBefore/>
        <w:pBdr>
          <w:bottom w:val="single" w:sz="18" w:space="4" w:color="E60012"/>
        </w:pBdr>
      </w:pPr>
      <w:r>
        <w:rPr/>
        <w:t xml:space="preserve">Section 2: Risk Assessment</w:t>
      </w:r>
    </w:p>
    <w:p>
      <w:pPr>
        <w:pStyle w:val="Heading2"/>
        <w:keepNext/>
        <w:spacing w:before="240" w:after="120"/>
      </w:pPr>
      <w:r>
        <w:rPr/>
        <w:t xml:space="preserve">Information Risk Overview</w:t>
      </w:r>
    </w:p>
    <w:p>
      <w:pPr>
        <w:keepNext/>
        <w:spacing w:before="120" w:after="60"/>
        <w:jc w:val="center"/>
      </w:pPr>
      <w:r>
        <w:drawing>
          <wp:inline distT="0" distB="0" distL="0" distR="0">
            <wp:extent cx="5040000" cy="1749041"/>
            <wp:docPr id="104" name="heatmap.png" descr="Executive risk heat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heatmap.png"/>
                    <pic:cNvPicPr/>
                  </pic:nvPicPr>
                  <pic:blipFill>
                    <a:blip r:embed="rIdImg104"/>
                    <a:stretch>
                      <a:fillRect/>
                    </a:stretch>
                  </pic:blipFill>
                  <pic:spPr>
                    <a:xfrm>
                      <a:off x="0" y="0"/>
                      <a:ext cx="5040000" cy="1749041"/>
                    </a:xfrm>
                    <a:prstGeom prst="rect">
                      <a:avLst/>
                    </a:prstGeom>
                  </pic:spPr>
                </pic:pic>
              </a:graphicData>
            </a:graphic>
          </wp:inline>
        </w:drawing>
      </w:r>
    </w:p>
    <w:p>
      <w:pPr>
        <w:spacing w:before="60" w:after="200"/>
        <w:jc w:val="center"/>
      </w:pPr>
      <w:r>
        <w:rPr>
          <w:i/>
          <w:color w:val="7F7F7F"/>
          <w:sz w:val="16"/>
          <w:szCs w:val="16"/>
        </w:rPr>
        <w:t xml:space="preserve">Figure 3: Executive heat map</w:t>
      </w:r>
    </w:p>
    <w:tbl>
      <w:tblPr>
        <w:tblStyle w:val="RicohTableStyle"/>
        <w:tblW w:w="8929" w:type="dxa"/>
        <w:tblLayout w:type="fixed"/>
        <w:tblLook w:val="04A0" w:firstRow="1" w:lastRow="0" w:firstColumn="0" w:lastColumn="0" w:noHBand="0" w:noVBand="1"/>
      </w:tblPr>
      <w:tblGrid>
        <w:gridCol w:w="4529"/>
        <w:gridCol w:w="2200"/>
        <w:gridCol w:w="2200"/>
      </w:tblGrid>
      <w:tr>
        <w:trPr>
          <w:cantSplit/>
          <w:tblHeader/>
        </w:trPr>
        <w:tc>
          <w:tcPr>
            <w:tcW w:w="4529" w:type="dxa"/>
          </w:tcPr>
          <w:p>
            <w:pPr>
              <w:spacing w:before="40" w:after="40"/>
              <w:jc w:val="left"/>
            </w:pPr>
            <w:r>
              <w:rPr>
                <w:b/>
                <w:color w:val="FFFFFF"/>
                <w:sz w:val="20"/>
                <w:szCs w:val="20"/>
              </w:rPr>
              <w:t xml:space="preserve">Risk</w:t>
            </w:r>
          </w:p>
        </w:tc>
        <w:tc>
          <w:tcPr>
            <w:tcW w:w="2200" w:type="dxa"/>
          </w:tcPr>
          <w:p>
            <w:pPr>
              <w:spacing w:before="40" w:after="40"/>
              <w:jc w:val="left"/>
            </w:pPr>
            <w:r>
              <w:rPr>
                <w:b/>
                <w:color w:val="FFFFFF"/>
                <w:sz w:val="20"/>
                <w:szCs w:val="20"/>
              </w:rPr>
              <w:t xml:space="preserve">Impact</w:t>
            </w:r>
          </w:p>
        </w:tc>
        <w:tc>
          <w:tcPr>
            <w:tcW w:w="2200" w:type="dxa"/>
          </w:tcPr>
          <w:p>
            <w:pPr>
              <w:spacing w:before="40" w:after="40"/>
              <w:jc w:val="left"/>
            </w:pPr>
            <w:r>
              <w:rPr>
                <w:b/>
                <w:color w:val="FFFFFF"/>
                <w:sz w:val="20"/>
                <w:szCs w:val="20"/>
              </w:rPr>
              <w:t xml:space="preserve">Likelihood</w:t>
            </w:r>
          </w:p>
        </w:tc>
      </w:tr>
      <w:tr>
        <w:trPr>
          <w:cantSplit/>
        </w:trPr>
        <w:tc>
          <w:tcPr>
            <w:tcW w:w="4529" w:type="dxa"/>
          </w:tcPr>
          <w:p>
            <w:pPr>
              <w:spacing w:before="40" w:after="40"/>
              <w:jc w:val="left"/>
            </w:pPr>
            <w:r>
              <w:rPr>
                <w:sz w:val="20"/>
                <w:szCs w:val="20"/>
              </w:rPr>
              <w:t xml:space="preserve">Broad Client Data Access</w:t>
            </w:r>
          </w:p>
        </w:tc>
        <w:tc>
          <w:tcPr>
            <w:tcW w:w="2200" w:type="dxa"/>
          </w:tcPr>
          <w:p>
            <w:pPr>
              <w:spacing w:before="40" w:after="40"/>
              <w:jc w:val="left"/>
            </w:pPr>
            <w:r>
              <w:rPr>
                <w:b/>
                <w:color w:val="E60012"/>
                <w:sz w:val="20"/>
                <w:szCs w:val="20"/>
              </w:rPr>
              <w:t xml:space="preserve">High</w:t>
            </w:r>
          </w:p>
        </w:tc>
        <w:tc>
          <w:tcPr>
            <w:tcW w:w="2200" w:type="dxa"/>
          </w:tcPr>
          <w:p>
            <w:pPr>
              <w:spacing w:before="40" w:after="40"/>
              <w:jc w:val="left"/>
            </w:pPr>
            <w:r>
              <w:rPr>
                <w:b/>
                <w:color w:val="E60012"/>
                <w:sz w:val="20"/>
                <w:szCs w:val="20"/>
              </w:rPr>
              <w:t xml:space="preserve">High</w:t>
            </w:r>
          </w:p>
        </w:tc>
      </w:tr>
      <w:tr>
        <w:trPr>
          <w:cantSplit/>
        </w:trPr>
        <w:tc>
          <w:tcPr>
            <w:tcW w:w="4529" w:type="dxa"/>
          </w:tcPr>
          <w:p>
            <w:pPr>
              <w:spacing w:before="40" w:after="40"/>
              <w:jc w:val="left"/>
            </w:pPr>
            <w:r>
              <w:rPr>
                <w:sz w:val="20"/>
                <w:szCs w:val="20"/>
              </w:rPr>
              <w:t xml:space="preserve">Information Oversharing</w:t>
            </w:r>
          </w:p>
        </w:tc>
        <w:tc>
          <w:tcPr>
            <w:tcW w:w="2200" w:type="dxa"/>
          </w:tcPr>
          <w:p>
            <w:pPr>
              <w:spacing w:before="40" w:after="40"/>
              <w:jc w:val="left"/>
            </w:pPr>
            <w:r>
              <w:rPr>
                <w:b/>
                <w:color w:val="E60012"/>
                <w:sz w:val="20"/>
                <w:szCs w:val="20"/>
              </w:rPr>
              <w:t xml:space="preserve">High</w:t>
            </w:r>
          </w:p>
        </w:tc>
        <w:tc>
          <w:tcPr>
            <w:tcW w:w="2200" w:type="dxa"/>
          </w:tcPr>
          <w:p>
            <w:pPr>
              <w:spacing w:before="40" w:after="40"/>
              <w:jc w:val="left"/>
            </w:pPr>
            <w:r>
              <w:rPr>
                <w:b/>
                <w:color w:val="E60012"/>
                <w:sz w:val="20"/>
                <w:szCs w:val="20"/>
              </w:rPr>
              <w:t xml:space="preserve">High</w:t>
            </w:r>
          </w:p>
        </w:tc>
      </w:tr>
      <w:tr>
        <w:trPr>
          <w:cantSplit/>
        </w:trPr>
        <w:tc>
          <w:tcPr>
            <w:tcW w:w="4529" w:type="dxa"/>
          </w:tcPr>
          <w:p>
            <w:pPr>
              <w:spacing w:before="40" w:after="40"/>
              <w:jc w:val="left"/>
            </w:pPr>
            <w:r>
              <w:rPr>
                <w:sz w:val="20"/>
                <w:szCs w:val="20"/>
              </w:rPr>
              <w:t xml:space="preserve">Lack of Information Segregation</w:t>
            </w:r>
          </w:p>
        </w:tc>
        <w:tc>
          <w:tcPr>
            <w:tcW w:w="2200" w:type="dxa"/>
          </w:tcPr>
          <w:p>
            <w:pPr>
              <w:spacing w:before="40" w:after="40"/>
              <w:jc w:val="left"/>
            </w:pPr>
            <w:r>
              <w:rPr>
                <w:b/>
                <w:color w:val="E60012"/>
                <w:sz w:val="20"/>
                <w:szCs w:val="20"/>
              </w:rPr>
              <w:t xml:space="preserve">High</w:t>
            </w:r>
          </w:p>
        </w:tc>
        <w:tc>
          <w:tcPr>
            <w:tcW w:w="2200" w:type="dxa"/>
          </w:tcPr>
          <w:p>
            <w:pPr>
              <w:spacing w:before="40" w:after="40"/>
              <w:jc w:val="left"/>
            </w:pPr>
            <w:r>
              <w:rPr>
                <w:b/>
                <w:color w:val="C77700"/>
                <w:sz w:val="20"/>
                <w:szCs w:val="20"/>
              </w:rPr>
              <w:t xml:space="preserve">Medium</w:t>
            </w:r>
          </w:p>
        </w:tc>
      </w:tr>
      <w:tr>
        <w:trPr>
          <w:cantSplit/>
        </w:trPr>
        <w:tc>
          <w:tcPr>
            <w:tcW w:w="4529" w:type="dxa"/>
          </w:tcPr>
          <w:p>
            <w:pPr>
              <w:spacing w:before="40" w:after="40"/>
              <w:jc w:val="left"/>
            </w:pPr>
            <w:r>
              <w:rPr>
                <w:sz w:val="20"/>
                <w:szCs w:val="20"/>
              </w:rPr>
              <w:t xml:space="preserve">Archived User Content</w:t>
            </w:r>
          </w:p>
        </w:tc>
        <w:tc>
          <w:tcPr>
            <w:tcW w:w="2200" w:type="dxa"/>
          </w:tcPr>
          <w:p>
            <w:pPr>
              <w:spacing w:before="40" w:after="40"/>
              <w:jc w:val="left"/>
            </w:pPr>
            <w:r>
              <w:rPr>
                <w:b/>
                <w:color w:val="C77700"/>
                <w:sz w:val="20"/>
                <w:szCs w:val="20"/>
              </w:rPr>
              <w:t xml:space="preserve">Medium</w:t>
            </w:r>
          </w:p>
        </w:tc>
        <w:tc>
          <w:tcPr>
            <w:tcW w:w="2200" w:type="dxa"/>
          </w:tcPr>
          <w:p>
            <w:pPr>
              <w:spacing w:before="40" w:after="40"/>
              <w:jc w:val="left"/>
            </w:pPr>
            <w:r>
              <w:rPr>
                <w:b/>
                <w:color w:val="C77700"/>
                <w:sz w:val="20"/>
                <w:szCs w:val="20"/>
              </w:rPr>
              <w:t xml:space="preserve">Medium</w:t>
            </w:r>
          </w:p>
        </w:tc>
      </w:tr>
      <w:tr>
        <w:trPr>
          <w:cantSplit/>
        </w:trPr>
        <w:tc>
          <w:tcPr>
            <w:tcW w:w="4529" w:type="dxa"/>
          </w:tcPr>
          <w:p>
            <w:pPr>
              <w:spacing w:before="40" w:after="40"/>
              <w:jc w:val="left"/>
            </w:pPr>
            <w:r>
              <w:rPr>
                <w:sz w:val="20"/>
                <w:szCs w:val="20"/>
              </w:rPr>
              <w:t xml:space="preserve">Governance Gaps</w:t>
            </w:r>
          </w:p>
        </w:tc>
        <w:tc>
          <w:tcPr>
            <w:tcW w:w="2200" w:type="dxa"/>
          </w:tcPr>
          <w:p>
            <w:pPr>
              <w:spacing w:before="40" w:after="40"/>
              <w:jc w:val="left"/>
            </w:pPr>
            <w:r>
              <w:rPr>
                <w:b/>
                <w:color w:val="C77700"/>
                <w:sz w:val="20"/>
                <w:szCs w:val="20"/>
              </w:rPr>
              <w:t xml:space="preserve">Medium</w:t>
            </w:r>
          </w:p>
        </w:tc>
        <w:tc>
          <w:tcPr>
            <w:tcW w:w="2200" w:type="dxa"/>
          </w:tcPr>
          <w:p>
            <w:pPr>
              <w:spacing w:before="40" w:after="40"/>
              <w:jc w:val="left"/>
            </w:pPr>
            <w:r>
              <w:rPr>
                <w:b/>
                <w:color w:val="E60012"/>
                <w:sz w:val="20"/>
                <w:szCs w:val="20"/>
              </w:rPr>
              <w:t xml:space="preserve">High</w:t>
            </w:r>
          </w:p>
        </w:tc>
      </w:tr>
    </w:tbl>
    <w:p>
      <w:pPr>
        <w:spacing w:after="120"/>
      </w:pPr>
    </w:p>
    <w:p>
      <w:pPr>
        <w:pStyle w:val="Heading3"/>
        <w:keepNext/>
      </w:pPr>
      <w:r>
        <w:rPr/>
        <w:t xml:space="preserve">Based on</w:t>
      </w:r>
    </w:p>
    <w:p>
      <w:pPr>
        <w:pStyle w:val="ListParagraph"/>
        <w:jc w:val="left"/>
      </w:pPr>
      <w:r>
        <w:rPr/>
        <w:t xml:space="preserve">Client files appearing with Everyone Except External Users permissions</w:t>
      </w:r>
    </w:p>
    <w:p>
      <w:pPr>
        <w:pStyle w:val="ListParagraph"/>
        <w:jc w:val="left"/>
      </w:pPr>
      <w:r>
        <w:rPr/>
        <w:t xml:space="preserve">Broad SharePoint group access</w:t>
      </w:r>
    </w:p>
    <w:p>
      <w:pPr>
        <w:pStyle w:val="ListParagraph"/>
        <w:jc w:val="left"/>
      </w:pPr>
      <w:r>
        <w:rPr/>
        <w:t xml:space="preserve">Mixed operational and client content structures</w:t>
      </w:r>
    </w:p>
    <w:p>
      <w:pPr>
        <w:pStyle w:val="Heading2"/>
        <w:keepNext/>
        <w:spacing w:before="240" w:after="120"/>
      </w:pPr>
      <w:r>
        <w:rPr/>
        <w:t xml:space="preserve">Permissions Exposure</w:t>
      </w:r>
    </w:p>
    <w:p>
      <w:pPr>
        <w:keepNext/>
        <w:spacing w:before="120" w:after="60"/>
        <w:jc w:val="center"/>
      </w:pPr>
      <w:r>
        <w:drawing>
          <wp:inline distT="0" distB="0" distL="0" distR="0">
            <wp:extent cx="3960000" cy="2673630"/>
            <wp:docPr id="105" name="donut.png" descr="Donut chart: content shared broad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donut.png"/>
                    <pic:cNvPicPr/>
                  </pic:nvPicPr>
                  <pic:blipFill>
                    <a:blip r:embed="rIdImg105"/>
                    <a:stretch>
                      <a:fillRect/>
                    </a:stretch>
                  </pic:blipFill>
                  <pic:spPr>
                    <a:xfrm>
                      <a:off x="0" y="0"/>
                      <a:ext cx="3960000" cy="2673630"/>
                    </a:xfrm>
                    <a:prstGeom prst="rect">
                      <a:avLst/>
                    </a:prstGeom>
                  </pic:spPr>
                </pic:pic>
              </a:graphicData>
            </a:graphic>
          </wp:inline>
        </w:drawing>
      </w:r>
    </w:p>
    <w:p>
      <w:pPr>
        <w:spacing w:before="60" w:after="200"/>
        <w:jc w:val="center"/>
      </w:pPr>
      <w:r>
        <w:rPr>
          <w:i/>
          <w:color w:val="7F7F7F"/>
          <w:sz w:val="16"/>
          <w:szCs w:val="16"/>
        </w:rPr>
        <w:t xml:space="preserve">Figure 4: Content shared broadly. Segments are illustrative; size them from the "Everyone Except External Users" and "Everyone" sharing reports.</w:t>
      </w:r>
    </w:p>
    <w:p>
      <w:pPr>
        <w:pStyle w:val="WarningBox"/>
        <w:jc w:val="left"/>
      </w:pPr>
      <w:r>
        <w:rPr/>
        <w:t xml:space="preserve">Multiple client documents and folders were identified with "Everyone Except External Users" permissions, increasing exposure of sensitive client information across the organisation.</w:t>
      </w:r>
    </w:p>
    <w:p>
      <w:pPr>
        <w:pStyle w:val="Heading1"/>
        <w:pageBreakBefore/>
        <w:pBdr>
          <w:bottom w:val="single" w:sz="18" w:space="4" w:color="E60012"/>
        </w:pBdr>
      </w:pPr>
      <w:r>
        <w:rPr/>
        <w:t xml:space="preserve">Section 3: Future State Vision</w:t>
      </w:r>
    </w:p>
    <w:p>
      <w:pPr>
        <w:pStyle w:val="Heading2"/>
        <w:keepNext/>
        <w:spacing w:before="240" w:after="120"/>
      </w:pPr>
      <w:r>
        <w:rPr/>
        <w:t xml:space="preserve">Transformation Vision</w:t>
      </w:r>
    </w:p>
    <w:p>
      <w:pPr>
        <w:keepNext/>
        <w:spacing w:before="120" w:after="60"/>
        <w:jc w:val="center"/>
      </w:pPr>
      <w:r>
        <w:drawing>
          <wp:inline distT="0" distB="0" distL="0" distR="0">
            <wp:extent cx="5400000" cy="2538000"/>
            <wp:docPr id="106" name="beforeafter.png" descr="Before and after 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beforeafter.png"/>
                    <pic:cNvPicPr/>
                  </pic:nvPicPr>
                  <pic:blipFill>
                    <a:blip r:embed="rIdImg106"/>
                    <a:stretch>
                      <a:fillRect/>
                    </a:stretch>
                  </pic:blipFill>
                  <pic:spPr>
                    <a:xfrm>
                      <a:off x="0" y="0"/>
                      <a:ext cx="5400000" cy="2538000"/>
                    </a:xfrm>
                    <a:prstGeom prst="rect">
                      <a:avLst/>
                    </a:prstGeom>
                  </pic:spPr>
                </pic:pic>
              </a:graphicData>
            </a:graphic>
          </wp:inline>
        </w:drawing>
      </w:r>
    </w:p>
    <w:p>
      <w:pPr>
        <w:spacing w:before="60" w:after="200"/>
        <w:jc w:val="center"/>
      </w:pPr>
      <w:r>
        <w:rPr>
          <w:i/>
          <w:color w:val="7F7F7F"/>
          <w:sz w:val="16"/>
          <w:szCs w:val="16"/>
        </w:rPr>
        <w:t xml:space="preserve">Figure 5: Current versus future structure</w:t>
      </w:r>
    </w:p>
    <w:p>
      <w:pPr>
        <w:pStyle w:val="Heading2"/>
        <w:keepNext/>
        <w:spacing w:before="240" w:after="120"/>
      </w:pPr>
      <w:r>
        <w:rPr/>
        <w:t xml:space="preserve">Modern Intranet Vision</w:t>
      </w:r>
    </w:p>
    <w:p>
      <w:pPr>
        <w:keepNext/>
        <w:spacing w:before="120" w:after="60"/>
        <w:jc w:val="center"/>
      </w:pPr>
      <w:r>
        <w:drawing>
          <wp:inline distT="0" distB="0" distL="0" distR="0">
            <wp:extent cx="4860000" cy="3032640"/>
            <wp:docPr id="107" name="intranet.png" descr="Modern intranet homepage moc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intranet.png"/>
                    <pic:cNvPicPr/>
                  </pic:nvPicPr>
                  <pic:blipFill>
                    <a:blip r:embed="rIdImg107"/>
                    <a:stretch>
                      <a:fillRect/>
                    </a:stretch>
                  </pic:blipFill>
                  <pic:spPr>
                    <a:xfrm>
                      <a:off x="0" y="0"/>
                      <a:ext cx="4860000" cy="3032640"/>
                    </a:xfrm>
                    <a:prstGeom prst="rect">
                      <a:avLst/>
                    </a:prstGeom>
                  </pic:spPr>
                </pic:pic>
              </a:graphicData>
            </a:graphic>
          </wp:inline>
        </w:drawing>
      </w:r>
    </w:p>
    <w:p>
      <w:pPr>
        <w:spacing w:before="60" w:after="200"/>
        <w:jc w:val="center"/>
      </w:pPr>
      <w:r>
        <w:rPr>
          <w:i/>
          <w:color w:val="7F7F7F"/>
          <w:sz w:val="16"/>
          <w:szCs w:val="16"/>
        </w:rPr>
        <w:t xml:space="preserve">Figure 6: Advice Financial Hub concept mockup</w:t>
      </w:r>
    </w:p>
    <w:p>
      <w:pPr>
        <w:pStyle w:val="NotificationBox"/>
        <w:jc w:val="left"/>
      </w:pPr>
      <w:r>
        <w:rPr/>
        <w:t xml:space="preserve">Mockup AI prompt: "Modern SharePoint intranet homepage for financial advisory firm, Ricoh corporate styling, red accents, clean white interface, Microsoft 365 modern webparts, news cards, quick links, compliance resources, staff directory, executive dashboard layout." Based on the Advice Financial Hub concept.</w:t>
      </w:r>
    </w:p>
    <w:p>
      <w:pPr>
        <w:pStyle w:val="Heading1"/>
        <w:pageBreakBefore/>
        <w:pBdr>
          <w:bottom w:val="single" w:sz="18" w:space="4" w:color="E60012"/>
        </w:pBdr>
      </w:pPr>
      <w:r>
        <w:rPr/>
        <w:t xml:space="preserve">Section 4: Recommended Information Architecture</w:t>
      </w:r>
    </w:p>
    <w:p>
      <w:pPr>
        <w:pStyle w:val="Heading2"/>
        <w:keepNext/>
        <w:spacing w:before="240" w:after="120"/>
      </w:pPr>
      <w:r>
        <w:rPr/>
        <w:t xml:space="preserve">Future Hub Architecture</w:t>
      </w:r>
    </w:p>
    <w:p>
      <w:pPr>
        <w:keepNext/>
        <w:spacing w:before="120" w:after="60"/>
        <w:jc w:val="center"/>
      </w:pPr>
      <w:r>
        <w:drawing>
          <wp:inline distT="0" distB="0" distL="0" distR="0">
            <wp:extent cx="5400000" cy="2205360"/>
            <wp:docPr id="108" name="hub.png" descr="Hub 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hub.png"/>
                    <pic:cNvPicPr/>
                  </pic:nvPicPr>
                  <pic:blipFill>
                    <a:blip r:embed="rIdImg108"/>
                    <a:stretch>
                      <a:fillRect/>
                    </a:stretch>
                  </pic:blipFill>
                  <pic:spPr>
                    <a:xfrm>
                      <a:off x="0" y="0"/>
                      <a:ext cx="5400000" cy="2205360"/>
                    </a:xfrm>
                    <a:prstGeom prst="rect">
                      <a:avLst/>
                    </a:prstGeom>
                  </pic:spPr>
                </pic:pic>
              </a:graphicData>
            </a:graphic>
          </wp:inline>
        </w:drawing>
      </w:r>
    </w:p>
    <w:p>
      <w:pPr>
        <w:spacing w:before="60" w:after="200"/>
        <w:jc w:val="center"/>
      </w:pPr>
      <w:r>
        <w:rPr>
          <w:i/>
          <w:color w:val="7F7F7F"/>
          <w:sz w:val="16"/>
          <w:szCs w:val="16"/>
        </w:rPr>
        <w:t xml:space="preserve">Figure 7: Advice Financial Hub architecture</w:t>
      </w:r>
    </w:p>
    <w:p>
      <w:pPr>
        <w:pStyle w:val="Heading2"/>
        <w:keepNext/>
        <w:spacing w:before="240" w:after="120"/>
      </w:pPr>
      <w:r>
        <w:rPr/>
        <w:t xml:space="preserve">Client Records Model</w:t>
      </w:r>
    </w:p>
    <w:p>
      <w:pPr>
        <w:keepNext/>
        <w:spacing w:before="120" w:after="60"/>
        <w:jc w:val="center"/>
      </w:pPr>
      <w:r>
        <w:drawing>
          <wp:inline distT="0" distB="0" distL="0" distR="0">
            <wp:extent cx="4860000" cy="2913927"/>
            <wp:docPr id="109" name="records.png" descr="Client records security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records.png"/>
                    <pic:cNvPicPr/>
                  </pic:nvPicPr>
                  <pic:blipFill>
                    <a:blip r:embed="rIdImg109"/>
                    <a:stretch>
                      <a:fillRect/>
                    </a:stretch>
                  </pic:blipFill>
                  <pic:spPr>
                    <a:xfrm>
                      <a:off x="0" y="0"/>
                      <a:ext cx="4860000" cy="2913927"/>
                    </a:xfrm>
                    <a:prstGeom prst="rect">
                      <a:avLst/>
                    </a:prstGeom>
                  </pic:spPr>
                </pic:pic>
              </a:graphicData>
            </a:graphic>
          </wp:inline>
        </w:drawing>
      </w:r>
    </w:p>
    <w:p>
      <w:pPr>
        <w:spacing w:before="60" w:after="200"/>
        <w:jc w:val="center"/>
      </w:pPr>
      <w:r>
        <w:rPr>
          <w:i/>
          <w:color w:val="7F7F7F"/>
          <w:sz w:val="16"/>
          <w:szCs w:val="16"/>
        </w:rPr>
        <w:t xml:space="preserve">Figure 8: Client Records structure and security model</w:t>
      </w:r>
    </w:p>
    <w:p>
      <w:pPr>
        <w:spacing w:after="120"/>
        <w:jc w:val="left"/>
      </w:pPr>
      <w:r>
        <w:rPr/>
        <w:t xml:space="preserve">Security is applied through Adviser Teams, Business Units and Leadership Groups, rather than broad member permissions.</w:t>
      </w:r>
    </w:p>
    <w:p>
      <w:pPr>
        <w:pStyle w:val="Heading1"/>
        <w:pageBreakBefore/>
        <w:pBdr>
          <w:bottom w:val="single" w:sz="18" w:space="4" w:color="E60012"/>
        </w:pBdr>
      </w:pPr>
      <w:r>
        <w:rPr/>
        <w:t xml:space="preserve">Section 5: Governance Framework</w:t>
      </w:r>
    </w:p>
    <w:p>
      <w:pPr>
        <w:pStyle w:val="Heading2"/>
        <w:keepNext/>
        <w:spacing w:before="240" w:after="120"/>
      </w:pPr>
      <w:r>
        <w:rPr/>
        <w:t xml:space="preserve">Governance Model</w:t>
      </w:r>
    </w:p>
    <w:p>
      <w:pPr>
        <w:keepNext/>
        <w:spacing w:before="120" w:after="60"/>
        <w:jc w:val="center"/>
      </w:pPr>
      <w:r>
        <w:drawing>
          <wp:inline distT="0" distB="0" distL="0" distR="0">
            <wp:extent cx="5400000" cy="1872720"/>
            <wp:docPr id="110" name="pillars.png" descr="Four pillar governance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llars.png"/>
                    <pic:cNvPicPr/>
                  </pic:nvPicPr>
                  <pic:blipFill>
                    <a:blip r:embed="rIdImg110"/>
                    <a:stretch>
                      <a:fillRect/>
                    </a:stretch>
                  </pic:blipFill>
                  <pic:spPr>
                    <a:xfrm>
                      <a:off x="0" y="0"/>
                      <a:ext cx="5400000" cy="1872720"/>
                    </a:xfrm>
                    <a:prstGeom prst="rect">
                      <a:avLst/>
                    </a:prstGeom>
                  </pic:spPr>
                </pic:pic>
              </a:graphicData>
            </a:graphic>
          </wp:inline>
        </w:drawing>
      </w:r>
    </w:p>
    <w:p>
      <w:pPr>
        <w:spacing w:before="60" w:after="200"/>
        <w:jc w:val="center"/>
      </w:pPr>
      <w:r>
        <w:rPr>
          <w:i/>
          <w:color w:val="7F7F7F"/>
          <w:sz w:val="16"/>
          <w:szCs w:val="16"/>
        </w:rPr>
        <w:t xml:space="preserve">Figure 9: Four-pillar governance model</w:t>
      </w:r>
    </w:p>
    <w:tbl>
      <w:tblPr>
        <w:tblStyle w:val="RicohTableStyle"/>
        <w:tblW w:w="8929" w:type="dxa"/>
        <w:tblLayout w:type="fixed"/>
        <w:tblLook w:val="04A0" w:firstRow="1" w:lastRow="0" w:firstColumn="0" w:lastColumn="0" w:noHBand="0" w:noVBand="1"/>
      </w:tblPr>
      <w:tblGrid>
        <w:gridCol w:w="3000"/>
        <w:gridCol w:w="5929"/>
      </w:tblGrid>
      <w:tr>
        <w:trPr>
          <w:cantSplit/>
          <w:tblHeader/>
        </w:trPr>
        <w:tc>
          <w:tcPr>
            <w:tcW w:w="3000" w:type="dxa"/>
          </w:tcPr>
          <w:p>
            <w:pPr>
              <w:spacing w:before="40" w:after="40"/>
              <w:jc w:val="left"/>
            </w:pPr>
            <w:r>
              <w:rPr>
                <w:b/>
                <w:color w:val="FFFFFF"/>
                <w:sz w:val="20"/>
                <w:szCs w:val="20"/>
              </w:rPr>
              <w:t xml:space="preserve">Pillar</w:t>
            </w:r>
          </w:p>
        </w:tc>
        <w:tc>
          <w:tcPr>
            <w:tcW w:w="5929" w:type="dxa"/>
          </w:tcPr>
          <w:p>
            <w:pPr>
              <w:spacing w:before="40" w:after="40"/>
              <w:jc w:val="left"/>
            </w:pPr>
            <w:r>
              <w:rPr>
                <w:b/>
                <w:color w:val="FFFFFF"/>
                <w:sz w:val="20"/>
                <w:szCs w:val="20"/>
              </w:rPr>
              <w:t xml:space="preserve">Practice</w:t>
            </w:r>
          </w:p>
        </w:tc>
      </w:tr>
      <w:tr>
        <w:trPr>
          <w:cantSplit/>
        </w:trPr>
        <w:tc>
          <w:tcPr>
            <w:tcW w:w="3000" w:type="dxa"/>
          </w:tcPr>
          <w:p>
            <w:pPr>
              <w:spacing w:before="40" w:after="40"/>
              <w:jc w:val="left"/>
            </w:pPr>
            <w:r>
              <w:rPr>
                <w:sz w:val="20"/>
                <w:szCs w:val="20"/>
              </w:rPr>
              <w:t xml:space="preserve">Ownership</w:t>
            </w:r>
          </w:p>
        </w:tc>
        <w:tc>
          <w:tcPr>
            <w:tcW w:w="5929" w:type="dxa"/>
          </w:tcPr>
          <w:p>
            <w:pPr>
              <w:spacing w:before="40" w:after="40"/>
              <w:jc w:val="left"/>
            </w:pPr>
            <w:r>
              <w:rPr>
                <w:sz w:val="20"/>
                <w:szCs w:val="20"/>
              </w:rPr>
              <w:t xml:space="preserve">Primary + Secondary Owner</w:t>
            </w:r>
          </w:p>
        </w:tc>
      </w:tr>
      <w:tr>
        <w:trPr>
          <w:cantSplit/>
        </w:trPr>
        <w:tc>
          <w:tcPr>
            <w:tcW w:w="3000" w:type="dxa"/>
          </w:tcPr>
          <w:p>
            <w:pPr>
              <w:spacing w:before="40" w:after="40"/>
              <w:jc w:val="left"/>
            </w:pPr>
            <w:r>
              <w:rPr>
                <w:sz w:val="20"/>
                <w:szCs w:val="20"/>
              </w:rPr>
              <w:t xml:space="preserve">Security</w:t>
            </w:r>
          </w:p>
        </w:tc>
        <w:tc>
          <w:tcPr>
            <w:tcW w:w="5929" w:type="dxa"/>
          </w:tcPr>
          <w:p>
            <w:pPr>
              <w:spacing w:before="40" w:after="40"/>
              <w:jc w:val="left"/>
            </w:pPr>
            <w:r>
              <w:rPr>
                <w:sz w:val="20"/>
                <w:szCs w:val="20"/>
              </w:rPr>
              <w:t xml:space="preserve">Role-Based Access</w:t>
            </w:r>
          </w:p>
        </w:tc>
      </w:tr>
      <w:tr>
        <w:trPr>
          <w:cantSplit/>
        </w:trPr>
        <w:tc>
          <w:tcPr>
            <w:tcW w:w="3000" w:type="dxa"/>
          </w:tcPr>
          <w:p>
            <w:pPr>
              <w:spacing w:before="40" w:after="40"/>
              <w:jc w:val="left"/>
            </w:pPr>
            <w:r>
              <w:rPr>
                <w:sz w:val="20"/>
                <w:szCs w:val="20"/>
              </w:rPr>
              <w:t xml:space="preserve">Lifecycle</w:t>
            </w:r>
          </w:p>
        </w:tc>
        <w:tc>
          <w:tcPr>
            <w:tcW w:w="5929" w:type="dxa"/>
          </w:tcPr>
          <w:p>
            <w:pPr>
              <w:spacing w:before="40" w:after="40"/>
              <w:jc w:val="left"/>
            </w:pPr>
            <w:r>
              <w:rPr>
                <w:sz w:val="20"/>
                <w:szCs w:val="20"/>
              </w:rPr>
              <w:t xml:space="preserve">Retention Management</w:t>
            </w:r>
          </w:p>
        </w:tc>
      </w:tr>
      <w:tr>
        <w:trPr>
          <w:cantSplit/>
        </w:trPr>
        <w:tc>
          <w:tcPr>
            <w:tcW w:w="3000" w:type="dxa"/>
          </w:tcPr>
          <w:p>
            <w:pPr>
              <w:spacing w:before="40" w:after="40"/>
              <w:jc w:val="left"/>
            </w:pPr>
            <w:r>
              <w:rPr>
                <w:sz w:val="20"/>
                <w:szCs w:val="20"/>
              </w:rPr>
              <w:t xml:space="preserve">Compliance</w:t>
            </w:r>
          </w:p>
        </w:tc>
        <w:tc>
          <w:tcPr>
            <w:tcW w:w="5929" w:type="dxa"/>
          </w:tcPr>
          <w:p>
            <w:pPr>
              <w:spacing w:before="40" w:after="40"/>
              <w:jc w:val="left"/>
            </w:pPr>
            <w:r>
              <w:rPr>
                <w:sz w:val="20"/>
                <w:szCs w:val="20"/>
              </w:rPr>
              <w:t xml:space="preserve">Regular Review</w:t>
            </w:r>
          </w:p>
        </w:tc>
      </w:tr>
    </w:tbl>
    <w:p>
      <w:pPr>
        <w:spacing w:after="120"/>
      </w:pPr>
    </w:p>
    <w:p>
      <w:pPr>
        <w:pStyle w:val="Heading2"/>
        <w:keepNext/>
        <w:spacing w:before="240" w:after="120"/>
      </w:pPr>
      <w:r>
        <w:rPr/>
        <w:t xml:space="preserve">Recommended Permission Model</w:t>
      </w:r>
    </w:p>
    <w:tbl>
      <w:tblPr>
        <w:tblStyle w:val="RicohTableStyle"/>
        <w:tblW w:w="8929" w:type="dxa"/>
        <w:tblLayout w:type="fixed"/>
        <w:tblLook w:val="04A0" w:firstRow="1" w:lastRow="0" w:firstColumn="0" w:lastColumn="0" w:noHBand="0" w:noVBand="1"/>
      </w:tblPr>
      <w:tblGrid>
        <w:gridCol w:w="4464"/>
        <w:gridCol w:w="4465"/>
      </w:tblGrid>
      <w:tr>
        <w:trPr>
          <w:cantSplit/>
          <w:tblHeader/>
        </w:trPr>
        <w:tc>
          <w:tcPr>
            <w:tcW w:w="4464" w:type="dxa"/>
          </w:tcPr>
          <w:p>
            <w:pPr>
              <w:spacing w:before="40" w:after="40"/>
              <w:jc w:val="left"/>
            </w:pPr>
            <w:r>
              <w:rPr>
                <w:b/>
                <w:color w:val="FFFFFF"/>
                <w:sz w:val="20"/>
                <w:szCs w:val="20"/>
              </w:rPr>
              <w:t xml:space="preserve">Replace</w:t>
            </w:r>
          </w:p>
        </w:tc>
        <w:tc>
          <w:tcPr>
            <w:tcW w:w="4465" w:type="dxa"/>
          </w:tcPr>
          <w:p>
            <w:pPr>
              <w:spacing w:before="40" w:after="40"/>
              <w:jc w:val="left"/>
            </w:pPr>
            <w:r>
              <w:rPr>
                <w:b/>
                <w:color w:val="FFFFFF"/>
                <w:sz w:val="20"/>
                <w:szCs w:val="20"/>
              </w:rPr>
              <w:t xml:space="preserve">With</w:t>
            </w:r>
          </w:p>
        </w:tc>
      </w:tr>
      <w:tr>
        <w:trPr>
          <w:cantSplit/>
        </w:trPr>
        <w:tc>
          <w:tcPr>
            <w:tcW w:w="4464" w:type="dxa"/>
          </w:tcPr>
          <w:p>
            <w:pPr>
              <w:spacing w:before="40" w:after="40"/>
              <w:jc w:val="left"/>
            </w:pPr>
            <w:r>
              <w:rPr>
                <w:b/>
                <w:color w:val="E60012"/>
                <w:sz w:val="20"/>
                <w:szCs w:val="20"/>
              </w:rPr>
              <w:t xml:space="preserve">Everyone</w:t>
            </w:r>
          </w:p>
        </w:tc>
        <w:tc>
          <w:tcPr>
            <w:tcW w:w="4465" w:type="dxa"/>
          </w:tcPr>
          <w:p>
            <w:pPr>
              <w:spacing w:before="40" w:after="40"/>
              <w:jc w:val="left"/>
            </w:pPr>
            <w:r>
              <w:rPr>
                <w:b/>
                <w:color w:val="2E7D32"/>
                <w:sz w:val="20"/>
                <w:szCs w:val="20"/>
              </w:rPr>
              <w:t xml:space="preserve">Advisers</w:t>
            </w:r>
          </w:p>
        </w:tc>
      </w:tr>
      <w:tr>
        <w:trPr>
          <w:cantSplit/>
        </w:trPr>
        <w:tc>
          <w:tcPr>
            <w:tcW w:w="4464" w:type="dxa"/>
          </w:tcPr>
          <w:p>
            <w:pPr>
              <w:spacing w:before="40" w:after="40"/>
              <w:jc w:val="left"/>
            </w:pPr>
            <w:r>
              <w:rPr>
                <w:b/>
                <w:color w:val="E60012"/>
                <w:sz w:val="20"/>
                <w:szCs w:val="20"/>
              </w:rPr>
              <w:t xml:space="preserve">Everyone Except External Users</w:t>
            </w:r>
          </w:p>
        </w:tc>
        <w:tc>
          <w:tcPr>
            <w:tcW w:w="4465" w:type="dxa"/>
          </w:tcPr>
          <w:p>
            <w:pPr>
              <w:spacing w:before="40" w:after="40"/>
              <w:jc w:val="left"/>
            </w:pPr>
            <w:r>
              <w:rPr>
                <w:b/>
                <w:color w:val="2E7D32"/>
                <w:sz w:val="20"/>
                <w:szCs w:val="20"/>
              </w:rPr>
              <w:t xml:space="preserve">Operations</w:t>
            </w:r>
          </w:p>
        </w:tc>
      </w:tr>
      <w:tr>
        <w:trPr>
          <w:cantSplit/>
        </w:trPr>
        <w:tc>
          <w:tcPr>
            <w:tcW w:w="4464" w:type="dxa"/>
          </w:tcPr>
          <w:p>
            <w:pPr>
              <w:spacing w:before="40" w:after="40"/>
              <w:jc w:val="left"/>
            </w:pPr>
            <w:r>
              <w:rPr>
                <w:sz w:val="20"/>
                <w:szCs w:val="20"/>
              </w:rPr>
              <w:t xml:space="preserve"/>
            </w:r>
          </w:p>
        </w:tc>
        <w:tc>
          <w:tcPr>
            <w:tcW w:w="4465" w:type="dxa"/>
          </w:tcPr>
          <w:p>
            <w:pPr>
              <w:spacing w:before="40" w:after="40"/>
              <w:jc w:val="left"/>
            </w:pPr>
            <w:r>
              <w:rPr>
                <w:b/>
                <w:color w:val="2E7D32"/>
                <w:sz w:val="20"/>
                <w:szCs w:val="20"/>
              </w:rPr>
              <w:t xml:space="preserve">Compliance</w:t>
            </w:r>
          </w:p>
        </w:tc>
      </w:tr>
      <w:tr>
        <w:trPr>
          <w:cantSplit/>
        </w:trPr>
        <w:tc>
          <w:tcPr>
            <w:tcW w:w="4464" w:type="dxa"/>
          </w:tcPr>
          <w:p>
            <w:pPr>
              <w:spacing w:before="40" w:after="40"/>
              <w:jc w:val="left"/>
            </w:pPr>
            <w:r>
              <w:rPr>
                <w:sz w:val="20"/>
                <w:szCs w:val="20"/>
              </w:rPr>
              <w:t xml:space="preserve"/>
            </w:r>
          </w:p>
        </w:tc>
        <w:tc>
          <w:tcPr>
            <w:tcW w:w="4465" w:type="dxa"/>
          </w:tcPr>
          <w:p>
            <w:pPr>
              <w:spacing w:before="40" w:after="40"/>
              <w:jc w:val="left"/>
            </w:pPr>
            <w:r>
              <w:rPr>
                <w:b/>
                <w:color w:val="2E7D32"/>
                <w:sz w:val="20"/>
                <w:szCs w:val="20"/>
              </w:rPr>
              <w:t xml:space="preserve">Leadership</w:t>
            </w:r>
          </w:p>
        </w:tc>
      </w:tr>
      <w:tr>
        <w:trPr>
          <w:cantSplit/>
        </w:trPr>
        <w:tc>
          <w:tcPr>
            <w:tcW w:w="4464" w:type="dxa"/>
          </w:tcPr>
          <w:p>
            <w:pPr>
              <w:spacing w:before="40" w:after="40"/>
              <w:jc w:val="left"/>
            </w:pPr>
            <w:r>
              <w:rPr>
                <w:sz w:val="20"/>
                <w:szCs w:val="20"/>
              </w:rPr>
              <w:t xml:space="preserve"/>
            </w:r>
          </w:p>
        </w:tc>
        <w:tc>
          <w:tcPr>
            <w:tcW w:w="4465" w:type="dxa"/>
          </w:tcPr>
          <w:p>
            <w:pPr>
              <w:spacing w:before="40" w:after="40"/>
              <w:jc w:val="left"/>
            </w:pPr>
            <w:r>
              <w:rPr>
                <w:b/>
                <w:color w:val="2E7D32"/>
                <w:sz w:val="20"/>
                <w:szCs w:val="20"/>
              </w:rPr>
              <w:t xml:space="preserve">Role-Based Security Groups</w:t>
            </w:r>
          </w:p>
        </w:tc>
      </w:tr>
    </w:tbl>
    <w:p>
      <w:pPr>
        <w:spacing w:after="120"/>
      </w:pPr>
    </w:p>
    <w:p>
      <w:pPr>
        <w:pStyle w:val="Heading1"/>
        <w:pageBreakBefore/>
        <w:pBdr>
          <w:bottom w:val="single" w:sz="18" w:space="4" w:color="E60012"/>
        </w:pBdr>
      </w:pPr>
      <w:r>
        <w:rPr/>
        <w:t xml:space="preserve">Section 6: Implementation Roadmap</w:t>
      </w:r>
    </w:p>
    <w:p>
      <w:pPr>
        <w:keepNext/>
        <w:spacing w:before="120" w:after="60"/>
        <w:jc w:val="center"/>
      </w:pPr>
      <w:r>
        <w:drawing>
          <wp:inline distT="0" distB="0" distL="0" distR="0">
            <wp:extent cx="5400000" cy="2039040"/>
            <wp:docPr id="111" name="timeline.png" descr="Five phase implementation road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timeline.png"/>
                    <pic:cNvPicPr/>
                  </pic:nvPicPr>
                  <pic:blipFill>
                    <a:blip r:embed="rIdImg111"/>
                    <a:stretch>
                      <a:fillRect/>
                    </a:stretch>
                  </pic:blipFill>
                  <pic:spPr>
                    <a:xfrm>
                      <a:off x="0" y="0"/>
                      <a:ext cx="5400000" cy="2039040"/>
                    </a:xfrm>
                    <a:prstGeom prst="rect">
                      <a:avLst/>
                    </a:prstGeom>
                  </pic:spPr>
                </pic:pic>
              </a:graphicData>
            </a:graphic>
          </wp:inline>
        </w:drawing>
      </w:r>
    </w:p>
    <w:p>
      <w:pPr>
        <w:spacing w:before="60" w:after="200"/>
        <w:jc w:val="center"/>
      </w:pPr>
      <w:r>
        <w:rPr>
          <w:i/>
          <w:color w:val="7F7F7F"/>
          <w:sz w:val="16"/>
          <w:szCs w:val="16"/>
        </w:rPr>
        <w:t xml:space="preserve">Figure 10: Implementation roadmap</w:t>
      </w:r>
    </w:p>
    <w:tbl>
      <w:tblPr>
        <w:tblStyle w:val="RicohTableStyle"/>
        <w:tblW w:w="8929" w:type="dxa"/>
        <w:tblLayout w:type="fixed"/>
        <w:tblLook w:val="04A0" w:firstRow="1" w:lastRow="0" w:firstColumn="0" w:lastColumn="0" w:noHBand="0" w:noVBand="1"/>
      </w:tblPr>
      <w:tblGrid>
        <w:gridCol w:w="2500"/>
        <w:gridCol w:w="6429"/>
      </w:tblGrid>
      <w:tr>
        <w:trPr>
          <w:cantSplit/>
          <w:tblHeader/>
        </w:trPr>
        <w:tc>
          <w:tcPr>
            <w:tcW w:w="2500" w:type="dxa"/>
          </w:tcPr>
          <w:p>
            <w:pPr>
              <w:spacing w:before="40" w:after="40"/>
              <w:jc w:val="left"/>
            </w:pPr>
            <w:r>
              <w:rPr>
                <w:b/>
                <w:color w:val="FFFFFF"/>
                <w:sz w:val="20"/>
                <w:szCs w:val="20"/>
              </w:rPr>
              <w:t xml:space="preserve">Phase</w:t>
            </w:r>
          </w:p>
        </w:tc>
        <w:tc>
          <w:tcPr>
            <w:tcW w:w="6429" w:type="dxa"/>
          </w:tcPr>
          <w:p>
            <w:pPr>
              <w:spacing w:before="40" w:after="40"/>
              <w:jc w:val="left"/>
            </w:pPr>
            <w:r>
              <w:rPr>
                <w:b/>
                <w:color w:val="FFFFFF"/>
                <w:sz w:val="20"/>
                <w:szCs w:val="20"/>
              </w:rPr>
              <w:t xml:space="preserve">Focus</w:t>
            </w:r>
          </w:p>
        </w:tc>
      </w:tr>
      <w:tr>
        <w:trPr>
          <w:cantSplit/>
        </w:trPr>
        <w:tc>
          <w:tcPr>
            <w:tcW w:w="2500" w:type="dxa"/>
          </w:tcPr>
          <w:p>
            <w:pPr>
              <w:spacing w:before="40" w:after="40"/>
              <w:jc w:val="left"/>
            </w:pPr>
            <w:r>
              <w:rPr>
                <w:sz w:val="20"/>
                <w:szCs w:val="20"/>
              </w:rPr>
              <w:t xml:space="preserve">Phase 1</w:t>
            </w:r>
          </w:p>
        </w:tc>
        <w:tc>
          <w:tcPr>
            <w:tcW w:w="6429" w:type="dxa"/>
          </w:tcPr>
          <w:p>
            <w:pPr>
              <w:spacing w:before="40" w:after="40"/>
              <w:jc w:val="left"/>
            </w:pPr>
            <w:r>
              <w:rPr>
                <w:sz w:val="20"/>
                <w:szCs w:val="20"/>
              </w:rPr>
              <w:t xml:space="preserve">Assessment &amp; Governance</w:t>
            </w:r>
          </w:p>
        </w:tc>
      </w:tr>
      <w:tr>
        <w:trPr>
          <w:cantSplit/>
        </w:trPr>
        <w:tc>
          <w:tcPr>
            <w:tcW w:w="2500" w:type="dxa"/>
          </w:tcPr>
          <w:p>
            <w:pPr>
              <w:spacing w:before="40" w:after="40"/>
              <w:jc w:val="left"/>
            </w:pPr>
            <w:r>
              <w:rPr>
                <w:sz w:val="20"/>
                <w:szCs w:val="20"/>
              </w:rPr>
              <w:t xml:space="preserve">Phase 2</w:t>
            </w:r>
          </w:p>
        </w:tc>
        <w:tc>
          <w:tcPr>
            <w:tcW w:w="6429" w:type="dxa"/>
          </w:tcPr>
          <w:p>
            <w:pPr>
              <w:spacing w:before="40" w:after="40"/>
              <w:jc w:val="left"/>
            </w:pPr>
            <w:r>
              <w:rPr>
                <w:sz w:val="20"/>
                <w:szCs w:val="20"/>
              </w:rPr>
              <w:t xml:space="preserve">Information Architecture</w:t>
            </w:r>
          </w:p>
        </w:tc>
      </w:tr>
      <w:tr>
        <w:trPr>
          <w:cantSplit/>
        </w:trPr>
        <w:tc>
          <w:tcPr>
            <w:tcW w:w="2500" w:type="dxa"/>
          </w:tcPr>
          <w:p>
            <w:pPr>
              <w:spacing w:before="40" w:after="40"/>
              <w:jc w:val="left"/>
            </w:pPr>
            <w:r>
              <w:rPr>
                <w:sz w:val="20"/>
                <w:szCs w:val="20"/>
              </w:rPr>
              <w:t xml:space="preserve">Phase 3</w:t>
            </w:r>
          </w:p>
        </w:tc>
        <w:tc>
          <w:tcPr>
            <w:tcW w:w="6429" w:type="dxa"/>
          </w:tcPr>
          <w:p>
            <w:pPr>
              <w:spacing w:before="40" w:after="40"/>
              <w:jc w:val="left"/>
            </w:pPr>
            <w:r>
              <w:rPr>
                <w:sz w:val="20"/>
                <w:szCs w:val="20"/>
              </w:rPr>
              <w:t xml:space="preserve">Modern Intranet</w:t>
            </w:r>
          </w:p>
        </w:tc>
      </w:tr>
      <w:tr>
        <w:trPr>
          <w:cantSplit/>
        </w:trPr>
        <w:tc>
          <w:tcPr>
            <w:tcW w:w="2500" w:type="dxa"/>
          </w:tcPr>
          <w:p>
            <w:pPr>
              <w:spacing w:before="40" w:after="40"/>
              <w:jc w:val="left"/>
            </w:pPr>
            <w:r>
              <w:rPr>
                <w:sz w:val="20"/>
                <w:szCs w:val="20"/>
              </w:rPr>
              <w:t xml:space="preserve">Phase 4</w:t>
            </w:r>
          </w:p>
        </w:tc>
        <w:tc>
          <w:tcPr>
            <w:tcW w:w="6429" w:type="dxa"/>
          </w:tcPr>
          <w:p>
            <w:pPr>
              <w:spacing w:before="40" w:after="40"/>
              <w:jc w:val="left"/>
            </w:pPr>
            <w:r>
              <w:rPr>
                <w:sz w:val="20"/>
                <w:szCs w:val="20"/>
              </w:rPr>
              <w:t xml:space="preserve">Client Repository Transformation</w:t>
            </w:r>
          </w:p>
        </w:tc>
      </w:tr>
      <w:tr>
        <w:trPr>
          <w:cantSplit/>
        </w:trPr>
        <w:tc>
          <w:tcPr>
            <w:tcW w:w="2500" w:type="dxa"/>
          </w:tcPr>
          <w:p>
            <w:pPr>
              <w:spacing w:before="40" w:after="40"/>
              <w:jc w:val="left"/>
            </w:pPr>
            <w:r>
              <w:rPr>
                <w:sz w:val="20"/>
                <w:szCs w:val="20"/>
              </w:rPr>
              <w:t xml:space="preserve">Phase 5</w:t>
            </w:r>
          </w:p>
        </w:tc>
        <w:tc>
          <w:tcPr>
            <w:tcW w:w="6429" w:type="dxa"/>
          </w:tcPr>
          <w:p>
            <w:pPr>
              <w:spacing w:before="40" w:after="40"/>
              <w:jc w:val="left"/>
            </w:pPr>
            <w:r>
              <w:rPr>
                <w:sz w:val="20"/>
                <w:szCs w:val="20"/>
              </w:rPr>
              <w:t xml:space="preserve">Governance &amp; Adoption</w:t>
            </w:r>
          </w:p>
        </w:tc>
      </w:tr>
    </w:tbl>
    <w:p>
      <w:pPr>
        <w:spacing w:after="120"/>
      </w:pPr>
    </w:p>
    <w:p>
      <w:pPr>
        <w:pStyle w:val="Heading1"/>
        <w:pBdr>
          <w:bottom w:val="single" w:sz="18" w:space="4" w:color="E60012"/>
        </w:pBdr>
      </w:pPr>
      <w:r>
        <w:rPr/>
        <w:t xml:space="preserve">Section 7: Expected Business Outcomes</w:t>
      </w:r>
    </w:p>
    <w:p>
      <w:pPr>
        <w:keepNext/>
        <w:spacing w:before="120" w:after="60"/>
        <w:jc w:val="center"/>
      </w:pPr>
      <w:r>
        <w:drawing>
          <wp:inline distT="0" distB="0" distL="0" distR="0">
            <wp:extent cx="5040000" cy="2524032"/>
            <wp:docPr id="112" name="benefits.png" descr="Executive benef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benefits.png"/>
                    <pic:cNvPicPr/>
                  </pic:nvPicPr>
                  <pic:blipFill>
                    <a:blip r:embed="rIdImg112"/>
                    <a:stretch>
                      <a:fillRect/>
                    </a:stretch>
                  </pic:blipFill>
                  <pic:spPr>
                    <a:xfrm>
                      <a:off x="0" y="0"/>
                      <a:ext cx="5040000" cy="2524032"/>
                    </a:xfrm>
                    <a:prstGeom prst="rect">
                      <a:avLst/>
                    </a:prstGeom>
                  </pic:spPr>
                </pic:pic>
              </a:graphicData>
            </a:graphic>
          </wp:inline>
        </w:drawing>
      </w:r>
    </w:p>
    <w:p>
      <w:pPr>
        <w:spacing w:before="60" w:after="200"/>
        <w:jc w:val="center"/>
      </w:pPr>
      <w:r>
        <w:rPr>
          <w:i/>
          <w:color w:val="7F7F7F"/>
          <w:sz w:val="16"/>
          <w:szCs w:val="16"/>
        </w:rPr>
        <w:t xml:space="preserve">Figure 11: Executive benefits</w:t>
      </w:r>
    </w:p>
    <w:p>
      <w:pPr>
        <w:spacing w:after="120"/>
        <w:jc w:val="left"/>
      </w:pPr>
      <w:r>
        <w:rPr/>
        <w:t xml:space="preserve">Based on the future-state recommendations outlined in the solution brief.</w:t>
      </w:r>
    </w:p>
    <w:p>
      <w:pPr>
        <w:pStyle w:val="Heading1"/>
        <w:pageBreakBefore/>
        <w:pBdr>
          <w:bottom w:val="single" w:sz="18" w:space="4" w:color="E60012"/>
        </w:pBdr>
      </w:pPr>
      <w:r>
        <w:rPr/>
        <w:t xml:space="preserve">Ricoh Branding Recommendations</w:t>
      </w:r>
    </w:p>
    <w:p>
      <w:pPr>
        <w:pStyle w:val="Heading2"/>
        <w:keepNext/>
        <w:spacing w:before="240" w:after="120"/>
      </w:pPr>
      <w:r>
        <w:rPr/>
        <w:t xml:space="preserve">Colour Palette</w:t>
      </w:r>
    </w:p>
    <w:tbl>
      <w:tblPr>
        <w:tblW w:w="892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blGrid>
        <w:gridCol w:w="1200"/>
        <w:gridCol w:w="4000"/>
        <w:gridCol w:w="3729"/>
      </w:tblGrid>
      <w:tr>
        <w:trPr>
          <w:trHeight w:val="500"/>
        </w:trPr>
        <w:tc>
          <w:tcPr>
            <w:tcW w:w="1200" w:type="dxa"/>
            <w:shd w:val="clear" w:color="auto" w:fill="E60012"/>
          </w:tcPr>
          <w:p>
            <w:pPr/>
          </w:p>
        </w:tc>
        <w:tc>
          <w:tcPr>
            <w:tcW w:w="4000" w:type="dxa"/>
          </w:tcPr>
          <w:p>
            <w:pPr>
              <w:spacing w:before="80" w:after="80"/>
              <w:jc w:val="left"/>
            </w:pPr>
            <w:r>
              <w:rPr/>
              <w:t xml:space="preserve">Primary Ricoh Red</w:t>
            </w:r>
          </w:p>
        </w:tc>
        <w:tc>
          <w:tcPr>
            <w:tcW w:w="3729" w:type="dxa"/>
          </w:tcPr>
          <w:p>
            <w:pPr>
              <w:spacing w:before="80" w:after="80"/>
              <w:jc w:val="left"/>
            </w:pPr>
            <w:r>
              <w:rPr/>
              <w:t xml:space="preserve">#E60012</w:t>
            </w:r>
          </w:p>
        </w:tc>
      </w:tr>
      <w:tr>
        <w:trPr>
          <w:trHeight w:val="500"/>
        </w:trPr>
        <w:tc>
          <w:tcPr>
            <w:tcW w:w="1200" w:type="dxa"/>
            <w:shd w:val="clear" w:color="auto" w:fill="333333"/>
          </w:tcPr>
          <w:p>
            <w:pPr/>
          </w:p>
        </w:tc>
        <w:tc>
          <w:tcPr>
            <w:tcW w:w="4000" w:type="dxa"/>
          </w:tcPr>
          <w:p>
            <w:pPr>
              <w:spacing w:before="80" w:after="80"/>
              <w:jc w:val="left"/>
            </w:pPr>
            <w:r>
              <w:rPr/>
              <w:t xml:space="preserve">Dark Charcoal</w:t>
            </w:r>
          </w:p>
        </w:tc>
        <w:tc>
          <w:tcPr>
            <w:tcW w:w="3729" w:type="dxa"/>
          </w:tcPr>
          <w:p>
            <w:pPr>
              <w:spacing w:before="80" w:after="80"/>
              <w:jc w:val="left"/>
            </w:pPr>
            <w:r>
              <w:rPr/>
              <w:t xml:space="preserve">#333333</w:t>
            </w:r>
          </w:p>
        </w:tc>
      </w:tr>
      <w:tr>
        <w:trPr>
          <w:trHeight w:val="500"/>
        </w:trPr>
        <w:tc>
          <w:tcPr>
            <w:tcW w:w="1200" w:type="dxa"/>
            <w:shd w:val="clear" w:color="auto" w:fill="F4F4F4"/>
          </w:tcPr>
          <w:p>
            <w:pPr/>
          </w:p>
        </w:tc>
        <w:tc>
          <w:tcPr>
            <w:tcW w:w="4000" w:type="dxa"/>
          </w:tcPr>
          <w:p>
            <w:pPr>
              <w:spacing w:before="80" w:after="80"/>
              <w:jc w:val="left"/>
            </w:pPr>
            <w:r>
              <w:rPr/>
              <w:t xml:space="preserve">Light Grey</w:t>
            </w:r>
          </w:p>
        </w:tc>
        <w:tc>
          <w:tcPr>
            <w:tcW w:w="3729" w:type="dxa"/>
          </w:tcPr>
          <w:p>
            <w:pPr>
              <w:spacing w:before="80" w:after="80"/>
              <w:jc w:val="left"/>
            </w:pPr>
            <w:r>
              <w:rPr/>
              <w:t xml:space="preserve">#F4F4F4</w:t>
            </w:r>
          </w:p>
        </w:tc>
      </w:tr>
      <w:tr>
        <w:trPr>
          <w:trHeight w:val="500"/>
        </w:trPr>
        <w:tc>
          <w:tcPr>
            <w:tcW w:w="1200" w:type="dxa"/>
            <w:shd w:val="clear" w:color="auto" w:fill="FFFFFF"/>
          </w:tcPr>
          <w:p>
            <w:pPr/>
          </w:p>
        </w:tc>
        <w:tc>
          <w:tcPr>
            <w:tcW w:w="4000" w:type="dxa"/>
          </w:tcPr>
          <w:p>
            <w:pPr>
              <w:spacing w:before="80" w:after="80"/>
              <w:jc w:val="left"/>
            </w:pPr>
            <w:r>
              <w:rPr/>
              <w:t xml:space="preserve">White</w:t>
            </w:r>
          </w:p>
        </w:tc>
        <w:tc>
          <w:tcPr>
            <w:tcW w:w="3729" w:type="dxa"/>
          </w:tcPr>
          <w:p>
            <w:pPr>
              <w:spacing w:before="80" w:after="80"/>
              <w:jc w:val="left"/>
            </w:pPr>
            <w:r>
              <w:rPr/>
              <w:t xml:space="preserve">#FFFFFF</w:t>
            </w:r>
          </w:p>
        </w:tc>
      </w:tr>
    </w:tbl>
    <w:p>
      <w:pPr/>
    </w:p>
    <w:p>
      <w:pPr>
        <w:pStyle w:val="Heading2"/>
        <w:keepNext/>
        <w:spacing w:before="240" w:after="120"/>
      </w:pPr>
      <w:r>
        <w:rPr/>
        <w:t xml:space="preserve">Fonts</w:t>
      </w:r>
    </w:p>
    <w:tbl>
      <w:tblPr>
        <w:tblStyle w:val="RicohTableStyle"/>
        <w:tblW w:w="8929" w:type="dxa"/>
        <w:tblLayout w:type="fixed"/>
        <w:tblLook w:val="04A0" w:firstRow="1" w:lastRow="0" w:firstColumn="0" w:lastColumn="0" w:noHBand="0" w:noVBand="1"/>
      </w:tblPr>
      <w:tblGrid>
        <w:gridCol w:w="3000"/>
        <w:gridCol w:w="5929"/>
      </w:tblGrid>
      <w:tr>
        <w:trPr>
          <w:cantSplit/>
          <w:tblHeader/>
        </w:trPr>
        <w:tc>
          <w:tcPr>
            <w:tcW w:w="3000" w:type="dxa"/>
          </w:tcPr>
          <w:p>
            <w:pPr>
              <w:spacing w:before="40" w:after="40"/>
              <w:jc w:val="left"/>
            </w:pPr>
            <w:r>
              <w:rPr>
                <w:b/>
                <w:color w:val="FFFFFF"/>
                <w:sz w:val="20"/>
                <w:szCs w:val="20"/>
              </w:rPr>
              <w:t xml:space="preserve">Use</w:t>
            </w:r>
          </w:p>
        </w:tc>
        <w:tc>
          <w:tcPr>
            <w:tcW w:w="5929" w:type="dxa"/>
          </w:tcPr>
          <w:p>
            <w:pPr>
              <w:spacing w:before="40" w:after="40"/>
              <w:jc w:val="left"/>
            </w:pPr>
            <w:r>
              <w:rPr>
                <w:b/>
                <w:color w:val="FFFFFF"/>
                <w:sz w:val="20"/>
                <w:szCs w:val="20"/>
              </w:rPr>
              <w:t xml:space="preserve">Font</w:t>
            </w:r>
          </w:p>
        </w:tc>
      </w:tr>
      <w:tr>
        <w:trPr>
          <w:cantSplit/>
        </w:trPr>
        <w:tc>
          <w:tcPr>
            <w:tcW w:w="3000" w:type="dxa"/>
          </w:tcPr>
          <w:p>
            <w:pPr>
              <w:spacing w:before="40" w:after="40"/>
              <w:jc w:val="left"/>
            </w:pPr>
            <w:r>
              <w:rPr>
                <w:sz w:val="20"/>
                <w:szCs w:val="20"/>
              </w:rPr>
              <w:t xml:space="preserve">Headings</w:t>
            </w:r>
          </w:p>
        </w:tc>
        <w:tc>
          <w:tcPr>
            <w:tcW w:w="5929" w:type="dxa"/>
          </w:tcPr>
          <w:p>
            <w:pPr>
              <w:spacing w:before="40" w:after="40"/>
              <w:jc w:val="left"/>
            </w:pPr>
            <w:r>
              <w:rPr>
                <w:sz w:val="20"/>
                <w:szCs w:val="20"/>
              </w:rPr>
              <w:t xml:space="preserve">Aptos Display / Segoe UI Semibold</w:t>
            </w:r>
          </w:p>
        </w:tc>
      </w:tr>
      <w:tr>
        <w:trPr>
          <w:cantSplit/>
        </w:trPr>
        <w:tc>
          <w:tcPr>
            <w:tcW w:w="3000" w:type="dxa"/>
          </w:tcPr>
          <w:p>
            <w:pPr>
              <w:spacing w:before="40" w:after="40"/>
              <w:jc w:val="left"/>
            </w:pPr>
            <w:r>
              <w:rPr>
                <w:sz w:val="20"/>
                <w:szCs w:val="20"/>
              </w:rPr>
              <w:t xml:space="preserve">Body</w:t>
            </w:r>
          </w:p>
        </w:tc>
        <w:tc>
          <w:tcPr>
            <w:tcW w:w="5929" w:type="dxa"/>
          </w:tcPr>
          <w:p>
            <w:pPr>
              <w:spacing w:before="40" w:after="40"/>
              <w:jc w:val="left"/>
            </w:pPr>
            <w:r>
              <w:rPr>
                <w:sz w:val="20"/>
                <w:szCs w:val="20"/>
              </w:rPr>
              <w:t xml:space="preserve">Aptos / Segoe UI</w:t>
            </w:r>
          </w:p>
        </w:tc>
      </w:tr>
      <w:tr>
        <w:trPr>
          <w:cantSplit/>
        </w:trPr>
        <w:tc>
          <w:tcPr>
            <w:tcW w:w="3000" w:type="dxa"/>
          </w:tcPr>
          <w:p>
            <w:pPr>
              <w:spacing w:before="40" w:after="40"/>
              <w:jc w:val="left"/>
            </w:pPr>
            <w:r>
              <w:rPr>
                <w:sz w:val="20"/>
                <w:szCs w:val="20"/>
              </w:rPr>
              <w:t xml:space="preserve">Data Visualisation</w:t>
            </w:r>
          </w:p>
        </w:tc>
        <w:tc>
          <w:tcPr>
            <w:tcW w:w="5929" w:type="dxa"/>
          </w:tcPr>
          <w:p>
            <w:pPr>
              <w:spacing w:before="40" w:after="40"/>
              <w:jc w:val="left"/>
            </w:pPr>
            <w:r>
              <w:rPr>
                <w:sz w:val="20"/>
                <w:szCs w:val="20"/>
              </w:rPr>
              <w:t xml:space="preserve">Segoe UI</w:t>
            </w:r>
          </w:p>
        </w:tc>
      </w:tr>
    </w:tbl>
    <w:p>
      <w:pPr>
        <w:spacing w:after="120"/>
      </w:pPr>
    </w:p>
    <w:p>
      <w:pPr>
        <w:pStyle w:val="Heading2"/>
        <w:keepNext/>
        <w:spacing w:before="240" w:after="120"/>
      </w:pPr>
      <w:r>
        <w:rPr/>
        <w:t xml:space="preserve">Design Style</w:t>
      </w:r>
    </w:p>
    <w:p>
      <w:pPr>
        <w:pStyle w:val="ListParagraph"/>
        <w:jc w:val="left"/>
      </w:pPr>
      <w:r>
        <w:rPr/>
        <w:t xml:space="preserve">White background</w:t>
      </w:r>
    </w:p>
    <w:p>
      <w:pPr>
        <w:pStyle w:val="ListParagraph"/>
        <w:jc w:val="left"/>
      </w:pPr>
      <w:r>
        <w:rPr/>
        <w:t xml:space="preserve">Strong use of Ricoh Red as accent</w:t>
      </w:r>
    </w:p>
    <w:p>
      <w:pPr>
        <w:pStyle w:val="ListParagraph"/>
        <w:jc w:val="left"/>
      </w:pPr>
      <w:r>
        <w:rPr/>
        <w:t xml:space="preserve">Minimalist executive consulting style</w:t>
      </w:r>
    </w:p>
    <w:p>
      <w:pPr>
        <w:pStyle w:val="ListParagraph"/>
        <w:jc w:val="left"/>
      </w:pPr>
      <w:r>
        <w:rPr/>
        <w:t xml:space="preserve">Full-width section dividers</w:t>
      </w:r>
    </w:p>
    <w:p>
      <w:pPr>
        <w:pStyle w:val="ListParagraph"/>
        <w:jc w:val="left"/>
      </w:pPr>
      <w:r>
        <w:rPr/>
        <w:t xml:space="preserve">Modern Microsoft-style icons</w:t>
      </w:r>
    </w:p>
    <w:p>
      <w:pPr>
        <w:pStyle w:val="ListParagraph"/>
        <w:jc w:val="left"/>
      </w:pPr>
      <w:r>
        <w:rPr/>
        <w:t xml:space="preserve">Large metrics and callout boxes</w:t>
      </w:r>
    </w:p>
    <w:p>
      <w:pPr>
        <w:pStyle w:val="ListParagraph"/>
        <w:jc w:val="left"/>
      </w:pPr>
      <w:r>
        <w:rPr/>
        <w:t xml:space="preserve">Dashboard-style visualisations</w:t>
      </w:r>
    </w:p>
    <w:p>
      <w:pPr>
        <w:pStyle w:val="Heading2"/>
        <w:keepNext/>
        <w:spacing w:before="240" w:after="120"/>
      </w:pPr>
      <w:r>
        <w:rPr/>
        <w:t xml:space="preserve">Sources Used</w:t>
      </w:r>
    </w:p>
    <w:p>
      <w:pPr>
        <w:pStyle w:val="ListParagraph"/>
        <w:jc w:val="left"/>
      </w:pPr>
      <w:r>
        <w:rPr/>
        <w:t xml:space="preserve">AdviceFinancialSolutionBrief.docx</w:t>
      </w:r>
    </w:p>
    <w:p>
      <w:pPr>
        <w:pStyle w:val="ListParagraph"/>
        <w:jc w:val="left"/>
      </w:pPr>
      <w:r>
        <w:rPr/>
        <w:t xml:space="preserve">AllSitesActiveFinance.xlsx</w:t>
      </w:r>
    </w:p>
    <w:p>
      <w:pPr>
        <w:pStyle w:val="ListParagraph"/>
        <w:jc w:val="left"/>
      </w:pPr>
      <w:r>
        <w:rPr/>
        <w:t xml:space="preserve">ActiveFinanceSharePointSiteUsageDetail10_13_2026 9_36_37 PM.xlsx</w:t>
      </w:r>
    </w:p>
    <w:p>
      <w:pPr>
        <w:pStyle w:val="ListParagraph"/>
        <w:jc w:val="left"/>
      </w:pPr>
      <w:r>
        <w:rPr/>
        <w:t xml:space="preserve">Content_Shared_With_Everyone except external users_group_2026-10-14.xlsx</w:t>
      </w:r>
    </w:p>
    <w:p>
      <w:pPr>
        <w:pStyle w:val="ListParagraph"/>
        <w:jc w:val="left"/>
      </w:pPr>
      <w:r>
        <w:rPr/>
        <w:t xml:space="preserve">Permissioned_Users_Count_OneDrive_report_2026-10-14.xlsx</w:t>
      </w:r>
    </w:p>
    <w:p>
      <w:pPr>
        <w:pStyle w:val="ListParagraph"/>
        <w:jc w:val="left"/>
      </w:pPr>
      <w:r>
        <w:rPr/>
        <w:t xml:space="preserve">Sites_20261014225729869.xlsx</w:t>
      </w:r>
    </w:p>
    <w:p>
      <w:pPr>
        <w:pStyle w:val="ListParagraph"/>
        <w:jc w:val="left"/>
      </w:pPr>
      <w:r>
        <w:rPr/>
        <w:t xml:space="preserve">Content_Shared_With_Everyone_group_2026-10-14.xlsx</w:t>
      </w:r>
    </w:p>
    <w:sectPr w:rsidR="00D42012" w:rsidRPr="000E3674" w:rsidSect="002E4804">
      <w:headerReference w:type="default" r:id="rId10"/>
      <w:footerReference w:type="default" r:id="rId11"/>
      <w:footerReference w:type="first" r:id="rId12"/>
      <w:pgSz w:w="11906" w:h="16838" w:code="9"/>
      <w:pgMar w:top="1418" w:right="1843" w:bottom="1418"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7D89AF" w14:textId="77777777" w:rsidR="00AE67BD" w:rsidRDefault="00AE67BD" w:rsidP="004E3921">
      <w:pPr>
        <w:spacing w:after="0" w:line="240" w:lineRule="auto"/>
      </w:pPr>
      <w:r>
        <w:separator/>
      </w:r>
    </w:p>
  </w:endnote>
  <w:endnote w:type="continuationSeparator" w:id="0">
    <w:p w14:paraId="162F9F32" w14:textId="77777777" w:rsidR="00AE67BD" w:rsidRDefault="00AE67BD" w:rsidP="004E39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Frutiger LT Std 45 Light">
    <w:altName w:val="Calibri"/>
    <w:panose1 w:val="020B0402020204020204"/>
    <w:charset w:val="00"/>
    <w:family w:val="swiss"/>
    <w:notTrueType/>
    <w:pitch w:val="variable"/>
    <w:sig w:usb0="800000AF" w:usb1="4000204A" w:usb2="00000000" w:usb3="00000000" w:csb0="00000001" w:csb1="00000000"/>
  </w:font>
  <w:font w:name="Segoe UI">
    <w:panose1 w:val="020B0502040204020203"/>
    <w:charset w:val="00"/>
    <w:family w:val="swiss"/>
    <w:pitch w:val="variable"/>
    <w:sig w:usb0="E4002EFF" w:usb1="C000E47F" w:usb2="00000009" w:usb3="00000000" w:csb0="000001FF" w:csb1="00000000"/>
  </w:font>
  <w:font w:name="Free 3 of 9 Extended">
    <w:altName w:val="Calibri"/>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6F7CB" w14:textId="77777777" w:rsidR="00D42012" w:rsidRDefault="00D42012" w:rsidP="00D42012">
    <w:pPr>
      <w:pStyle w:val="Footer"/>
      <w:tabs>
        <w:tab w:val="center" w:pos="4820"/>
        <w:tab w:val="right" w:pos="9639"/>
      </w:tabs>
      <w:rPr>
        <w:rStyle w:val="PageNumber"/>
        <w:rFonts w:ascii="Arial" w:hAnsi="Arial"/>
        <w:b/>
      </w:rPr>
    </w:pPr>
    <w:r>
      <w:rPr>
        <w:rFonts w:ascii="Arial" w:hAnsi="Arial"/>
      </w:rPr>
      <w:drawing>
        <wp:anchor distT="0" distB="0" distL="114300" distR="114300" simplePos="0" relativeHeight="251658240" behindDoc="1" locked="0" layoutInCell="1" allowOverlap="1" wp14:anchorId="03545BE4" wp14:editId="7E3DFB4E">
          <wp:simplePos x="0" y="0"/>
          <wp:positionH relativeFrom="column">
            <wp:posOffset>-760095</wp:posOffset>
          </wp:positionH>
          <wp:positionV relativeFrom="paragraph">
            <wp:posOffset>-111125</wp:posOffset>
          </wp:positionV>
          <wp:extent cx="7641590" cy="795020"/>
          <wp:effectExtent l="0" t="0" r="0" b="5080"/>
          <wp:wrapNone/>
          <wp:docPr id="3" name="Picture 3" descr="back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back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641590" cy="795020"/>
                  </a:xfrm>
                  <a:prstGeom prst="rect">
                    <a:avLst/>
                  </a:prstGeom>
                  <a:noFill/>
                </pic:spPr>
              </pic:pic>
            </a:graphicData>
          </a:graphic>
          <wp14:sizeRelH relativeFrom="page">
            <wp14:pctWidth>0</wp14:pctWidth>
          </wp14:sizeRelH>
          <wp14:sizeRelV relativeFrom="page">
            <wp14:pctHeight>0</wp14:pctHeight>
          </wp14:sizeRelV>
        </wp:anchor>
      </w:drawing>
    </w:r>
    <w:r>
      <w:rPr>
        <w:rStyle w:val="PageNumber"/>
      </w:rPr>
      <w:t>v1.0 | October 2026</w:t>
    </w:r>
    <w:r>
      <w:rPr>
        <w:rStyle w:val="PageNumber"/>
      </w:rPr>
      <w:tab/>
    </w:r>
    <w:r>
      <w:tab/>
    </w:r>
    <w:r>
      <w:rPr>
        <w:b/>
      </w:rPr>
      <w:t xml:space="preserve">Page </w:t>
    </w:r>
    <w:r>
      <w:rPr>
        <w:rStyle w:val="PageNumber"/>
        <w:b/>
      </w:rPr>
      <w:fldChar w:fldCharType="begin"/>
    </w:r>
    <w:r>
      <w:rPr>
        <w:rStyle w:val="PageNumber"/>
        <w:b/>
      </w:rPr>
      <w:instrText xml:space="preserve"> PAGE </w:instrText>
    </w:r>
    <w:r>
      <w:rPr>
        <w:rStyle w:val="PageNumber"/>
        <w:b/>
      </w:rPr>
      <w:fldChar w:fldCharType="separate"/>
    </w:r>
    <w:r>
      <w:rPr>
        <w:rStyle w:val="PageNumber"/>
        <w:b/>
      </w:rPr>
      <w:t>1</w:t>
    </w:r>
    <w:r>
      <w:rPr>
        <w:rStyle w:val="PageNumber"/>
        <w:b/>
      </w:rPr>
      <w:fldChar w:fldCharType="end"/>
    </w:r>
    <w:r>
      <w:rPr>
        <w:rStyle w:val="PageNumber"/>
        <w:b/>
      </w:rPr>
      <w:t xml:space="preserve"> of </w:t>
    </w:r>
    <w:r>
      <w:rPr>
        <w:rStyle w:val="PageNumber"/>
        <w:b/>
      </w:rPr>
      <w:fldChar w:fldCharType="begin"/>
    </w:r>
    <w:r>
      <w:rPr>
        <w:rStyle w:val="PageNumber"/>
        <w:b/>
      </w:rPr>
      <w:instrText xml:space="preserve"> NUMPAGES </w:instrText>
    </w:r>
    <w:r>
      <w:rPr>
        <w:rStyle w:val="PageNumber"/>
        <w:b/>
      </w:rPr>
      <w:fldChar w:fldCharType="separate"/>
    </w:r>
    <w:r>
      <w:rPr>
        <w:rStyle w:val="PageNumber"/>
        <w:b/>
      </w:rPr>
      <w:t>2</w:t>
    </w:r>
    <w:r>
      <w:rPr>
        <w:rStyle w:val="PageNumber"/>
        <w:b/>
      </w:rPr>
      <w:fldChar w:fldCharType="end"/>
    </w:r>
  </w:p>
  <w:p w14:paraId="573CF93E" w14:textId="77777777" w:rsidR="00D42012" w:rsidRDefault="00D42012" w:rsidP="00D42012">
    <w:pPr>
      <w:pStyle w:val="Footer"/>
      <w:jc w:val="left"/>
    </w:pPr>
    <w:r>
      <w:rPr>
        <w:szCs w:val="16"/>
      </w:rPr>
      <w:fldChar w:fldCharType="begin"/>
    </w:r>
    <w:r>
      <w:rPr>
        <w:szCs w:val="16"/>
      </w:rPr>
      <w:instrText xml:space="preserve"> FILENAME  \p  \* MERGEFORMAT </w:instrText>
    </w:r>
    <w:r>
      <w:rPr>
        <w:szCs w:val="16"/>
      </w:rPr>
      <w:fldChar w:fldCharType="separate"/>
    </w:r>
    <w:r w:rsidR="009F727E">
      <w:rPr>
        <w:szCs w:val="16"/>
      </w:rPr>
      <w:t>Document2</w:t>
    </w:r>
    <w:r>
      <w:rPr>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23"/>
      <w:gridCol w:w="2824"/>
      <w:gridCol w:w="2824"/>
    </w:tblGrid>
    <w:tr w:rsidR="008B71C8" w14:paraId="733EBAA8" w14:textId="77777777" w:rsidTr="008B71C8">
      <w:tc>
        <w:tcPr>
          <w:tcW w:w="8471" w:type="dxa"/>
          <w:gridSpan w:val="3"/>
        </w:tcPr>
        <w:p w14:paraId="051E375E" w14:textId="77777777" w:rsidR="008B71C8" w:rsidRDefault="0058511A" w:rsidP="00DF3668">
          <w:pPr>
            <w:pStyle w:val="Footer"/>
          </w:pPr>
          <w:r>
            <w:t>AD_DOC_Footer</w:t>
          </w:r>
          <w:r w:rsidR="008B71C8">
            <w:t xml:space="preserve"> </w:t>
          </w:r>
          <w:r>
            <w:t>AD_CUST_Company_Name_Full</w:t>
          </w:r>
        </w:p>
      </w:tc>
    </w:tr>
    <w:tr w:rsidR="008B71C8" w14:paraId="5865BB23" w14:textId="77777777" w:rsidTr="008B71C8">
      <w:tc>
        <w:tcPr>
          <w:tcW w:w="2823" w:type="dxa"/>
        </w:tcPr>
        <w:p w14:paraId="488BB0FF" w14:textId="77777777" w:rsidR="008B71C8" w:rsidRDefault="008B71C8" w:rsidP="00DF3668">
          <w:pPr>
            <w:pStyle w:val="Footer"/>
          </w:pPr>
        </w:p>
      </w:tc>
      <w:tc>
        <w:tcPr>
          <w:tcW w:w="2824" w:type="dxa"/>
        </w:tcPr>
        <w:p w14:paraId="32120B1E" w14:textId="77777777" w:rsidR="008B71C8" w:rsidRDefault="008B71C8" w:rsidP="00DF3668">
          <w:pPr>
            <w:pStyle w:val="Footer"/>
          </w:pPr>
          <w:r>
            <w:t xml:space="preserve">Page </w:t>
          </w:r>
        </w:p>
      </w:tc>
      <w:tc>
        <w:tcPr>
          <w:tcW w:w="2824" w:type="dxa"/>
        </w:tcPr>
        <w:p w14:paraId="794147A0" w14:textId="77777777" w:rsidR="008B71C8" w:rsidRDefault="008B71C8" w:rsidP="00DF3668">
          <w:pPr>
            <w:pStyle w:val="Footer"/>
          </w:pPr>
        </w:p>
      </w:tc>
    </w:tr>
  </w:tbl>
  <w:p w14:paraId="51C90ADA" w14:textId="77777777" w:rsidR="004E3921" w:rsidRDefault="004E3921" w:rsidP="00DF36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954542" w14:textId="77777777" w:rsidR="00AE67BD" w:rsidRDefault="00AE67BD" w:rsidP="004E3921">
      <w:pPr>
        <w:spacing w:after="0" w:line="240" w:lineRule="auto"/>
      </w:pPr>
      <w:r>
        <w:separator/>
      </w:r>
    </w:p>
  </w:footnote>
  <w:footnote w:type="continuationSeparator" w:id="0">
    <w:p w14:paraId="6710BD88" w14:textId="77777777" w:rsidR="00AE67BD" w:rsidRDefault="00AE67BD" w:rsidP="004E39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D7D7A" w14:textId="77777777" w:rsidR="00D42012" w:rsidRDefault="00D42012">
    <w:pPr>
      <w:pStyle w:val="Header"/>
    </w:pPr>
  </w:p>
  <w:p w14:paraId="6BA3786D" w14:textId="77777777" w:rsidR="00D42012" w:rsidRDefault="00F457F2" w:rsidP="00D42012">
    <w:pPr>
      <w:pStyle w:val="Header"/>
      <w:pBdr>
        <w:bottom w:val="single" w:sz="6" w:space="1" w:color="auto"/>
      </w:pBdr>
      <w:tabs>
        <w:tab w:val="center" w:pos="4860"/>
        <w:tab w:val="right" w:pos="9498"/>
      </w:tabs>
      <w:ind w:right="-142"/>
      <w:jc w:val="left"/>
      <w:rPr>
        <w:rFonts w:ascii="Arial" w:hAnsi="Arial"/>
      </w:rPr>
    </w:pPr>
    <w:bookmarkStart w:id="0" w:name="_Hlk513700514"/>
    <w:r>
      <w:rPr>
        <w:rStyle w:val="Heading2Char"/>
      </w:rPr>
      <w:t>Advice Financial</w:t>
    </w:r>
    <w:r w:rsidR="00D42012">
      <w:rPr>
        <w:rStyle w:val="Heading2Char"/>
      </w:rPr>
      <w:tab/>
    </w:r>
    <w:r w:rsidR="00D42012">
      <w:tab/>
    </w:r>
    <w:r w:rsidR="00D42012">
      <w:tab/>
    </w:r>
    <w:r w:rsidR="00D42012">
      <w:rPr>
        <w:lang w:eastAsia="en-NZ"/>
      </w:rPr>
      <w:drawing>
        <wp:inline distT="0" distB="0" distL="0" distR="0" wp14:anchorId="5B4E2F5E" wp14:editId="63D0A19B">
          <wp:extent cx="880110" cy="3448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80110" cy="344805"/>
                  </a:xfrm>
                  <a:prstGeom prst="rect">
                    <a:avLst/>
                  </a:prstGeom>
                  <a:noFill/>
                  <a:ln>
                    <a:noFill/>
                  </a:ln>
                </pic:spPr>
              </pic:pic>
            </a:graphicData>
          </a:graphic>
        </wp:inline>
      </w:drawing>
    </w:r>
  </w:p>
  <w:bookmarkEnd w:id="0"/>
  <w:p w14:paraId="794FD5E5" w14:textId="77777777" w:rsidR="00D42012" w:rsidRDefault="00D42012" w:rsidP="00D42012">
    <w:pPr>
      <w:pStyle w:val="Header"/>
      <w:tabs>
        <w:tab w:val="center" w:pos="4860"/>
        <w:tab w:val="right" w:pos="9498"/>
      </w:tabs>
      <w:ind w:right="-142"/>
    </w:pPr>
  </w:p>
  <w:p w14:paraId="06CDAC67" w14:textId="77777777" w:rsidR="00B64DF5" w:rsidRPr="004239E0" w:rsidRDefault="00B64DF5" w:rsidP="004239E0">
    <w:pPr>
      <w:pStyle w:val="Header"/>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6EC523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A81CD5A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0AA823F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BAAA44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52A340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016A58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3170E27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9A81F5A"/>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058A96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1C41AC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4210580"/>
    <w:multiLevelType w:val="hybridMultilevel"/>
    <w:tmpl w:val="81729680"/>
    <w:lvl w:ilvl="0" w:tplc="14090005">
      <w:start w:val="1"/>
      <w:numFmt w:val="bullet"/>
      <w:lvlText w:val=""/>
      <w:lvlJc w:val="left"/>
      <w:pPr>
        <w:ind w:left="720" w:hanging="360"/>
      </w:pPr>
      <w:rPr>
        <w:rFonts w:ascii="Wingdings" w:hAnsi="Wingdings"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1" w15:restartNumberingAfterBreak="0">
    <w:nsid w:val="0F6F567E"/>
    <w:multiLevelType w:val="hybridMultilevel"/>
    <w:tmpl w:val="C4DA973C"/>
    <w:lvl w:ilvl="0" w:tplc="14090005">
      <w:start w:val="1"/>
      <w:numFmt w:val="bullet"/>
      <w:lvlText w:val=""/>
      <w:lvlJc w:val="left"/>
      <w:pPr>
        <w:ind w:left="720" w:hanging="360"/>
      </w:pPr>
      <w:rPr>
        <w:rFonts w:ascii="Wingdings" w:hAnsi="Wingdings"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2" w15:restartNumberingAfterBreak="0">
    <w:nsid w:val="25777B54"/>
    <w:multiLevelType w:val="hybridMultilevel"/>
    <w:tmpl w:val="390A8ECE"/>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start w:val="1"/>
      <w:numFmt w:val="lowerRoman"/>
      <w:lvlText w:val="%3."/>
      <w:lvlJc w:val="right"/>
      <w:pPr>
        <w:ind w:left="2160" w:hanging="180"/>
      </w:pPr>
    </w:lvl>
    <w:lvl w:ilvl="3" w:tplc="1409000F">
      <w:start w:val="1"/>
      <w:numFmt w:val="decimal"/>
      <w:lvlText w:val="%4."/>
      <w:lvlJc w:val="left"/>
      <w:pPr>
        <w:ind w:left="2880" w:hanging="360"/>
      </w:pPr>
    </w:lvl>
    <w:lvl w:ilvl="4" w:tplc="14090019">
      <w:start w:val="1"/>
      <w:numFmt w:val="lowerLetter"/>
      <w:lvlText w:val="%5."/>
      <w:lvlJc w:val="left"/>
      <w:pPr>
        <w:ind w:left="3600" w:hanging="360"/>
      </w:pPr>
    </w:lvl>
    <w:lvl w:ilvl="5" w:tplc="1409001B">
      <w:start w:val="1"/>
      <w:numFmt w:val="lowerRoman"/>
      <w:lvlText w:val="%6."/>
      <w:lvlJc w:val="right"/>
      <w:pPr>
        <w:ind w:left="4320" w:hanging="180"/>
      </w:pPr>
    </w:lvl>
    <w:lvl w:ilvl="6" w:tplc="1409000F">
      <w:start w:val="1"/>
      <w:numFmt w:val="decimal"/>
      <w:lvlText w:val="%7."/>
      <w:lvlJc w:val="left"/>
      <w:pPr>
        <w:ind w:left="5040" w:hanging="360"/>
      </w:pPr>
    </w:lvl>
    <w:lvl w:ilvl="7" w:tplc="14090019">
      <w:start w:val="1"/>
      <w:numFmt w:val="lowerLetter"/>
      <w:lvlText w:val="%8."/>
      <w:lvlJc w:val="left"/>
      <w:pPr>
        <w:ind w:left="5760" w:hanging="360"/>
      </w:pPr>
    </w:lvl>
    <w:lvl w:ilvl="8" w:tplc="1409001B">
      <w:start w:val="1"/>
      <w:numFmt w:val="lowerRoman"/>
      <w:lvlText w:val="%9."/>
      <w:lvlJc w:val="right"/>
      <w:pPr>
        <w:ind w:left="6480" w:hanging="180"/>
      </w:pPr>
    </w:lvl>
  </w:abstractNum>
  <w:abstractNum w:abstractNumId="13" w15:restartNumberingAfterBreak="0">
    <w:nsid w:val="288949B5"/>
    <w:multiLevelType w:val="hybridMultilevel"/>
    <w:tmpl w:val="D6D0A28C"/>
    <w:lvl w:ilvl="0" w:tplc="B44083A2">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4" w15:restartNumberingAfterBreak="0">
    <w:nsid w:val="3DBB01EE"/>
    <w:multiLevelType w:val="hybridMultilevel"/>
    <w:tmpl w:val="D0C49644"/>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start w:val="1"/>
      <w:numFmt w:val="lowerRoman"/>
      <w:lvlText w:val="%3."/>
      <w:lvlJc w:val="right"/>
      <w:pPr>
        <w:ind w:left="2160" w:hanging="180"/>
      </w:pPr>
    </w:lvl>
    <w:lvl w:ilvl="3" w:tplc="1409000F">
      <w:start w:val="1"/>
      <w:numFmt w:val="decimal"/>
      <w:lvlText w:val="%4."/>
      <w:lvlJc w:val="left"/>
      <w:pPr>
        <w:ind w:left="2880" w:hanging="360"/>
      </w:pPr>
    </w:lvl>
    <w:lvl w:ilvl="4" w:tplc="14090019">
      <w:start w:val="1"/>
      <w:numFmt w:val="lowerLetter"/>
      <w:lvlText w:val="%5."/>
      <w:lvlJc w:val="left"/>
      <w:pPr>
        <w:ind w:left="3600" w:hanging="360"/>
      </w:pPr>
    </w:lvl>
    <w:lvl w:ilvl="5" w:tplc="1409001B">
      <w:start w:val="1"/>
      <w:numFmt w:val="lowerRoman"/>
      <w:lvlText w:val="%6."/>
      <w:lvlJc w:val="right"/>
      <w:pPr>
        <w:ind w:left="4320" w:hanging="180"/>
      </w:pPr>
    </w:lvl>
    <w:lvl w:ilvl="6" w:tplc="1409000F">
      <w:start w:val="1"/>
      <w:numFmt w:val="decimal"/>
      <w:lvlText w:val="%7."/>
      <w:lvlJc w:val="left"/>
      <w:pPr>
        <w:ind w:left="5040" w:hanging="360"/>
      </w:pPr>
    </w:lvl>
    <w:lvl w:ilvl="7" w:tplc="14090019">
      <w:start w:val="1"/>
      <w:numFmt w:val="lowerLetter"/>
      <w:lvlText w:val="%8."/>
      <w:lvlJc w:val="left"/>
      <w:pPr>
        <w:ind w:left="5760" w:hanging="360"/>
      </w:pPr>
    </w:lvl>
    <w:lvl w:ilvl="8" w:tplc="1409001B">
      <w:start w:val="1"/>
      <w:numFmt w:val="lowerRoman"/>
      <w:lvlText w:val="%9."/>
      <w:lvlJc w:val="right"/>
      <w:pPr>
        <w:ind w:left="6480" w:hanging="180"/>
      </w:pPr>
    </w:lvl>
  </w:abstractNum>
  <w:abstractNum w:abstractNumId="15" w15:restartNumberingAfterBreak="0">
    <w:nsid w:val="42671DFE"/>
    <w:multiLevelType w:val="multilevel"/>
    <w:tmpl w:val="C7BC1446"/>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134" w:hanging="1134"/>
      </w:pPr>
      <w:rPr>
        <w:rFonts w:hint="default"/>
      </w:rPr>
    </w:lvl>
    <w:lvl w:ilvl="3">
      <w:start w:val="1"/>
      <w:numFmt w:val="decimal"/>
      <w:lvlText w:val="%1.%2.%3.%4."/>
      <w:lvlJc w:val="left"/>
      <w:pPr>
        <w:ind w:left="1418" w:hanging="141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44D20060"/>
    <w:multiLevelType w:val="hybridMultilevel"/>
    <w:tmpl w:val="5A224AD8"/>
    <w:lvl w:ilvl="0" w:tplc="8982CF48">
      <w:start w:val="1"/>
      <w:numFmt w:val="bullet"/>
      <w:pStyle w:val="ListParagraph"/>
      <w:lvlText w:val=""/>
      <w:lvlJc w:val="left"/>
      <w:pPr>
        <w:ind w:left="502" w:hanging="360"/>
      </w:pPr>
      <w:rPr>
        <w:rFonts w:ascii="Wingdings" w:hAnsi="Wingdings" w:hint="default"/>
        <w:color w:val="CF142B"/>
        <w:w w:val="100"/>
      </w:rPr>
    </w:lvl>
    <w:lvl w:ilvl="1" w:tplc="A7304986">
      <w:start w:val="1"/>
      <w:numFmt w:val="bullet"/>
      <w:lvlText w:val="o"/>
      <w:lvlJc w:val="left"/>
      <w:pPr>
        <w:ind w:left="1635" w:hanging="360"/>
      </w:pPr>
      <w:rPr>
        <w:rFonts w:ascii="Courier New" w:hAnsi="Courier New" w:cs="Courier New" w:hint="default"/>
      </w:rPr>
    </w:lvl>
    <w:lvl w:ilvl="2" w:tplc="14090005">
      <w:start w:val="1"/>
      <w:numFmt w:val="bullet"/>
      <w:lvlText w:val=""/>
      <w:lvlJc w:val="left"/>
      <w:pPr>
        <w:ind w:left="2880" w:hanging="360"/>
      </w:pPr>
      <w:rPr>
        <w:rFonts w:ascii="Wingdings" w:hAnsi="Wingdings" w:hint="default"/>
      </w:rPr>
    </w:lvl>
    <w:lvl w:ilvl="3" w:tplc="14090001" w:tentative="1">
      <w:start w:val="1"/>
      <w:numFmt w:val="bullet"/>
      <w:lvlText w:val=""/>
      <w:lvlJc w:val="left"/>
      <w:pPr>
        <w:ind w:left="3600" w:hanging="360"/>
      </w:pPr>
      <w:rPr>
        <w:rFonts w:ascii="Symbol" w:hAnsi="Symbol" w:hint="default"/>
      </w:rPr>
    </w:lvl>
    <w:lvl w:ilvl="4" w:tplc="14090003" w:tentative="1">
      <w:start w:val="1"/>
      <w:numFmt w:val="bullet"/>
      <w:lvlText w:val="o"/>
      <w:lvlJc w:val="left"/>
      <w:pPr>
        <w:ind w:left="4320" w:hanging="360"/>
      </w:pPr>
      <w:rPr>
        <w:rFonts w:ascii="Courier New" w:hAnsi="Courier New" w:cs="Courier New" w:hint="default"/>
      </w:rPr>
    </w:lvl>
    <w:lvl w:ilvl="5" w:tplc="14090005" w:tentative="1">
      <w:start w:val="1"/>
      <w:numFmt w:val="bullet"/>
      <w:lvlText w:val=""/>
      <w:lvlJc w:val="left"/>
      <w:pPr>
        <w:ind w:left="5040" w:hanging="360"/>
      </w:pPr>
      <w:rPr>
        <w:rFonts w:ascii="Wingdings" w:hAnsi="Wingdings" w:hint="default"/>
      </w:rPr>
    </w:lvl>
    <w:lvl w:ilvl="6" w:tplc="14090001" w:tentative="1">
      <w:start w:val="1"/>
      <w:numFmt w:val="bullet"/>
      <w:lvlText w:val=""/>
      <w:lvlJc w:val="left"/>
      <w:pPr>
        <w:ind w:left="5760" w:hanging="360"/>
      </w:pPr>
      <w:rPr>
        <w:rFonts w:ascii="Symbol" w:hAnsi="Symbol" w:hint="default"/>
      </w:rPr>
    </w:lvl>
    <w:lvl w:ilvl="7" w:tplc="14090003" w:tentative="1">
      <w:start w:val="1"/>
      <w:numFmt w:val="bullet"/>
      <w:lvlText w:val="o"/>
      <w:lvlJc w:val="left"/>
      <w:pPr>
        <w:ind w:left="6480" w:hanging="360"/>
      </w:pPr>
      <w:rPr>
        <w:rFonts w:ascii="Courier New" w:hAnsi="Courier New" w:cs="Courier New" w:hint="default"/>
      </w:rPr>
    </w:lvl>
    <w:lvl w:ilvl="8" w:tplc="14090005" w:tentative="1">
      <w:start w:val="1"/>
      <w:numFmt w:val="bullet"/>
      <w:lvlText w:val=""/>
      <w:lvlJc w:val="left"/>
      <w:pPr>
        <w:ind w:left="7200" w:hanging="360"/>
      </w:pPr>
      <w:rPr>
        <w:rFonts w:ascii="Wingdings" w:hAnsi="Wingdings" w:hint="default"/>
      </w:rPr>
    </w:lvl>
  </w:abstractNum>
  <w:abstractNum w:abstractNumId="17" w15:restartNumberingAfterBreak="0">
    <w:nsid w:val="4F48300D"/>
    <w:multiLevelType w:val="multilevel"/>
    <w:tmpl w:val="1DCA5098"/>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8" w15:restartNumberingAfterBreak="0">
    <w:nsid w:val="553515CB"/>
    <w:multiLevelType w:val="hybridMultilevel"/>
    <w:tmpl w:val="1C762386"/>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9" w15:restartNumberingAfterBreak="0">
    <w:nsid w:val="7AF56BCB"/>
    <w:multiLevelType w:val="hybridMultilevel"/>
    <w:tmpl w:val="49B0712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2025007908">
    <w:abstractNumId w:val="9"/>
  </w:num>
  <w:num w:numId="2" w16cid:durableId="165099953">
    <w:abstractNumId w:val="7"/>
  </w:num>
  <w:num w:numId="3" w16cid:durableId="1040663995">
    <w:abstractNumId w:val="6"/>
  </w:num>
  <w:num w:numId="4" w16cid:durableId="159389028">
    <w:abstractNumId w:val="5"/>
  </w:num>
  <w:num w:numId="5" w16cid:durableId="681787951">
    <w:abstractNumId w:val="4"/>
  </w:num>
  <w:num w:numId="6" w16cid:durableId="1621958080">
    <w:abstractNumId w:val="8"/>
  </w:num>
  <w:num w:numId="7" w16cid:durableId="127631178">
    <w:abstractNumId w:val="3"/>
  </w:num>
  <w:num w:numId="8" w16cid:durableId="992217644">
    <w:abstractNumId w:val="2"/>
  </w:num>
  <w:num w:numId="9" w16cid:durableId="1826628062">
    <w:abstractNumId w:val="1"/>
  </w:num>
  <w:num w:numId="10" w16cid:durableId="1876653746">
    <w:abstractNumId w:val="0"/>
  </w:num>
  <w:num w:numId="11" w16cid:durableId="2064013675">
    <w:abstractNumId w:val="19"/>
  </w:num>
  <w:num w:numId="12" w16cid:durableId="1528761399">
    <w:abstractNumId w:val="10"/>
  </w:num>
  <w:num w:numId="13" w16cid:durableId="1239440263">
    <w:abstractNumId w:val="16"/>
  </w:num>
  <w:num w:numId="14" w16cid:durableId="1450322047">
    <w:abstractNumId w:val="11"/>
  </w:num>
  <w:num w:numId="15" w16cid:durableId="1603492679">
    <w:abstractNumId w:val="15"/>
  </w:num>
  <w:num w:numId="16" w16cid:durableId="1043020455">
    <w:abstractNumId w:val="17"/>
  </w:num>
  <w:num w:numId="17" w16cid:durableId="843664867">
    <w:abstractNumId w:val="16"/>
  </w:num>
  <w:num w:numId="18" w16cid:durableId="870265482">
    <w:abstractNumId w:val="16"/>
  </w:num>
  <w:num w:numId="19" w16cid:durableId="1514566344">
    <w:abstractNumId w:val="14"/>
  </w:num>
  <w:num w:numId="20" w16cid:durableId="744762830">
    <w:abstractNumId w:val="12"/>
  </w:num>
  <w:num w:numId="21" w16cid:durableId="1071587962">
    <w:abstractNumId w:val="18"/>
  </w:num>
  <w:num w:numId="22" w16cid:durableId="78558773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attachedTemplate r:id="rId1"/>
  <w:stylePaneFormatFilter w:val="9001" w:allStyles="1" w:customStyles="0" w:latentStyles="0" w:stylesInUse="0" w:headingStyles="0" w:numberingStyles="0" w:tableStyles="0" w:directFormattingOnRuns="0" w:directFormattingOnParagraphs="0" w:directFormattingOnNumbering="0" w:directFormattingOnTables="0" w:clearFormatting="1" w:top3HeadingStyles="0" w:visibleStyles="0" w:alternateStyleNames="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deTemplateCatalog_1" w:val="&lt;ActiveDocsTemplateCatalog&gt;_x000d__x000a_  &lt;RL&gt;_x000d__x000a_    &lt;ID&gt;05A70D25F92B485E82D33D5A9F60AD90&lt;/ID&gt;_x000d__x000a_    &lt;Name&gt;Hide_Instructional_Text&lt;/Name&gt;_x000d__x000a_    &lt;Description&gt;Instructional text while creating the document, hidden in the customer facing proposal.&lt;/Description&gt;_x000d__x000a_    &lt;Value&gt;&amp;lt;Exp&amp;gt;&amp;lt;Cond&amp;gt;&amp;lt;Item&amp;gt;&amp;lt;Name Type=&quot;1&quot;&amp;gt;DOC_Document_Name&amp;lt;/Name&amp;gt;&amp;lt;/Item&amp;gt;&amp;lt;O&amp;gt;3&amp;lt;/O&amp;gt;&amp;lt;V&amp;gt;Ricoh Fully Managed Services&amp;lt;/V&amp;gt;&amp;lt;/Cond&amp;gt;&amp;lt;/Exp&amp;gt;&lt;/Value&gt;_x000d__x000a_  &lt;/RL&gt;_x000d__x000a_  &lt;RLAF&gt;_x000d__x000a_    &lt;ID&gt;05A70D25F92B485E82D33D5A9F60AD90&lt;/ID&gt;_x000d__x000a_    &lt;AFID&gt;9F4740852E3647368E096736414D29B0&lt;/AFID&gt;_x000d__x000a_  &lt;/RLAF&gt;_x000d__x000a_  &lt;TP&gt;_x000d__x000a_    &lt;Name&gt;DocStructure&lt;/Name&gt;_x000d__x000a_    &lt;Value&gt;&amp;lt;Document /&amp;gt;&lt;/Value&gt;_x000d__x000a_  &lt;/TP&gt;_x000d__x000a_  &lt;TP&gt;_x000d__x000a_    &lt;Name&gt;wizardorder&lt;/Name&gt;_x000d__x000a_    &lt;Value&gt;&amp;lt;wizardorder&amp;gt;&amp;lt;WizardStep ID=&quot;C29A1B110C444E62B377DD82FD6274D7&quot; CIDS=&quot;2870E3112DCE48C1B9777992B018D9A0,65A56718C8A745DB9AB4D70E9D6A813C,86A0C84C72BD4111BC5DD5EC62D4B52B&quot; Name=&quot;DOC_Document_Information&quot; StepNo=&quot;1&quot; StepType=&quot;1&quot; SubGroupIndent=&quot;0&quot; PromptOptions=&quot;0&quot; /&amp;gt;&amp;lt;WizardStep ID=&quot;2870E3112DCE48C1B9777992B018D9A0&quot; PID=&quot;C29A1B110C444E62B377DD82FD6274D7&quot; Name=&quot;DOC_Document_Name&quot; StepNo=&quot;2&quot; StepType=&quot;1&quot; SubGroupIndent=&quot;0&quot; PromptOptions=&quot;4&quot; /&amp;gt;&amp;lt;WizardStep ID=&quot;65A56718C8A745DB9AB4D70E9D6A813C&quot; PID=&quot;C29A1B110C444E62B377DD82FD6274D7&quot; Name=&quot;DOC_Managed_Service_Type&quot; StepNo=&quot;3&quot; StepType=&quot;1&quot; SubGroupIndent=&quot;0&quot; PromptOptions=&quot;4&quot; /&amp;gt;&amp;lt;WizardStep ID=&quot;86A0C84C72BD4111BC5DD5EC62D4B52B&quot; PID=&quot;C29A1B110C444E62B377DD82FD6274D7&quot; Name=&quot;DOC_SLA_Type&quot; StepNo=&quot;4&quot; StepType=&quot;1&quot; SubGroupIndent=&quot;0&quot; PromptOptions=&quot;4&quot; /&amp;gt;&amp;lt;WizardStep ID=&quot;710EF3D295F44CC59B9DB59641E5A2D5&quot; Name=&quot;DOC_Contract_Variation_Term&quot; StepNo=&quot;5&quot; StepType=&quot;1&quot; SubGroupIndent=&quot;0&quot; PromptOptions=&quot;0&quot; /&amp;gt;&amp;lt;WizardStep ID=&quot;793F81513CBA4E85A8479C807D9B3C1C&quot; Name=&quot;DOC_Expiry_Options&quot; StepNo=&quot;6&quot; StepType=&quot;1&quot; SubGroupIndent=&quot;0&quot; PromptOptions=&quot;0&quot; /&amp;gt;&amp;lt;WizardStep ID=&quot;3ED8A3AD86FB423EA5156F5645C01292&quot; Name=&quot;DOC_Footer_Details&quot; StepNo=&quot;7&quot; StepType=&quot;1&quot; SubGroupIndent=&quot;0&quot; PromptOptions=&quot;0&quot; /&amp;gt;&amp;lt;/wizardorder&amp;gt;&lt;/Value&gt;_x000d__x000a_  &lt;/TP&gt;_x000d__x000a_  &lt;TP&gt;_x000d__x000a_    &lt;Name&gt;TemplateID&lt;/Name&gt;_x000d__x000a_    &lt;Value&gt;42BBE6CF5A4B4B1E863A84C09A403D73&lt;/Value&gt;_x000d__x000a_  &lt;/TP&gt;_x000d__x000a_  &lt;TP&gt;_x000d__x000a_    &lt;Name&gt;DISRefreshed&lt;/Name&gt;_x000d__x000a_    &lt;Value&gt;26/08/2015 11:18:20 p.m.&lt;/Value&gt;_x000d__x000a_  &lt;/TP&gt;_x000d__x000a_  &lt;TP&gt;_x000d__x000a_    &lt;Name&gt;wizardorderdisabled&lt;/Name&gt;_x000d__x000a_    &lt;Value&gt;False&lt;/Value&gt;_x000d__x000a_  &lt;/TP&gt;_x000d__x000a_  &lt;MT&gt;_x000d__x000a_    &lt;ID&gt;EA79A507BE5E4C81B7A7EACBE2B5D8BE&lt;/ID&gt;_x000d__x000a_    &lt;Prefix&gt;DOC&lt;/Prefix&gt;_x000d__x000a_    &lt;SortOrder&gt;1&lt;/SortOrder&gt;_x000d__x000a_  &lt;/MT&gt;_x000d__x000a_&lt;/ActiveDocsTemplateCatalog&gt;"/>
    <w:docVar w:name="adID" w:val="387EB793FBFB4222B12D8DF70E5F45ED"/>
    <w:docVar w:name="adVersion" w:val="7.1"/>
  </w:docVars>
  <w:rsids>
    <w:rsidRoot w:val="009F727E"/>
    <w:rsid w:val="00002B2A"/>
    <w:rsid w:val="000034D4"/>
    <w:rsid w:val="00006BF8"/>
    <w:rsid w:val="0001181A"/>
    <w:rsid w:val="00012411"/>
    <w:rsid w:val="00020493"/>
    <w:rsid w:val="00020554"/>
    <w:rsid w:val="0002701D"/>
    <w:rsid w:val="000322C7"/>
    <w:rsid w:val="00033AC0"/>
    <w:rsid w:val="00037616"/>
    <w:rsid w:val="00037D94"/>
    <w:rsid w:val="00042B86"/>
    <w:rsid w:val="00044911"/>
    <w:rsid w:val="00046773"/>
    <w:rsid w:val="00065700"/>
    <w:rsid w:val="000678E8"/>
    <w:rsid w:val="00083CE6"/>
    <w:rsid w:val="0008413A"/>
    <w:rsid w:val="000851B4"/>
    <w:rsid w:val="00096FAC"/>
    <w:rsid w:val="000A71F7"/>
    <w:rsid w:val="000D1503"/>
    <w:rsid w:val="000D4008"/>
    <w:rsid w:val="000D4CA9"/>
    <w:rsid w:val="000D6ED8"/>
    <w:rsid w:val="000E26B6"/>
    <w:rsid w:val="000E3393"/>
    <w:rsid w:val="000E3674"/>
    <w:rsid w:val="000E421A"/>
    <w:rsid w:val="000E4870"/>
    <w:rsid w:val="000F3EE2"/>
    <w:rsid w:val="000F475B"/>
    <w:rsid w:val="000F606F"/>
    <w:rsid w:val="00110A0F"/>
    <w:rsid w:val="001110FD"/>
    <w:rsid w:val="00122F33"/>
    <w:rsid w:val="00123FE9"/>
    <w:rsid w:val="001257F0"/>
    <w:rsid w:val="0012610F"/>
    <w:rsid w:val="0013162D"/>
    <w:rsid w:val="00171535"/>
    <w:rsid w:val="001818C8"/>
    <w:rsid w:val="00185A52"/>
    <w:rsid w:val="00192576"/>
    <w:rsid w:val="00195209"/>
    <w:rsid w:val="001A3379"/>
    <w:rsid w:val="001B5535"/>
    <w:rsid w:val="001C058F"/>
    <w:rsid w:val="001D4BCA"/>
    <w:rsid w:val="00201995"/>
    <w:rsid w:val="002113E4"/>
    <w:rsid w:val="002202C6"/>
    <w:rsid w:val="00233D49"/>
    <w:rsid w:val="00234F81"/>
    <w:rsid w:val="002372F5"/>
    <w:rsid w:val="00244C5F"/>
    <w:rsid w:val="002478F9"/>
    <w:rsid w:val="00266864"/>
    <w:rsid w:val="00277E9E"/>
    <w:rsid w:val="0028155D"/>
    <w:rsid w:val="00285DD5"/>
    <w:rsid w:val="0028792D"/>
    <w:rsid w:val="002E4804"/>
    <w:rsid w:val="002F01AD"/>
    <w:rsid w:val="002F16E2"/>
    <w:rsid w:val="002F5E8A"/>
    <w:rsid w:val="002F7CD4"/>
    <w:rsid w:val="003038FF"/>
    <w:rsid w:val="00306BDC"/>
    <w:rsid w:val="00307E51"/>
    <w:rsid w:val="00310992"/>
    <w:rsid w:val="003145B1"/>
    <w:rsid w:val="003279FA"/>
    <w:rsid w:val="003343A6"/>
    <w:rsid w:val="00351538"/>
    <w:rsid w:val="00351A47"/>
    <w:rsid w:val="0037385D"/>
    <w:rsid w:val="00375F59"/>
    <w:rsid w:val="00384909"/>
    <w:rsid w:val="003849DE"/>
    <w:rsid w:val="00391287"/>
    <w:rsid w:val="003A55D6"/>
    <w:rsid w:val="003C3634"/>
    <w:rsid w:val="003C60A1"/>
    <w:rsid w:val="003D5944"/>
    <w:rsid w:val="003E519A"/>
    <w:rsid w:val="003F2B86"/>
    <w:rsid w:val="00401543"/>
    <w:rsid w:val="004029AD"/>
    <w:rsid w:val="00405AE7"/>
    <w:rsid w:val="00412C9D"/>
    <w:rsid w:val="004239E0"/>
    <w:rsid w:val="004246C9"/>
    <w:rsid w:val="004340FD"/>
    <w:rsid w:val="0043685F"/>
    <w:rsid w:val="00444ACE"/>
    <w:rsid w:val="00451D3C"/>
    <w:rsid w:val="0045772E"/>
    <w:rsid w:val="00460DA1"/>
    <w:rsid w:val="004755C4"/>
    <w:rsid w:val="004A3E68"/>
    <w:rsid w:val="004C42A4"/>
    <w:rsid w:val="004D535A"/>
    <w:rsid w:val="004E0773"/>
    <w:rsid w:val="004E3921"/>
    <w:rsid w:val="004F27C6"/>
    <w:rsid w:val="004F41D8"/>
    <w:rsid w:val="00513F6D"/>
    <w:rsid w:val="0053769D"/>
    <w:rsid w:val="00550FB7"/>
    <w:rsid w:val="00552F08"/>
    <w:rsid w:val="00557476"/>
    <w:rsid w:val="005617C5"/>
    <w:rsid w:val="00563D94"/>
    <w:rsid w:val="005659E9"/>
    <w:rsid w:val="00583C61"/>
    <w:rsid w:val="0058511A"/>
    <w:rsid w:val="005867D4"/>
    <w:rsid w:val="00587238"/>
    <w:rsid w:val="00592DD9"/>
    <w:rsid w:val="005931AD"/>
    <w:rsid w:val="005935F4"/>
    <w:rsid w:val="00595D0A"/>
    <w:rsid w:val="00597E19"/>
    <w:rsid w:val="005A61B0"/>
    <w:rsid w:val="005B1656"/>
    <w:rsid w:val="005C0A9A"/>
    <w:rsid w:val="005C1D70"/>
    <w:rsid w:val="005D3A04"/>
    <w:rsid w:val="005E0AFA"/>
    <w:rsid w:val="005E3FAC"/>
    <w:rsid w:val="005F1AC7"/>
    <w:rsid w:val="005F441A"/>
    <w:rsid w:val="006136BB"/>
    <w:rsid w:val="006152B7"/>
    <w:rsid w:val="00621DF7"/>
    <w:rsid w:val="006256AC"/>
    <w:rsid w:val="00630C61"/>
    <w:rsid w:val="00635258"/>
    <w:rsid w:val="006454B3"/>
    <w:rsid w:val="00650310"/>
    <w:rsid w:val="00650371"/>
    <w:rsid w:val="0065364F"/>
    <w:rsid w:val="00670CAB"/>
    <w:rsid w:val="006A4027"/>
    <w:rsid w:val="006C3BEA"/>
    <w:rsid w:val="006D326F"/>
    <w:rsid w:val="006D597E"/>
    <w:rsid w:val="006E60E9"/>
    <w:rsid w:val="006F2C9A"/>
    <w:rsid w:val="006F3415"/>
    <w:rsid w:val="00711427"/>
    <w:rsid w:val="0071469F"/>
    <w:rsid w:val="00720F9D"/>
    <w:rsid w:val="00726439"/>
    <w:rsid w:val="0074073B"/>
    <w:rsid w:val="007410D5"/>
    <w:rsid w:val="0074264B"/>
    <w:rsid w:val="0076069D"/>
    <w:rsid w:val="00766DBC"/>
    <w:rsid w:val="00771459"/>
    <w:rsid w:val="007731CE"/>
    <w:rsid w:val="0079624D"/>
    <w:rsid w:val="007A2727"/>
    <w:rsid w:val="007A42FA"/>
    <w:rsid w:val="007A5334"/>
    <w:rsid w:val="007A5C63"/>
    <w:rsid w:val="007B5EE7"/>
    <w:rsid w:val="007B72DF"/>
    <w:rsid w:val="007D1260"/>
    <w:rsid w:val="007D35FB"/>
    <w:rsid w:val="007D6E1B"/>
    <w:rsid w:val="007E1419"/>
    <w:rsid w:val="007E2E96"/>
    <w:rsid w:val="00801766"/>
    <w:rsid w:val="00804C47"/>
    <w:rsid w:val="00805BF7"/>
    <w:rsid w:val="008073AF"/>
    <w:rsid w:val="00820BB5"/>
    <w:rsid w:val="00826C45"/>
    <w:rsid w:val="008379B4"/>
    <w:rsid w:val="00842CBF"/>
    <w:rsid w:val="00843B4F"/>
    <w:rsid w:val="00871FA0"/>
    <w:rsid w:val="00877055"/>
    <w:rsid w:val="00894C3B"/>
    <w:rsid w:val="0089636F"/>
    <w:rsid w:val="008A3101"/>
    <w:rsid w:val="008B71C8"/>
    <w:rsid w:val="008C0F03"/>
    <w:rsid w:val="008C416B"/>
    <w:rsid w:val="008C44D3"/>
    <w:rsid w:val="008E6160"/>
    <w:rsid w:val="008F4B41"/>
    <w:rsid w:val="009115B1"/>
    <w:rsid w:val="00914CE3"/>
    <w:rsid w:val="00962BE9"/>
    <w:rsid w:val="00964FB1"/>
    <w:rsid w:val="00965AED"/>
    <w:rsid w:val="00970088"/>
    <w:rsid w:val="009977A5"/>
    <w:rsid w:val="009A24D0"/>
    <w:rsid w:val="009A4049"/>
    <w:rsid w:val="009B2940"/>
    <w:rsid w:val="009B50F0"/>
    <w:rsid w:val="009D19EA"/>
    <w:rsid w:val="009D52FD"/>
    <w:rsid w:val="009E0E11"/>
    <w:rsid w:val="009E3B72"/>
    <w:rsid w:val="009F33AD"/>
    <w:rsid w:val="009F6204"/>
    <w:rsid w:val="009F727E"/>
    <w:rsid w:val="00A01982"/>
    <w:rsid w:val="00A0547F"/>
    <w:rsid w:val="00A116F2"/>
    <w:rsid w:val="00A17DEA"/>
    <w:rsid w:val="00A21DF3"/>
    <w:rsid w:val="00A22439"/>
    <w:rsid w:val="00A43E59"/>
    <w:rsid w:val="00A73651"/>
    <w:rsid w:val="00A868E1"/>
    <w:rsid w:val="00A925F2"/>
    <w:rsid w:val="00A94A47"/>
    <w:rsid w:val="00AA45DF"/>
    <w:rsid w:val="00AA5E63"/>
    <w:rsid w:val="00AB0B96"/>
    <w:rsid w:val="00AC3C6E"/>
    <w:rsid w:val="00AD7E92"/>
    <w:rsid w:val="00AE4E87"/>
    <w:rsid w:val="00AE67BD"/>
    <w:rsid w:val="00B074BD"/>
    <w:rsid w:val="00B126D0"/>
    <w:rsid w:val="00B15952"/>
    <w:rsid w:val="00B235A9"/>
    <w:rsid w:val="00B353D1"/>
    <w:rsid w:val="00B36B58"/>
    <w:rsid w:val="00B52D2C"/>
    <w:rsid w:val="00B60CBE"/>
    <w:rsid w:val="00B64DF5"/>
    <w:rsid w:val="00B70471"/>
    <w:rsid w:val="00B843C8"/>
    <w:rsid w:val="00B84D7B"/>
    <w:rsid w:val="00B860E0"/>
    <w:rsid w:val="00B97D77"/>
    <w:rsid w:val="00BA0473"/>
    <w:rsid w:val="00BD72EA"/>
    <w:rsid w:val="00BD73E5"/>
    <w:rsid w:val="00BF4E62"/>
    <w:rsid w:val="00BF6335"/>
    <w:rsid w:val="00C022E4"/>
    <w:rsid w:val="00C114D7"/>
    <w:rsid w:val="00C22F62"/>
    <w:rsid w:val="00C24CC9"/>
    <w:rsid w:val="00C320F1"/>
    <w:rsid w:val="00C336FC"/>
    <w:rsid w:val="00C33D08"/>
    <w:rsid w:val="00C45D31"/>
    <w:rsid w:val="00C64A96"/>
    <w:rsid w:val="00C67A00"/>
    <w:rsid w:val="00C67ED0"/>
    <w:rsid w:val="00C73E79"/>
    <w:rsid w:val="00C8522E"/>
    <w:rsid w:val="00C950CC"/>
    <w:rsid w:val="00CA053D"/>
    <w:rsid w:val="00CB0E45"/>
    <w:rsid w:val="00CB2E70"/>
    <w:rsid w:val="00CB6217"/>
    <w:rsid w:val="00CC1FF1"/>
    <w:rsid w:val="00CD40EB"/>
    <w:rsid w:val="00CE49C6"/>
    <w:rsid w:val="00CE59D4"/>
    <w:rsid w:val="00CE6A42"/>
    <w:rsid w:val="00CF1A0C"/>
    <w:rsid w:val="00CF2F84"/>
    <w:rsid w:val="00CF55AC"/>
    <w:rsid w:val="00D01DB2"/>
    <w:rsid w:val="00D03C08"/>
    <w:rsid w:val="00D13488"/>
    <w:rsid w:val="00D221D5"/>
    <w:rsid w:val="00D34AFD"/>
    <w:rsid w:val="00D36111"/>
    <w:rsid w:val="00D42012"/>
    <w:rsid w:val="00D5280D"/>
    <w:rsid w:val="00D61C16"/>
    <w:rsid w:val="00D61F53"/>
    <w:rsid w:val="00D86D14"/>
    <w:rsid w:val="00D87C88"/>
    <w:rsid w:val="00DA034C"/>
    <w:rsid w:val="00DB3555"/>
    <w:rsid w:val="00DB6BE5"/>
    <w:rsid w:val="00DC2404"/>
    <w:rsid w:val="00DC631F"/>
    <w:rsid w:val="00DD33C4"/>
    <w:rsid w:val="00DE7171"/>
    <w:rsid w:val="00DF0635"/>
    <w:rsid w:val="00DF3668"/>
    <w:rsid w:val="00E06E4F"/>
    <w:rsid w:val="00E102A1"/>
    <w:rsid w:val="00E15AAB"/>
    <w:rsid w:val="00E16F51"/>
    <w:rsid w:val="00E17099"/>
    <w:rsid w:val="00E25F48"/>
    <w:rsid w:val="00E26D97"/>
    <w:rsid w:val="00E344DE"/>
    <w:rsid w:val="00E34555"/>
    <w:rsid w:val="00E41A05"/>
    <w:rsid w:val="00E631B3"/>
    <w:rsid w:val="00E80E29"/>
    <w:rsid w:val="00E81780"/>
    <w:rsid w:val="00E826A6"/>
    <w:rsid w:val="00E8677A"/>
    <w:rsid w:val="00EA08FD"/>
    <w:rsid w:val="00EB130A"/>
    <w:rsid w:val="00EB4D7E"/>
    <w:rsid w:val="00EB7551"/>
    <w:rsid w:val="00ED5CEC"/>
    <w:rsid w:val="00EF1F09"/>
    <w:rsid w:val="00F0020D"/>
    <w:rsid w:val="00F20200"/>
    <w:rsid w:val="00F34022"/>
    <w:rsid w:val="00F422AA"/>
    <w:rsid w:val="00F4524B"/>
    <w:rsid w:val="00F457F2"/>
    <w:rsid w:val="00F600C8"/>
    <w:rsid w:val="00F61C4D"/>
    <w:rsid w:val="00F64B00"/>
    <w:rsid w:val="00F64BE0"/>
    <w:rsid w:val="00F72A1B"/>
    <w:rsid w:val="00F746B3"/>
    <w:rsid w:val="00FA021F"/>
    <w:rsid w:val="00FB42D4"/>
    <w:rsid w:val="00FB56B4"/>
    <w:rsid w:val="00FC0929"/>
    <w:rsid w:val="00FC22BF"/>
    <w:rsid w:val="00FC40FA"/>
    <w:rsid w:val="00FC436B"/>
    <w:rsid w:val="00FD3070"/>
    <w:rsid w:val="00FD64FB"/>
    <w:rsid w:val="00FF0D91"/>
    <w:rsid w:val="00FF44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F20BDB"/>
  <w15:docId w15:val="{5F80C455-E035-4F72-AA86-1CC0AC22E8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2"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43C8"/>
    <w:pPr>
      <w:jc w:val="both"/>
    </w:pPr>
    <w:rPr>
      <w:rFonts w:ascii="Frutiger LT Std 45 Light" w:hAnsi="Frutiger LT Std 45 Light"/>
      <w:noProof/>
      <w:sz w:val="20"/>
      <w:lang w:val="en-NZ"/>
    </w:rPr>
  </w:style>
  <w:style w:type="paragraph" w:styleId="Heading1">
    <w:name w:val="heading 1"/>
    <w:basedOn w:val="Normal"/>
    <w:next w:val="Normal"/>
    <w:link w:val="Heading1Char"/>
    <w:autoRedefine/>
    <w:uiPriority w:val="9"/>
    <w:qFormat/>
    <w:rsid w:val="00D36111"/>
    <w:pPr>
      <w:keepNext/>
      <w:keepLines/>
      <w:spacing w:before="240" w:after="240"/>
      <w:outlineLvl w:val="0"/>
    </w:pPr>
    <w:rPr>
      <w:rFonts w:eastAsiaTheme="majorEastAsia" w:cstheme="majorBidi"/>
      <w:bCs/>
      <w:color w:val="CF142B"/>
      <w:sz w:val="36"/>
      <w:szCs w:val="28"/>
    </w:rPr>
  </w:style>
  <w:style w:type="paragraph" w:styleId="Heading2">
    <w:name w:val="heading 2"/>
    <w:basedOn w:val="Normal"/>
    <w:next w:val="Normal"/>
    <w:link w:val="Heading2Char"/>
    <w:autoRedefine/>
    <w:uiPriority w:val="9"/>
    <w:unhideWhenUsed/>
    <w:qFormat/>
    <w:rsid w:val="004239E0"/>
    <w:pPr>
      <w:outlineLvl w:val="1"/>
    </w:pPr>
    <w:rPr>
      <w:color w:val="CF142B"/>
      <w:sz w:val="32"/>
      <w:szCs w:val="36"/>
    </w:rPr>
  </w:style>
  <w:style w:type="paragraph" w:styleId="Heading3">
    <w:name w:val="heading 3"/>
    <w:basedOn w:val="Normal"/>
    <w:next w:val="Normal"/>
    <w:link w:val="Heading3Char"/>
    <w:uiPriority w:val="9"/>
    <w:unhideWhenUsed/>
    <w:qFormat/>
    <w:rsid w:val="0037385D"/>
    <w:pPr>
      <w:spacing w:before="240"/>
      <w:outlineLvl w:val="2"/>
    </w:pPr>
    <w:rPr>
      <w:color w:val="CF142B"/>
      <w:sz w:val="28"/>
    </w:rPr>
  </w:style>
  <w:style w:type="paragraph" w:styleId="Heading4">
    <w:name w:val="heading 4"/>
    <w:basedOn w:val="Normal"/>
    <w:next w:val="Normal"/>
    <w:link w:val="Heading4Char"/>
    <w:uiPriority w:val="9"/>
    <w:unhideWhenUsed/>
    <w:qFormat/>
    <w:rsid w:val="0037385D"/>
    <w:pPr>
      <w:keepNext/>
      <w:keepLines/>
      <w:spacing w:before="240" w:after="120"/>
      <w:outlineLvl w:val="3"/>
    </w:pPr>
    <w:rPr>
      <w:rFonts w:eastAsiaTheme="majorEastAsia" w:cstheme="majorBidi"/>
      <w:bCs/>
      <w:color w:val="CF142B"/>
      <w:sz w:val="24"/>
      <w:szCs w:val="36"/>
    </w:rPr>
  </w:style>
  <w:style w:type="paragraph" w:styleId="Heading5">
    <w:name w:val="heading 5"/>
    <w:aliases w:val="Section Heading"/>
    <w:next w:val="Normal"/>
    <w:link w:val="Heading5Char"/>
    <w:autoRedefine/>
    <w:uiPriority w:val="9"/>
    <w:unhideWhenUsed/>
    <w:rsid w:val="0037385D"/>
    <w:pPr>
      <w:outlineLvl w:val="4"/>
    </w:pPr>
    <w:rPr>
      <w:rFonts w:ascii="Frutiger LT Std 45 Light" w:eastAsiaTheme="majorEastAsia" w:hAnsi="Frutiger LT Std 45 Light" w:cstheme="majorBidi"/>
      <w:bCs/>
      <w:color w:val="CF142B"/>
      <w:sz w:val="56"/>
      <w:szCs w:val="28"/>
    </w:rPr>
  </w:style>
  <w:style w:type="paragraph" w:styleId="Heading6">
    <w:name w:val="heading 6"/>
    <w:basedOn w:val="Heading4"/>
    <w:next w:val="Normal"/>
    <w:link w:val="Heading6Char"/>
    <w:uiPriority w:val="9"/>
    <w:unhideWhenUsed/>
    <w:rsid w:val="005E3FAC"/>
    <w:pPr>
      <w:outlineLvl w:val="5"/>
    </w:pPr>
  </w:style>
  <w:style w:type="paragraph" w:styleId="Heading7">
    <w:name w:val="heading 7"/>
    <w:basedOn w:val="Heading6"/>
    <w:next w:val="Normal"/>
    <w:link w:val="Heading7Char"/>
    <w:uiPriority w:val="9"/>
    <w:unhideWhenUsed/>
    <w:rsid w:val="00110A0F"/>
    <w:pPr>
      <w:outlineLvl w:val="6"/>
    </w:pPr>
    <w:rPr>
      <w:bCs w:val="0"/>
      <w:szCs w:val="28"/>
    </w:rPr>
  </w:style>
  <w:style w:type="paragraph" w:styleId="Heading8">
    <w:name w:val="heading 8"/>
    <w:basedOn w:val="Heading6"/>
    <w:next w:val="Normal"/>
    <w:link w:val="Heading8Char"/>
    <w:uiPriority w:val="9"/>
    <w:unhideWhenUsed/>
    <w:rsid w:val="005E3FAC"/>
    <w:pPr>
      <w:outlineLvl w:val="7"/>
    </w:pPr>
  </w:style>
  <w:style w:type="paragraph" w:styleId="Heading9">
    <w:name w:val="heading 9"/>
    <w:basedOn w:val="Heading6"/>
    <w:next w:val="Normal"/>
    <w:link w:val="Heading9Char"/>
    <w:uiPriority w:val="9"/>
    <w:unhideWhenUsed/>
    <w:rsid w:val="005E3FAC"/>
    <w:p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6111"/>
    <w:rPr>
      <w:rFonts w:ascii="Frutiger LT Std 45 Light" w:eastAsiaTheme="majorEastAsia" w:hAnsi="Frutiger LT Std 45 Light" w:cstheme="majorBidi"/>
      <w:bCs/>
      <w:color w:val="CF142B"/>
      <w:sz w:val="36"/>
      <w:szCs w:val="28"/>
    </w:rPr>
  </w:style>
  <w:style w:type="paragraph" w:styleId="NoSpacing">
    <w:name w:val="No Spacing"/>
    <w:link w:val="NoSpacingChar"/>
    <w:uiPriority w:val="1"/>
    <w:qFormat/>
    <w:rsid w:val="00FC40FA"/>
    <w:pPr>
      <w:spacing w:after="0" w:line="240" w:lineRule="auto"/>
    </w:pPr>
    <w:rPr>
      <w:rFonts w:ascii="Frutiger LT Std 45 Light" w:hAnsi="Frutiger LT Std 45 Light"/>
      <w:sz w:val="20"/>
    </w:rPr>
  </w:style>
  <w:style w:type="character" w:customStyle="1" w:styleId="Heading2Char">
    <w:name w:val="Heading 2 Char"/>
    <w:basedOn w:val="DefaultParagraphFont"/>
    <w:link w:val="Heading2"/>
    <w:uiPriority w:val="9"/>
    <w:rsid w:val="004239E0"/>
    <w:rPr>
      <w:rFonts w:ascii="Frutiger LT Std 45 Light" w:hAnsi="Frutiger LT Std 45 Light"/>
      <w:color w:val="CF142B"/>
      <w:sz w:val="32"/>
      <w:szCs w:val="36"/>
    </w:rPr>
  </w:style>
  <w:style w:type="paragraph" w:styleId="Header">
    <w:name w:val="header"/>
    <w:basedOn w:val="Normal"/>
    <w:next w:val="Normal"/>
    <w:link w:val="HeaderChar"/>
    <w:unhideWhenUsed/>
    <w:rsid w:val="00C45D31"/>
    <w:pPr>
      <w:tabs>
        <w:tab w:val="center" w:pos="4513"/>
        <w:tab w:val="right" w:pos="9026"/>
      </w:tabs>
      <w:spacing w:after="0" w:line="240" w:lineRule="auto"/>
      <w:jc w:val="right"/>
    </w:pPr>
    <w:rPr>
      <w:color w:val="A6A6A6" w:themeColor="background1" w:themeShade="A6"/>
      <w:sz w:val="16"/>
    </w:rPr>
  </w:style>
  <w:style w:type="character" w:customStyle="1" w:styleId="HeaderChar">
    <w:name w:val="Header Char"/>
    <w:basedOn w:val="DefaultParagraphFont"/>
    <w:link w:val="Header"/>
    <w:rsid w:val="00C45D31"/>
    <w:rPr>
      <w:rFonts w:ascii="Frutiger LT Std 45 Light" w:hAnsi="Frutiger LT Std 45 Light"/>
      <w:color w:val="A6A6A6" w:themeColor="background1" w:themeShade="A6"/>
      <w:sz w:val="16"/>
    </w:rPr>
  </w:style>
  <w:style w:type="paragraph" w:styleId="Footer">
    <w:name w:val="footer"/>
    <w:basedOn w:val="Normal"/>
    <w:link w:val="FooterChar"/>
    <w:autoRedefine/>
    <w:unhideWhenUsed/>
    <w:qFormat/>
    <w:rsid w:val="00DF3668"/>
    <w:pPr>
      <w:spacing w:after="0" w:line="240" w:lineRule="auto"/>
      <w:jc w:val="right"/>
    </w:pPr>
    <w:rPr>
      <w:color w:val="000000" w:themeColor="text1"/>
      <w:sz w:val="16"/>
    </w:rPr>
  </w:style>
  <w:style w:type="character" w:customStyle="1" w:styleId="FooterChar">
    <w:name w:val="Footer Char"/>
    <w:basedOn w:val="DefaultParagraphFont"/>
    <w:link w:val="Footer"/>
    <w:rsid w:val="00DF3668"/>
    <w:rPr>
      <w:rFonts w:ascii="Frutiger LT Std 45 Light" w:hAnsi="Frutiger LT Std 45 Light"/>
      <w:color w:val="000000" w:themeColor="text1"/>
      <w:sz w:val="16"/>
    </w:rPr>
  </w:style>
  <w:style w:type="character" w:customStyle="1" w:styleId="Heading3Char">
    <w:name w:val="Heading 3 Char"/>
    <w:basedOn w:val="DefaultParagraphFont"/>
    <w:link w:val="Heading3"/>
    <w:uiPriority w:val="9"/>
    <w:rsid w:val="0037385D"/>
    <w:rPr>
      <w:rFonts w:ascii="Frutiger LT Std 45 Light" w:hAnsi="Frutiger LT Std 45 Light"/>
      <w:color w:val="CF142B"/>
      <w:sz w:val="28"/>
    </w:rPr>
  </w:style>
  <w:style w:type="character" w:customStyle="1" w:styleId="Heading4Char">
    <w:name w:val="Heading 4 Char"/>
    <w:basedOn w:val="DefaultParagraphFont"/>
    <w:link w:val="Heading4"/>
    <w:uiPriority w:val="9"/>
    <w:rsid w:val="0037385D"/>
    <w:rPr>
      <w:rFonts w:ascii="Frutiger LT Std 45 Light" w:eastAsiaTheme="majorEastAsia" w:hAnsi="Frutiger LT Std 45 Light" w:cstheme="majorBidi"/>
      <w:bCs/>
      <w:color w:val="CF142B"/>
      <w:sz w:val="24"/>
      <w:szCs w:val="36"/>
    </w:rPr>
  </w:style>
  <w:style w:type="paragraph" w:styleId="Title">
    <w:name w:val="Title"/>
    <w:basedOn w:val="Normal"/>
    <w:next w:val="Normal"/>
    <w:link w:val="TitleChar"/>
    <w:autoRedefine/>
    <w:uiPriority w:val="2"/>
    <w:qFormat/>
    <w:rsid w:val="007B72DF"/>
    <w:pPr>
      <w:spacing w:before="120" w:after="120" w:line="240" w:lineRule="auto"/>
      <w:contextualSpacing/>
    </w:pPr>
    <w:rPr>
      <w:rFonts w:eastAsiaTheme="majorEastAsia" w:cstheme="majorBidi"/>
      <w:spacing w:val="-10"/>
      <w:kern w:val="28"/>
      <w:sz w:val="48"/>
      <w:szCs w:val="56"/>
    </w:rPr>
  </w:style>
  <w:style w:type="character" w:customStyle="1" w:styleId="TitleChar">
    <w:name w:val="Title Char"/>
    <w:basedOn w:val="DefaultParagraphFont"/>
    <w:link w:val="Title"/>
    <w:uiPriority w:val="2"/>
    <w:rsid w:val="007B72DF"/>
    <w:rPr>
      <w:rFonts w:ascii="Frutiger LT Std 45 Light" w:eastAsiaTheme="majorEastAsia" w:hAnsi="Frutiger LT Std 45 Light" w:cstheme="majorBidi"/>
      <w:spacing w:val="-10"/>
      <w:kern w:val="28"/>
      <w:sz w:val="48"/>
      <w:szCs w:val="56"/>
    </w:rPr>
  </w:style>
  <w:style w:type="paragraph" w:styleId="Subtitle">
    <w:name w:val="Subtitle"/>
    <w:aliases w:val="Information Box"/>
    <w:basedOn w:val="Normal"/>
    <w:next w:val="Normal"/>
    <w:link w:val="SubtitleChar"/>
    <w:uiPriority w:val="11"/>
    <w:qFormat/>
    <w:rsid w:val="004246C9"/>
    <w:pPr>
      <w:numPr>
        <w:ilvl w:val="1"/>
      </w:numPr>
      <w:pBdr>
        <w:top w:val="single" w:sz="12" w:space="5" w:color="FFFFFF" w:themeColor="background1"/>
        <w:left w:val="single" w:sz="12" w:space="8" w:color="FFFFFF" w:themeColor="background1"/>
        <w:bottom w:val="single" w:sz="12" w:space="5" w:color="FFFFFF" w:themeColor="background1"/>
        <w:right w:val="single" w:sz="12" w:space="8" w:color="FFFFFF" w:themeColor="background1"/>
      </w:pBdr>
      <w:shd w:val="clear" w:color="auto" w:fill="F2F2F2" w:themeFill="background1" w:themeFillShade="F2"/>
      <w:spacing w:after="120" w:line="240" w:lineRule="auto"/>
    </w:pPr>
    <w:rPr>
      <w:rFonts w:eastAsiaTheme="minorEastAsia"/>
      <w:color w:val="000000" w:themeColor="text1"/>
    </w:rPr>
  </w:style>
  <w:style w:type="character" w:customStyle="1" w:styleId="SubtitleChar">
    <w:name w:val="Subtitle Char"/>
    <w:aliases w:val="Information Box Char"/>
    <w:basedOn w:val="DefaultParagraphFont"/>
    <w:link w:val="Subtitle"/>
    <w:uiPriority w:val="11"/>
    <w:rsid w:val="004246C9"/>
    <w:rPr>
      <w:rFonts w:ascii="Frutiger LT Std 45 Light" w:eastAsiaTheme="minorEastAsia" w:hAnsi="Frutiger LT Std 45 Light"/>
      <w:color w:val="000000" w:themeColor="text1"/>
      <w:sz w:val="20"/>
      <w:shd w:val="clear" w:color="auto" w:fill="F2F2F2" w:themeFill="background1" w:themeFillShade="F2"/>
    </w:rPr>
  </w:style>
  <w:style w:type="character" w:styleId="SubtleEmphasis">
    <w:name w:val="Subtle Emphasis"/>
    <w:basedOn w:val="DefaultParagraphFont"/>
    <w:uiPriority w:val="19"/>
    <w:qFormat/>
    <w:rsid w:val="00F4524B"/>
    <w:rPr>
      <w:rFonts w:ascii="Frutiger LT Std 45 Light" w:hAnsi="Frutiger LT Std 45 Light"/>
      <w:i/>
      <w:iCs/>
      <w:color w:val="404040" w:themeColor="text1" w:themeTint="BF"/>
    </w:rPr>
  </w:style>
  <w:style w:type="character" w:styleId="Strong">
    <w:name w:val="Strong"/>
    <w:basedOn w:val="DefaultParagraphFont"/>
    <w:uiPriority w:val="22"/>
    <w:qFormat/>
    <w:rsid w:val="00F4524B"/>
    <w:rPr>
      <w:rFonts w:ascii="Frutiger LT Std 45 Light" w:hAnsi="Frutiger LT Std 45 Light"/>
      <w:b/>
      <w:bCs/>
    </w:rPr>
  </w:style>
  <w:style w:type="paragraph" w:styleId="Quote">
    <w:name w:val="Quote"/>
    <w:aliases w:val="Standard Quote"/>
    <w:basedOn w:val="Normal"/>
    <w:next w:val="Normal"/>
    <w:link w:val="QuoteChar"/>
    <w:autoRedefine/>
    <w:uiPriority w:val="29"/>
    <w:qFormat/>
    <w:rsid w:val="00563D94"/>
    <w:pPr>
      <w:pBdr>
        <w:top w:val="single" w:sz="12" w:space="10" w:color="808080" w:themeColor="background1" w:themeShade="80"/>
        <w:left w:val="single" w:sz="12" w:space="10" w:color="FFFFFF" w:themeColor="background1"/>
        <w:bottom w:val="single" w:sz="12" w:space="10" w:color="808080" w:themeColor="background1" w:themeShade="80"/>
        <w:right w:val="single" w:sz="12" w:space="10" w:color="FFFFFF" w:themeColor="background1"/>
      </w:pBdr>
      <w:shd w:val="clear" w:color="auto" w:fill="F2F2F2" w:themeFill="background1" w:themeFillShade="F2"/>
      <w:spacing w:before="360" w:after="360" w:line="240" w:lineRule="auto"/>
      <w:ind w:left="284" w:right="284"/>
    </w:pPr>
    <w:rPr>
      <w:i/>
      <w:color w:val="000000" w:themeColor="text1"/>
      <w:sz w:val="28"/>
    </w:rPr>
  </w:style>
  <w:style w:type="character" w:customStyle="1" w:styleId="QuoteChar">
    <w:name w:val="Quote Char"/>
    <w:aliases w:val="Standard Quote Char"/>
    <w:basedOn w:val="DefaultParagraphFont"/>
    <w:link w:val="Quote"/>
    <w:uiPriority w:val="29"/>
    <w:rsid w:val="00563D94"/>
    <w:rPr>
      <w:rFonts w:ascii="Frutiger LT Std 45 Light" w:hAnsi="Frutiger LT Std 45 Light"/>
      <w:i/>
      <w:color w:val="000000" w:themeColor="text1"/>
      <w:sz w:val="28"/>
      <w:shd w:val="clear" w:color="auto" w:fill="F2F2F2" w:themeFill="background1" w:themeFillShade="F2"/>
    </w:rPr>
  </w:style>
  <w:style w:type="paragraph" w:styleId="IntenseQuote">
    <w:name w:val="Intense Quote"/>
    <w:aliases w:val="Super Quote"/>
    <w:basedOn w:val="Normal"/>
    <w:next w:val="Normal"/>
    <w:link w:val="IntenseQuoteChar"/>
    <w:uiPriority w:val="30"/>
    <w:qFormat/>
    <w:rsid w:val="0037385D"/>
    <w:pPr>
      <w:pBdr>
        <w:top w:val="single" w:sz="12" w:space="10" w:color="CF142B"/>
        <w:bottom w:val="single" w:sz="12" w:space="10" w:color="CF142B"/>
      </w:pBdr>
      <w:spacing w:before="360" w:after="360"/>
      <w:ind w:left="864" w:right="864"/>
      <w:jc w:val="center"/>
    </w:pPr>
    <w:rPr>
      <w:i/>
      <w:iCs/>
      <w:color w:val="808080" w:themeColor="background1" w:themeShade="80"/>
      <w:sz w:val="32"/>
    </w:rPr>
  </w:style>
  <w:style w:type="character" w:customStyle="1" w:styleId="IntenseQuoteChar">
    <w:name w:val="Intense Quote Char"/>
    <w:aliases w:val="Super Quote Char"/>
    <w:basedOn w:val="DefaultParagraphFont"/>
    <w:link w:val="IntenseQuote"/>
    <w:uiPriority w:val="30"/>
    <w:rsid w:val="0037385D"/>
    <w:rPr>
      <w:rFonts w:ascii="Frutiger LT Std 45 Light" w:hAnsi="Frutiger LT Std 45 Light"/>
      <w:i/>
      <w:iCs/>
      <w:color w:val="808080" w:themeColor="background1" w:themeShade="80"/>
      <w:sz w:val="32"/>
    </w:rPr>
  </w:style>
  <w:style w:type="character" w:customStyle="1" w:styleId="Heading6Char">
    <w:name w:val="Heading 6 Char"/>
    <w:basedOn w:val="DefaultParagraphFont"/>
    <w:link w:val="Heading6"/>
    <w:uiPriority w:val="9"/>
    <w:rsid w:val="00D36111"/>
    <w:rPr>
      <w:rFonts w:ascii="Frutiger LT Std 45 Light" w:eastAsiaTheme="majorEastAsia" w:hAnsi="Frutiger LT Std 45 Light" w:cstheme="majorBidi"/>
      <w:bCs/>
      <w:color w:val="CF142B"/>
      <w:sz w:val="24"/>
      <w:szCs w:val="36"/>
    </w:rPr>
  </w:style>
  <w:style w:type="paragraph" w:customStyle="1" w:styleId="NotificationBox">
    <w:name w:val="Notification Box"/>
    <w:basedOn w:val="Subtitle"/>
    <w:qFormat/>
    <w:rsid w:val="00FC40FA"/>
    <w:pPr>
      <w:shd w:val="clear" w:color="auto" w:fill="D1DEEE" w:themeFill="text2" w:themeFillTint="33"/>
    </w:pPr>
  </w:style>
  <w:style w:type="character" w:styleId="BookTitle">
    <w:name w:val="Book Title"/>
    <w:basedOn w:val="DefaultParagraphFont"/>
    <w:uiPriority w:val="33"/>
    <w:qFormat/>
    <w:rsid w:val="00F4524B"/>
    <w:rPr>
      <w:rFonts w:ascii="Frutiger LT Std 45 Light" w:hAnsi="Frutiger LT Std 45 Light"/>
      <w:b/>
      <w:bCs/>
      <w:i/>
      <w:iCs/>
      <w:spacing w:val="5"/>
    </w:rPr>
  </w:style>
  <w:style w:type="paragraph" w:styleId="ListParagraph">
    <w:name w:val="List Paragraph"/>
    <w:basedOn w:val="Normal"/>
    <w:uiPriority w:val="34"/>
    <w:qFormat/>
    <w:rsid w:val="000D1503"/>
    <w:pPr>
      <w:numPr>
        <w:numId w:val="13"/>
      </w:numPr>
      <w:contextualSpacing/>
    </w:pPr>
    <w:rPr>
      <w:color w:val="000000" w:themeColor="text1"/>
    </w:rPr>
  </w:style>
  <w:style w:type="character" w:styleId="IntenseEmphasis">
    <w:name w:val="Intense Emphasis"/>
    <w:basedOn w:val="DefaultParagraphFont"/>
    <w:uiPriority w:val="21"/>
    <w:qFormat/>
    <w:rsid w:val="0037385D"/>
    <w:rPr>
      <w:rFonts w:ascii="Frutiger LT Std 45 Light" w:hAnsi="Frutiger LT Std 45 Light"/>
      <w:i/>
      <w:iCs/>
      <w:color w:val="CF142B"/>
    </w:rPr>
  </w:style>
  <w:style w:type="character" w:styleId="Emphasis">
    <w:name w:val="Emphasis"/>
    <w:basedOn w:val="DefaultParagraphFont"/>
    <w:uiPriority w:val="20"/>
    <w:qFormat/>
    <w:rsid w:val="00F4524B"/>
    <w:rPr>
      <w:rFonts w:ascii="Frutiger LT Std 45 Light" w:hAnsi="Frutiger LT Std 45 Light"/>
      <w:i/>
      <w:iCs/>
    </w:rPr>
  </w:style>
  <w:style w:type="character" w:customStyle="1" w:styleId="Heading5Char">
    <w:name w:val="Heading 5 Char"/>
    <w:aliases w:val="Section Heading Char"/>
    <w:basedOn w:val="DefaultParagraphFont"/>
    <w:link w:val="Heading5"/>
    <w:uiPriority w:val="9"/>
    <w:rsid w:val="0037385D"/>
    <w:rPr>
      <w:rFonts w:ascii="Frutiger LT Std 45 Light" w:eastAsiaTheme="majorEastAsia" w:hAnsi="Frutiger LT Std 45 Light" w:cstheme="majorBidi"/>
      <w:bCs/>
      <w:color w:val="CF142B"/>
      <w:sz w:val="56"/>
      <w:szCs w:val="28"/>
    </w:rPr>
  </w:style>
  <w:style w:type="character" w:customStyle="1" w:styleId="Heading7Char">
    <w:name w:val="Heading 7 Char"/>
    <w:basedOn w:val="DefaultParagraphFont"/>
    <w:link w:val="Heading7"/>
    <w:uiPriority w:val="9"/>
    <w:rsid w:val="00110A0F"/>
    <w:rPr>
      <w:rFonts w:ascii="Frutiger LT Std 45 Light" w:eastAsiaTheme="majorEastAsia" w:hAnsi="Frutiger LT Std 45 Light" w:cstheme="majorBidi"/>
      <w:color w:val="CF142B"/>
      <w:sz w:val="24"/>
      <w:szCs w:val="28"/>
    </w:rPr>
  </w:style>
  <w:style w:type="character" w:customStyle="1" w:styleId="Heading8Char">
    <w:name w:val="Heading 8 Char"/>
    <w:basedOn w:val="DefaultParagraphFont"/>
    <w:link w:val="Heading8"/>
    <w:uiPriority w:val="9"/>
    <w:rsid w:val="00110A0F"/>
    <w:rPr>
      <w:rFonts w:ascii="Frutiger LT Std 45 Light" w:eastAsiaTheme="majorEastAsia" w:hAnsi="Frutiger LT Std 45 Light" w:cstheme="majorBidi"/>
      <w:bCs/>
      <w:color w:val="CF142B"/>
      <w:sz w:val="24"/>
      <w:szCs w:val="36"/>
    </w:rPr>
  </w:style>
  <w:style w:type="character" w:customStyle="1" w:styleId="Heading9Char">
    <w:name w:val="Heading 9 Char"/>
    <w:basedOn w:val="DefaultParagraphFont"/>
    <w:link w:val="Heading9"/>
    <w:uiPriority w:val="9"/>
    <w:rsid w:val="00110A0F"/>
    <w:rPr>
      <w:rFonts w:ascii="Frutiger LT Std 45 Light" w:eastAsiaTheme="majorEastAsia" w:hAnsi="Frutiger LT Std 45 Light" w:cstheme="majorBidi"/>
      <w:bCs/>
      <w:color w:val="CF142B"/>
      <w:sz w:val="24"/>
      <w:szCs w:val="36"/>
    </w:rPr>
  </w:style>
  <w:style w:type="paragraph" w:customStyle="1" w:styleId="WarningBox">
    <w:name w:val="Warning Box"/>
    <w:basedOn w:val="NotificationBox"/>
    <w:qFormat/>
    <w:rsid w:val="00FC40FA"/>
    <w:pPr>
      <w:shd w:val="clear" w:color="auto" w:fill="FDE9D9" w:themeFill="accent6" w:themeFillTint="33"/>
    </w:pPr>
  </w:style>
  <w:style w:type="paragraph" w:customStyle="1" w:styleId="SuccessBox">
    <w:name w:val="Success Box"/>
    <w:basedOn w:val="NotificationBox"/>
    <w:qFormat/>
    <w:rsid w:val="00FC40FA"/>
    <w:pPr>
      <w:shd w:val="clear" w:color="auto" w:fill="EAF1DD" w:themeFill="accent3" w:themeFillTint="33"/>
    </w:pPr>
  </w:style>
  <w:style w:type="character" w:customStyle="1" w:styleId="NoSpacingChar">
    <w:name w:val="No Spacing Char"/>
    <w:basedOn w:val="DefaultParagraphFont"/>
    <w:link w:val="NoSpacing"/>
    <w:uiPriority w:val="1"/>
    <w:rsid w:val="009F6204"/>
    <w:rPr>
      <w:rFonts w:ascii="Frutiger LT Std 45 Light" w:hAnsi="Frutiger LT Std 45 Light"/>
      <w:sz w:val="20"/>
    </w:rPr>
  </w:style>
  <w:style w:type="paragraph" w:customStyle="1" w:styleId="CoverTitle">
    <w:name w:val="Cover Title"/>
    <w:basedOn w:val="Title"/>
    <w:qFormat/>
    <w:rsid w:val="0028155D"/>
    <w:pPr>
      <w:spacing w:before="0" w:after="0"/>
    </w:pPr>
    <w:rPr>
      <w:color w:val="FFFFFF" w:themeColor="background1"/>
      <w:sz w:val="72"/>
    </w:rPr>
  </w:style>
  <w:style w:type="paragraph" w:customStyle="1" w:styleId="CoverCompanyName">
    <w:name w:val="Cover Company Name"/>
    <w:next w:val="CoverText"/>
    <w:qFormat/>
    <w:rsid w:val="00DA034C"/>
    <w:pPr>
      <w:spacing w:after="0" w:line="360" w:lineRule="auto"/>
      <w:jc w:val="center"/>
    </w:pPr>
    <w:rPr>
      <w:rFonts w:ascii="Frutiger LT Std 45 Light" w:hAnsi="Frutiger LT Std 45 Light"/>
      <w:color w:val="CF142B"/>
      <w:sz w:val="32"/>
      <w:szCs w:val="28"/>
    </w:rPr>
  </w:style>
  <w:style w:type="paragraph" w:customStyle="1" w:styleId="CoverText">
    <w:name w:val="Cover Text"/>
    <w:basedOn w:val="CoverCompanyName"/>
    <w:qFormat/>
    <w:rsid w:val="008E6160"/>
    <w:rPr>
      <w:b/>
      <w:color w:val="000000" w:themeColor="text1"/>
      <w:sz w:val="20"/>
    </w:rPr>
  </w:style>
  <w:style w:type="paragraph" w:customStyle="1" w:styleId="CoverName">
    <w:name w:val="Cover Name"/>
    <w:qFormat/>
    <w:rsid w:val="007B72DF"/>
    <w:rPr>
      <w:rFonts w:ascii="Frutiger LT Std 45 Light" w:hAnsi="Frutiger LT Std 45 Light"/>
      <w:color w:val="595959" w:themeColor="text1" w:themeTint="A6"/>
      <w:sz w:val="28"/>
      <w:szCs w:val="28"/>
    </w:rPr>
  </w:style>
  <w:style w:type="paragraph" w:styleId="BalloonText">
    <w:name w:val="Balloon Text"/>
    <w:basedOn w:val="Normal"/>
    <w:link w:val="BalloonTextChar"/>
    <w:uiPriority w:val="99"/>
    <w:semiHidden/>
    <w:unhideWhenUsed/>
    <w:rsid w:val="00C73E7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73E79"/>
    <w:rPr>
      <w:rFonts w:ascii="Segoe UI" w:hAnsi="Segoe UI" w:cs="Segoe UI"/>
      <w:sz w:val="18"/>
      <w:szCs w:val="18"/>
    </w:rPr>
  </w:style>
  <w:style w:type="paragraph" w:customStyle="1" w:styleId="SectionTitleVertical">
    <w:name w:val="Section Title (Vertical)"/>
    <w:basedOn w:val="Title"/>
    <w:qFormat/>
    <w:rsid w:val="0037385D"/>
    <w:pPr>
      <w:pBdr>
        <w:bottom w:val="single" w:sz="18" w:space="2" w:color="CF142B"/>
      </w:pBdr>
    </w:pPr>
    <w:rPr>
      <w:color w:val="797979" w:themeColor="background2" w:themeShade="80"/>
    </w:rPr>
  </w:style>
  <w:style w:type="table" w:styleId="TableGrid">
    <w:name w:val="Table Grid"/>
    <w:basedOn w:val="TableNormal"/>
    <w:uiPriority w:val="59"/>
    <w:rsid w:val="006C3BE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RicohTableStyle">
    <w:name w:val="Ricoh Table Style"/>
    <w:basedOn w:val="TableNormal"/>
    <w:uiPriority w:val="99"/>
    <w:rsid w:val="00DB3555"/>
    <w:pPr>
      <w:spacing w:after="0" w:line="240" w:lineRule="auto"/>
    </w:pPr>
    <w:rPr>
      <w:rFonts w:ascii="Frutiger LT Std 45 Light" w:hAnsi="Frutiger LT Std 45 Light"/>
    </w:rPr>
    <w:tblPr>
      <w:tblStyleRowBandSize w:val="1"/>
      <w:tblCellMar>
        <w:top w:w="28" w:type="dxa"/>
        <w:left w:w="28" w:type="dxa"/>
        <w:bottom w:w="28" w:type="dxa"/>
        <w:right w:w="28" w:type="dxa"/>
      </w:tblCellMar>
    </w:tblPr>
    <w:tcPr>
      <w:shd w:val="clear" w:color="auto" w:fill="auto"/>
    </w:tcPr>
    <w:tblStylePr w:type="firstRow">
      <w:pPr>
        <w:jc w:val="left"/>
      </w:pPr>
      <w:rPr>
        <w:rFonts w:ascii="Frutiger LT Std 45 Light" w:hAnsi="Frutiger LT Std 45 Light"/>
        <w:color w:val="FFFFFF" w:themeColor="background1"/>
      </w:rPr>
      <w:tblPr/>
      <w:tcPr>
        <w:shd w:val="clear" w:color="auto" w:fill="CF142B"/>
        <w:vAlign w:val="center"/>
      </w:tcPr>
    </w:tblStylePr>
    <w:tblStylePr w:type="lastRow">
      <w:rPr>
        <w:rFonts w:ascii="Frutiger LT Std 45 Light" w:hAnsi="Frutiger LT Std 45 Light"/>
        <w:color w:val="FFFFFF" w:themeColor="background1"/>
      </w:rPr>
      <w:tblPr/>
      <w:tcPr>
        <w:shd w:val="clear" w:color="auto" w:fill="7F7F7F" w:themeFill="text1" w:themeFillTint="80"/>
      </w:tcPr>
    </w:tblStylePr>
    <w:tblStylePr w:type="band1Horz">
      <w:tblPr/>
      <w:tcPr>
        <w:shd w:val="clear" w:color="auto" w:fill="F2F2F2" w:themeFill="background2"/>
      </w:tcPr>
    </w:tblStylePr>
    <w:tblStylePr w:type="band2Horz">
      <w:tblPr>
        <w:tblCellMar>
          <w:top w:w="57" w:type="dxa"/>
          <w:left w:w="57" w:type="dxa"/>
          <w:bottom w:w="57" w:type="dxa"/>
          <w:right w:w="57" w:type="dxa"/>
        </w:tblCellMar>
      </w:tblPr>
      <w:tcPr>
        <w:shd w:val="clear" w:color="auto" w:fill="F2F2F2" w:themeFill="background2"/>
        <w:vAlign w:val="center"/>
      </w:tcPr>
    </w:tblStylePr>
  </w:style>
  <w:style w:type="paragraph" w:customStyle="1" w:styleId="ShapeTitle">
    <w:name w:val="Shape Title"/>
    <w:basedOn w:val="Normal"/>
    <w:qFormat/>
    <w:rsid w:val="004F27C6"/>
    <w:rPr>
      <w:b/>
      <w:color w:val="FFFFFF" w:themeColor="background1"/>
      <w:sz w:val="24"/>
    </w:rPr>
  </w:style>
  <w:style w:type="paragraph" w:customStyle="1" w:styleId="ShapeContent">
    <w:name w:val="Shape Content"/>
    <w:basedOn w:val="ShapeTitle"/>
    <w:qFormat/>
    <w:rsid w:val="004F27C6"/>
    <w:rPr>
      <w:b w:val="0"/>
      <w:color w:val="000000" w:themeColor="text1"/>
      <w:sz w:val="20"/>
    </w:rPr>
  </w:style>
  <w:style w:type="table" w:customStyle="1" w:styleId="ClearTable">
    <w:name w:val="Clear Table"/>
    <w:basedOn w:val="TableNormal"/>
    <w:uiPriority w:val="99"/>
    <w:rsid w:val="00801766"/>
    <w:pPr>
      <w:spacing w:after="0" w:line="240" w:lineRule="auto"/>
    </w:pPr>
    <w:rPr>
      <w:rFonts w:ascii="Frutiger LT Std 45 Light" w:hAnsi="Frutiger LT Std 45 Light"/>
      <w:sz w:val="20"/>
    </w:rPr>
    <w:tblPr>
      <w:tblCellMar>
        <w:top w:w="57" w:type="dxa"/>
        <w:left w:w="0" w:type="dxa"/>
        <w:bottom w:w="57" w:type="dxa"/>
        <w:right w:w="0" w:type="dxa"/>
      </w:tblCellMar>
    </w:tblPr>
    <w:tcPr>
      <w:shd w:val="clear" w:color="auto" w:fill="auto"/>
    </w:tcPr>
  </w:style>
  <w:style w:type="paragraph" w:customStyle="1" w:styleId="TextBoxStyle">
    <w:name w:val="Text Box Style"/>
    <w:basedOn w:val="Normal"/>
    <w:link w:val="TextBoxStyleChar"/>
    <w:qFormat/>
    <w:rsid w:val="00F72A1B"/>
    <w:pPr>
      <w:spacing w:line="240" w:lineRule="auto"/>
    </w:pPr>
    <w:rPr>
      <w:b/>
      <w:color w:val="000000" w:themeColor="text1"/>
      <w:sz w:val="24"/>
    </w:rPr>
  </w:style>
  <w:style w:type="character" w:customStyle="1" w:styleId="TextBoxStyleChar">
    <w:name w:val="Text Box Style Char"/>
    <w:basedOn w:val="DefaultParagraphFont"/>
    <w:link w:val="TextBoxStyle"/>
    <w:rsid w:val="00F72A1B"/>
    <w:rPr>
      <w:rFonts w:ascii="Frutiger LT Std 45 Light" w:hAnsi="Frutiger LT Std 45 Light"/>
      <w:b/>
      <w:color w:val="000000" w:themeColor="text1"/>
      <w:sz w:val="24"/>
    </w:rPr>
  </w:style>
  <w:style w:type="paragraph" w:customStyle="1" w:styleId="TextBoxParagraph">
    <w:name w:val="Text Box Paragraph"/>
    <w:basedOn w:val="TextBoxStyle"/>
    <w:qFormat/>
    <w:rsid w:val="000D1503"/>
    <w:rPr>
      <w:b w:val="0"/>
      <w:sz w:val="20"/>
    </w:rPr>
  </w:style>
  <w:style w:type="paragraph" w:customStyle="1" w:styleId="Highlight">
    <w:name w:val="Highlight"/>
    <w:basedOn w:val="Normal"/>
    <w:qFormat/>
    <w:rsid w:val="000E421A"/>
    <w:pPr>
      <w:pBdr>
        <w:left w:val="single" w:sz="24" w:space="10" w:color="CF142B"/>
      </w:pBdr>
      <w:spacing w:after="0" w:line="240" w:lineRule="auto"/>
      <w:ind w:left="284" w:right="284"/>
    </w:pPr>
  </w:style>
  <w:style w:type="character" w:styleId="Hyperlink">
    <w:name w:val="Hyperlink"/>
    <w:basedOn w:val="DefaultParagraphFont"/>
    <w:uiPriority w:val="99"/>
    <w:unhideWhenUsed/>
    <w:rsid w:val="009A24D0"/>
    <w:rPr>
      <w:color w:val="548DD4" w:themeColor="hyperlink"/>
      <w:u w:val="single"/>
    </w:rPr>
  </w:style>
  <w:style w:type="paragraph" w:customStyle="1" w:styleId="BarcodeFont">
    <w:name w:val="Barcode Font"/>
    <w:link w:val="BarcodeFontChar"/>
    <w:qFormat/>
    <w:rsid w:val="00C22F62"/>
    <w:pPr>
      <w:widowControl w:val="0"/>
      <w:spacing w:after="0" w:line="360" w:lineRule="auto"/>
      <w:jc w:val="center"/>
    </w:pPr>
    <w:rPr>
      <w:rFonts w:ascii="Free 3 of 9 Extended" w:hAnsi="Free 3 of 9 Extended"/>
      <w:sz w:val="52"/>
    </w:rPr>
  </w:style>
  <w:style w:type="character" w:customStyle="1" w:styleId="BarcodeFontChar">
    <w:name w:val="Barcode Font Char"/>
    <w:basedOn w:val="DefaultParagraphFont"/>
    <w:link w:val="BarcodeFont"/>
    <w:rsid w:val="00C22F62"/>
    <w:rPr>
      <w:rFonts w:ascii="Free 3 of 9 Extended" w:hAnsi="Free 3 of 9 Extended"/>
      <w:sz w:val="52"/>
    </w:rPr>
  </w:style>
  <w:style w:type="table" w:customStyle="1" w:styleId="RicohTableTop">
    <w:name w:val="Ricoh Table Top"/>
    <w:basedOn w:val="TableNormal"/>
    <w:uiPriority w:val="99"/>
    <w:rsid w:val="000E3393"/>
    <w:pPr>
      <w:spacing w:after="0" w:line="240" w:lineRule="auto"/>
      <w:jc w:val="center"/>
    </w:pPr>
    <w:rPr>
      <w:rFonts w:ascii="Frutiger LT Std 45 Light" w:hAnsi="Frutiger LT Std 45 Light"/>
      <w:color w:val="CF142B" w:themeColor="accent1"/>
      <w:sz w:val="24"/>
    </w:rPr>
    <w:tblPr>
      <w:tblBorders>
        <w:top w:val="single" w:sz="18" w:space="0" w:color="F2F2F2" w:themeColor="background1" w:themeShade="F2"/>
        <w:left w:val="single" w:sz="18" w:space="0" w:color="F2F2F2" w:themeColor="background1" w:themeShade="F2"/>
        <w:bottom w:val="single" w:sz="18" w:space="0" w:color="F2F2F2" w:themeColor="background1" w:themeShade="F2"/>
        <w:right w:val="single" w:sz="18" w:space="0" w:color="F2F2F2" w:themeColor="background1" w:themeShade="F2"/>
        <w:insideH w:val="single" w:sz="18" w:space="0" w:color="F2F2F2" w:themeColor="background1" w:themeShade="F2"/>
        <w:insideV w:val="single" w:sz="18" w:space="0" w:color="F2F2F2" w:themeColor="background1" w:themeShade="F2"/>
      </w:tblBorders>
    </w:tblPr>
    <w:tcPr>
      <w:shd w:val="clear" w:color="auto" w:fill="FFFFFF" w:themeFill="background1"/>
      <w:tcMar>
        <w:top w:w="113" w:type="dxa"/>
        <w:left w:w="142" w:type="dxa"/>
        <w:bottom w:w="113" w:type="dxa"/>
        <w:right w:w="142" w:type="dxa"/>
      </w:tcMar>
      <w:vAlign w:val="center"/>
    </w:tcPr>
  </w:style>
  <w:style w:type="table" w:customStyle="1" w:styleId="RicohTableMiddleWithBand">
    <w:name w:val="Ricoh Table Middle With Band"/>
    <w:basedOn w:val="ClearTable"/>
    <w:uiPriority w:val="99"/>
    <w:rsid w:val="00A73651"/>
    <w:pPr>
      <w:jc w:val="center"/>
    </w:pPr>
    <w:rPr>
      <w:color w:val="000000" w:themeColor="text1"/>
    </w:rPr>
    <w:tblPr>
      <w:tblCellMar>
        <w:top w:w="113" w:type="dxa"/>
        <w:left w:w="156" w:type="dxa"/>
        <w:bottom w:w="113" w:type="dxa"/>
        <w:right w:w="156" w:type="dxa"/>
      </w:tblCellMar>
    </w:tblPr>
    <w:tcPr>
      <w:shd w:val="clear" w:color="auto" w:fill="FCFCFC"/>
    </w:tcPr>
    <w:tblStylePr w:type="firstRow">
      <w:tblPr/>
      <w:tcPr>
        <w:shd w:val="clear" w:color="auto" w:fill="F8F8F8"/>
      </w:tcPr>
    </w:tblStylePr>
  </w:style>
  <w:style w:type="table" w:customStyle="1" w:styleId="RicohTableSubtotal">
    <w:name w:val="Ricoh Table Subtotal"/>
    <w:basedOn w:val="TableNormal"/>
    <w:uiPriority w:val="99"/>
    <w:rsid w:val="000E3393"/>
    <w:pPr>
      <w:spacing w:after="0" w:line="240" w:lineRule="auto"/>
      <w:jc w:val="center"/>
    </w:pPr>
    <w:rPr>
      <w:rFonts w:ascii="Frutiger LT Std 45 Light" w:hAnsi="Frutiger LT Std 45 Light"/>
      <w:color w:val="000000" w:themeColor="text1"/>
      <w:sz w:val="20"/>
    </w:rPr>
    <w:tblPr>
      <w:tblBorders>
        <w:bottom w:val="single" w:sz="12" w:space="0" w:color="FFFFFF" w:themeColor="background1"/>
      </w:tblBorders>
      <w:tblCellMar>
        <w:top w:w="113" w:type="dxa"/>
        <w:left w:w="156" w:type="dxa"/>
        <w:bottom w:w="113" w:type="dxa"/>
        <w:right w:w="156" w:type="dxa"/>
      </w:tblCellMar>
    </w:tblPr>
    <w:tcPr>
      <w:shd w:val="clear" w:color="auto" w:fill="F8F8F8"/>
    </w:tcPr>
    <w:tblStylePr w:type="firstRow">
      <w:tblPr/>
      <w:tcPr>
        <w:tcBorders>
          <w:bottom w:val="single" w:sz="12" w:space="0" w:color="FFFFFF" w:themeColor="background1"/>
        </w:tcBorders>
        <w:shd w:val="clear" w:color="auto" w:fill="F8F8F8"/>
      </w:tcPr>
    </w:tblStylePr>
    <w:tblStylePr w:type="lastRow">
      <w:tblPr/>
      <w:tcPr>
        <w:tcBorders>
          <w:top w:val="nil"/>
          <w:left w:val="nil"/>
          <w:bottom w:val="nil"/>
          <w:right w:val="nil"/>
          <w:insideH w:val="nil"/>
          <w:insideV w:val="nil"/>
          <w:tl2br w:val="nil"/>
          <w:tr2bl w:val="nil"/>
        </w:tcBorders>
        <w:shd w:val="clear" w:color="auto" w:fill="F2F2F2" w:themeFill="background1" w:themeFillShade="F2"/>
      </w:tcPr>
    </w:tblStylePr>
    <w:tblStylePr w:type="firstCol">
      <w:tblPr/>
      <w:tcPr>
        <w:shd w:val="clear" w:color="auto" w:fill="FCFCFC"/>
      </w:tcPr>
    </w:tblStylePr>
    <w:tblStylePr w:type="nwCell">
      <w:tblPr/>
      <w:tcPr>
        <w:shd w:val="clear" w:color="auto" w:fill="FCFCFC"/>
      </w:tcPr>
    </w:tblStylePr>
  </w:style>
  <w:style w:type="character" w:styleId="CommentReference">
    <w:name w:val="annotation reference"/>
    <w:basedOn w:val="DefaultParagraphFont"/>
    <w:uiPriority w:val="99"/>
    <w:semiHidden/>
    <w:unhideWhenUsed/>
    <w:rsid w:val="0074073B"/>
    <w:rPr>
      <w:sz w:val="16"/>
      <w:szCs w:val="16"/>
    </w:rPr>
  </w:style>
  <w:style w:type="paragraph" w:styleId="CommentText">
    <w:name w:val="annotation text"/>
    <w:basedOn w:val="Normal"/>
    <w:link w:val="CommentTextChar"/>
    <w:uiPriority w:val="99"/>
    <w:semiHidden/>
    <w:unhideWhenUsed/>
    <w:rsid w:val="0074073B"/>
    <w:pPr>
      <w:spacing w:line="240" w:lineRule="auto"/>
    </w:pPr>
    <w:rPr>
      <w:szCs w:val="20"/>
    </w:rPr>
  </w:style>
  <w:style w:type="character" w:customStyle="1" w:styleId="CommentTextChar">
    <w:name w:val="Comment Text Char"/>
    <w:basedOn w:val="DefaultParagraphFont"/>
    <w:link w:val="CommentText"/>
    <w:uiPriority w:val="99"/>
    <w:semiHidden/>
    <w:rsid w:val="0074073B"/>
    <w:rPr>
      <w:rFonts w:ascii="Frutiger LT Std 45 Light" w:hAnsi="Frutiger LT Std 45 Light"/>
      <w:sz w:val="20"/>
      <w:szCs w:val="20"/>
    </w:rPr>
  </w:style>
  <w:style w:type="paragraph" w:styleId="CommentSubject">
    <w:name w:val="annotation subject"/>
    <w:basedOn w:val="CommentText"/>
    <w:next w:val="CommentText"/>
    <w:link w:val="CommentSubjectChar"/>
    <w:uiPriority w:val="99"/>
    <w:semiHidden/>
    <w:unhideWhenUsed/>
    <w:rsid w:val="0074073B"/>
    <w:rPr>
      <w:b/>
      <w:bCs/>
    </w:rPr>
  </w:style>
  <w:style w:type="character" w:customStyle="1" w:styleId="CommentSubjectChar">
    <w:name w:val="Comment Subject Char"/>
    <w:basedOn w:val="CommentTextChar"/>
    <w:link w:val="CommentSubject"/>
    <w:uiPriority w:val="99"/>
    <w:semiHidden/>
    <w:rsid w:val="0074073B"/>
    <w:rPr>
      <w:rFonts w:ascii="Frutiger LT Std 45 Light" w:hAnsi="Frutiger LT Std 45 Light"/>
      <w:b/>
      <w:bCs/>
      <w:sz w:val="20"/>
      <w:szCs w:val="20"/>
    </w:rPr>
  </w:style>
  <w:style w:type="table" w:customStyle="1" w:styleId="RicohTableTop1">
    <w:name w:val="Ricoh Table Top1"/>
    <w:basedOn w:val="TableNormal"/>
    <w:uiPriority w:val="99"/>
    <w:rsid w:val="00096FAC"/>
    <w:pPr>
      <w:spacing w:after="0" w:line="240" w:lineRule="auto"/>
      <w:jc w:val="center"/>
    </w:pPr>
    <w:rPr>
      <w:rFonts w:ascii="Frutiger LT Std 45 Light" w:hAnsi="Frutiger LT Std 45 Light"/>
      <w:color w:val="CF142B" w:themeColor="accent1"/>
      <w:sz w:val="24"/>
    </w:rPr>
    <w:tblPr>
      <w:tblBorders>
        <w:top w:val="single" w:sz="18" w:space="0" w:color="F2F2F2" w:themeColor="background1" w:themeShade="F2"/>
        <w:left w:val="single" w:sz="18" w:space="0" w:color="F2F2F2" w:themeColor="background1" w:themeShade="F2"/>
        <w:bottom w:val="single" w:sz="18" w:space="0" w:color="F2F2F2" w:themeColor="background1" w:themeShade="F2"/>
        <w:right w:val="single" w:sz="18" w:space="0" w:color="F2F2F2" w:themeColor="background1" w:themeShade="F2"/>
        <w:insideH w:val="single" w:sz="18" w:space="0" w:color="F2F2F2" w:themeColor="background1" w:themeShade="F2"/>
        <w:insideV w:val="single" w:sz="18" w:space="0" w:color="F2F2F2" w:themeColor="background1" w:themeShade="F2"/>
      </w:tblBorders>
    </w:tblPr>
    <w:tcPr>
      <w:shd w:val="clear" w:color="auto" w:fill="FFFFFF" w:themeFill="background1"/>
      <w:tcMar>
        <w:top w:w="113" w:type="dxa"/>
        <w:left w:w="142" w:type="dxa"/>
        <w:bottom w:w="113" w:type="dxa"/>
        <w:right w:w="142" w:type="dxa"/>
      </w:tcMar>
      <w:vAlign w:val="center"/>
    </w:tcPr>
  </w:style>
  <w:style w:type="table" w:customStyle="1" w:styleId="RicohTableMiddleWithBand1">
    <w:name w:val="Ricoh Table Middle With Band1"/>
    <w:basedOn w:val="TableNormal"/>
    <w:uiPriority w:val="99"/>
    <w:rsid w:val="00096FAC"/>
    <w:pPr>
      <w:spacing w:after="0" w:line="240" w:lineRule="auto"/>
      <w:jc w:val="center"/>
    </w:pPr>
    <w:rPr>
      <w:rFonts w:ascii="Frutiger LT Std 45 Light" w:hAnsi="Frutiger LT Std 45 Light"/>
      <w:color w:val="000000" w:themeColor="text1"/>
      <w:sz w:val="20"/>
    </w:rPr>
    <w:tblPr>
      <w:tblCellMar>
        <w:top w:w="113" w:type="dxa"/>
        <w:left w:w="156" w:type="dxa"/>
        <w:bottom w:w="113" w:type="dxa"/>
        <w:right w:w="156" w:type="dxa"/>
      </w:tblCellMar>
    </w:tblPr>
    <w:tcPr>
      <w:shd w:val="clear" w:color="auto" w:fill="FCFCFC"/>
    </w:tcPr>
    <w:tblStylePr w:type="firstRow">
      <w:tblPr/>
      <w:tcPr>
        <w:shd w:val="clear" w:color="auto" w:fill="F8F8F8"/>
      </w:tcPr>
    </w:tblStylePr>
  </w:style>
  <w:style w:type="character" w:styleId="PageNumber">
    <w:name w:val="page number"/>
    <w:basedOn w:val="DefaultParagraphFont"/>
    <w:semiHidden/>
    <w:unhideWhenUsed/>
    <w:rsid w:val="00D42012"/>
  </w:style>
  <w:style w:type="table" w:styleId="GridTable1Light-Accent1">
    <w:name w:val="Grid Table 1 Light Accent 1"/>
    <w:basedOn w:val="TableNormal"/>
    <w:uiPriority w:val="46"/>
    <w:rsid w:val="00D87C88"/>
    <w:pPr>
      <w:spacing w:after="0" w:line="240" w:lineRule="auto"/>
    </w:pPr>
    <w:rPr>
      <w:rFonts w:eastAsiaTheme="minorEastAsia"/>
      <w:lang w:val="en-NZ" w:eastAsia="en-GB"/>
    </w:rPr>
    <w:tblPr>
      <w:tblStyleRowBandSize w:val="1"/>
      <w:tblStyleColBandSize w:val="1"/>
      <w:tblBorders>
        <w:top w:val="single" w:sz="4" w:space="0" w:color="F597A3" w:themeColor="accent1" w:themeTint="66"/>
        <w:left w:val="single" w:sz="4" w:space="0" w:color="F597A3" w:themeColor="accent1" w:themeTint="66"/>
        <w:bottom w:val="single" w:sz="4" w:space="0" w:color="F597A3" w:themeColor="accent1" w:themeTint="66"/>
        <w:right w:val="single" w:sz="4" w:space="0" w:color="F597A3" w:themeColor="accent1" w:themeTint="66"/>
        <w:insideH w:val="single" w:sz="4" w:space="0" w:color="F597A3" w:themeColor="accent1" w:themeTint="66"/>
        <w:insideV w:val="single" w:sz="4" w:space="0" w:color="F597A3" w:themeColor="accent1" w:themeTint="66"/>
      </w:tblBorders>
    </w:tblPr>
    <w:tblStylePr w:type="firstRow">
      <w:rPr>
        <w:b/>
        <w:bCs/>
      </w:rPr>
      <w:tblPr/>
      <w:tcPr>
        <w:tcBorders>
          <w:bottom w:val="single" w:sz="12" w:space="0" w:color="F06475" w:themeColor="accent1" w:themeTint="99"/>
        </w:tcBorders>
      </w:tcPr>
    </w:tblStylePr>
    <w:tblStylePr w:type="lastRow">
      <w:rPr>
        <w:b/>
        <w:bCs/>
      </w:rPr>
      <w:tblPr/>
      <w:tcPr>
        <w:tcBorders>
          <w:top w:val="double" w:sz="2" w:space="0" w:color="F06475"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3142157">
      <w:bodyDiv w:val="1"/>
      <w:marLeft w:val="0"/>
      <w:marRight w:val="0"/>
      <w:marTop w:val="0"/>
      <w:marBottom w:val="0"/>
      <w:divBdr>
        <w:top w:val="none" w:sz="0" w:space="0" w:color="auto"/>
        <w:left w:val="none" w:sz="0" w:space="0" w:color="auto"/>
        <w:bottom w:val="none" w:sz="0" w:space="0" w:color="auto"/>
        <w:right w:val="none" w:sz="0" w:space="0" w:color="auto"/>
      </w:divBdr>
    </w:div>
    <w:div w:id="1562906597">
      <w:bodyDiv w:val="1"/>
      <w:marLeft w:val="0"/>
      <w:marRight w:val="0"/>
      <w:marTop w:val="0"/>
      <w:marBottom w:val="0"/>
      <w:divBdr>
        <w:top w:val="none" w:sz="0" w:space="0" w:color="auto"/>
        <w:left w:val="none" w:sz="0" w:space="0" w:color="auto"/>
        <w:bottom w:val="none" w:sz="0" w:space="0" w:color="auto"/>
        <w:right w:val="none" w:sz="0" w:space="0" w:color="auto"/>
      </w:divBdr>
    </w:div>
    <w:div w:id="1973510847">
      <w:bodyDiv w:val="1"/>
      <w:marLeft w:val="0"/>
      <w:marRight w:val="0"/>
      <w:marTop w:val="0"/>
      <w:marBottom w:val="0"/>
      <w:divBdr>
        <w:top w:val="none" w:sz="0" w:space="0" w:color="auto"/>
        <w:left w:val="none" w:sz="0" w:space="0" w:color="auto"/>
        <w:bottom w:val="none" w:sz="0" w:space="0" w:color="auto"/>
        <w:right w:val="none" w:sz="0" w:space="0" w:color="auto"/>
      </w:divBdr>
    </w:div>
    <w:div w:id="21449302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 Id="rIdImg101" Type="http://schemas.openxmlformats.org/officeDocument/2006/relationships/image" Target="media/hero.png"/><Relationship Id="rIdImg102" Type="http://schemas.openxmlformats.org/officeDocument/2006/relationships/image" Target="media/current.png"/><Relationship Id="rIdImg103" Type="http://schemas.openxmlformats.org/officeDocument/2006/relationships/image" Target="media/storage.png"/><Relationship Id="rIdImg104" Type="http://schemas.openxmlformats.org/officeDocument/2006/relationships/image" Target="media/heatmap.png"/><Relationship Id="rIdImg105" Type="http://schemas.openxmlformats.org/officeDocument/2006/relationships/image" Target="media/donut.png"/><Relationship Id="rIdImg106" Type="http://schemas.openxmlformats.org/officeDocument/2006/relationships/image" Target="media/beforeafter.png"/><Relationship Id="rIdImg107" Type="http://schemas.openxmlformats.org/officeDocument/2006/relationships/image" Target="media/intranet.png"/><Relationship Id="rIdImg108" Type="http://schemas.openxmlformats.org/officeDocument/2006/relationships/image" Target="media/hub.png"/><Relationship Id="rIdImg109" Type="http://schemas.openxmlformats.org/officeDocument/2006/relationships/image" Target="media/records.png"/><Relationship Id="rIdImg110" Type="http://schemas.openxmlformats.org/officeDocument/2006/relationships/image" Target="media/pillars.png"/><Relationship Id="rIdImg111" Type="http://schemas.openxmlformats.org/officeDocument/2006/relationships/image" Target="media/timeline.png"/><Relationship Id="rIdImg112" Type="http://schemas.openxmlformats.org/officeDocument/2006/relationships/image" Target="media/benefits.png"/></Relationships>
</file>

<file path=word/_rels/footer1.xml.rels><?xml version="1.0" encoding="UTF-8" standalone="yes"?>
<Relationships xmlns="http://schemas.openxmlformats.org/package/2006/relationships"><Relationship Id="rId1" Type="http://schemas.openxmlformats.org/officeDocument/2006/relationships/image" Target="media/image2.jpe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https://ricohap.sharepoint.com/sites/AP_OrganizationAssets/RNZ/PreSales%20File%20Note%20v3.dotx" TargetMode="External"/></Relationships>
</file>

<file path=word/theme/theme1.xml><?xml version="1.0" encoding="utf-8"?>
<a:theme xmlns:a="http://schemas.openxmlformats.org/drawingml/2006/main" name="Office Theme">
  <a:themeElements>
    <a:clrScheme name="Ricoh Style 2015">
      <a:dk1>
        <a:srgbClr val="000000"/>
      </a:dk1>
      <a:lt1>
        <a:sysClr val="window" lastClr="FFFFFF"/>
      </a:lt1>
      <a:dk2>
        <a:srgbClr val="366092"/>
      </a:dk2>
      <a:lt2>
        <a:srgbClr val="F2F2F2"/>
      </a:lt2>
      <a:accent1>
        <a:srgbClr val="CF142B"/>
      </a:accent1>
      <a:accent2>
        <a:srgbClr val="1F497D"/>
      </a:accent2>
      <a:accent3>
        <a:srgbClr val="9BBB59"/>
      </a:accent3>
      <a:accent4>
        <a:srgbClr val="8064A2"/>
      </a:accent4>
      <a:accent5>
        <a:srgbClr val="4BACC6"/>
      </a:accent5>
      <a:accent6>
        <a:srgbClr val="F79646"/>
      </a:accent6>
      <a:hlink>
        <a:srgbClr val="548DD4"/>
      </a:hlink>
      <a:folHlink>
        <a:srgbClr val="366092"/>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BA7F07AB480BFB4CA608015C3CF6BC90" ma:contentTypeVersion="4" ma:contentTypeDescription="Create a new document." ma:contentTypeScope="" ma:versionID="5ee88962c16296335184f33d1f73cde0">
  <xsd:schema xmlns:xsd="http://www.w3.org/2001/XMLSchema" xmlns:xs="http://www.w3.org/2001/XMLSchema" xmlns:p="http://schemas.microsoft.com/office/2006/metadata/properties" xmlns:ns2="b7a412f0-42c2-4596-9e74-7db9cd8c5cfb" targetNamespace="http://schemas.microsoft.com/office/2006/metadata/properties" ma:root="true" ma:fieldsID="b129202c2eee60bf771ca331a569ccf6" ns2:_="">
    <xsd:import namespace="b7a412f0-42c2-4596-9e74-7db9cd8c5cf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7a412f0-42c2-4596-9e74-7db9cd8c5cf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28FA0AD-62AE-4FE3-A2DE-20B3F8570BA3}">
  <ds:schemaRefs>
    <ds:schemaRef ds:uri="http://schemas.microsoft.com/sharepoint/v3/contenttype/forms"/>
  </ds:schemaRefs>
</ds:datastoreItem>
</file>

<file path=customXml/itemProps2.xml><?xml version="1.0" encoding="utf-8"?>
<ds:datastoreItem xmlns:ds="http://schemas.openxmlformats.org/officeDocument/2006/customXml" ds:itemID="{33169E0A-0A92-49E8-98C3-DFF40CC21FC7}">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4FC910D5-0D81-407C-9187-D3CF8A3290D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7a412f0-42c2-4596-9e74-7db9cd8c5cf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PreSales%20File%20Note%20v3.dotx</Template>
  <TotalTime>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Executive Summary FMS</vt:lpstr>
    </vt:vector>
  </TitlesOfParts>
  <Manager/>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File Note</dc:title>
  <dc:subject/>
  <dc:creator>Shaun Tukuafu</dc:creator>
  <cp:keywords/>
  <cp:lastModifiedBy>Shaun Tukuafu</cp:lastModifiedBy>
  <cp:revision>3</cp:revision>
  <cp:lastPrinted>2019-11-25T22:31:00Z</cp:lastPrinted>
  <dcterms:created xsi:type="dcterms:W3CDTF">2026-10-07T19:31:00Z</dcterms:created>
  <dcterms:modified xsi:type="dcterms:W3CDTF">2026-10-14T23:58:00Z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0x010100BA7F07AB480BFB4CA608015C3CF6BC90</vt:lpwstr>
  </property>
  <property fmtid="{D5CDD505-2E9C-101B-9397-08002B2CF9AE}" pid="3" name="MSIP_Label_22adad03-c4d6-49ec-9322-ba3d6a430fee_Enabled">
    <vt:lpwstr>true</vt:lpwstr>
  </property>
  <property fmtid="{D5CDD505-2E9C-101B-9397-08002B2CF9AE}" pid="4" name="MSIP_Label_22adad03-c4d6-49ec-9322-ba3d6a430fee_SetDate">
    <vt:lpwstr>2026-10-07T19:31:50Z</vt:lpwstr>
  </property>
  <property fmtid="{D5CDD505-2E9C-101B-9397-08002B2CF9AE}" pid="5" name="MSIP_Label_22adad03-c4d6-49ec-9322-ba3d6a430fee_Method">
    <vt:lpwstr>Privileged</vt:lpwstr>
  </property>
  <property fmtid="{D5CDD505-2E9C-101B-9397-08002B2CF9AE}" pid="6" name="MSIP_Label_22adad03-c4d6-49ec-9322-ba3d6a430fee_Name">
    <vt:lpwstr>Public</vt:lpwstr>
  </property>
  <property fmtid="{D5CDD505-2E9C-101B-9397-08002B2CF9AE}" pid="7" name="MSIP_Label_22adad03-c4d6-49ec-9322-ba3d6a430fee_SiteId">
    <vt:lpwstr>d1ea071a-5efb-4192-af54-d8e460956bd3</vt:lpwstr>
  </property>
  <property fmtid="{D5CDD505-2E9C-101B-9397-08002B2CF9AE}" pid="8" name="MSIP_Label_22adad03-c4d6-49ec-9322-ba3d6a430fee_ActionId">
    <vt:lpwstr>d58d4b41-a6ea-4c91-b35c-2e80e0628b06</vt:lpwstr>
  </property>
  <property fmtid="{D5CDD505-2E9C-101B-9397-08002B2CF9AE}" pid="9" name="MSIP_Label_22adad03-c4d6-49ec-9322-ba3d6a430fee_ContentBits">
    <vt:lpwstr>0</vt:lpwstr>
  </property>
  <property fmtid="{D5CDD505-2E9C-101B-9397-08002B2CF9AE}" pid="10" name="MSIP_Label_22adad03-c4d6-49ec-9322-ba3d6a430fee_Tag">
    <vt:lpwstr>10, 0, 1, 1</vt:lpwstr>
  </property>
</Properties>
</file>