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workshop budget decision</w:t>
      </w:r>
    </w:p>
    <w:p>
      <w:r>
        <w:t>Maya Ellis to Casey Lin | 1 September 2026 | Revision 1</w:t>
      </w:r>
    </w:p>
    <w:p>
      <w:r>
        <w:t>I request authorization for a 12 person staff workshop with a proposed cost of USD 1,000. The plan stays USD 200 below the USD 1,200 ceiling. No spending has been approved.</w:t>
      </w:r>
    </w:p>
    <w:p>
      <w:pPr>
        <w:pStyle w:val="Heading1"/>
      </w:pPr>
      <w:r>
        <w:t>Proposed cost</w:t>
      </w:r>
    </w:p>
    <w:p>
      <w:r>
        <w:t>Equipment costs USD 600, materials cost USD 200, and the venue quote is USD 200. Together these total USD 1,000. The budget ceiling is unchanged.</w:t>
      </w:r>
    </w:p>
    <w:p>
      <w:pPr>
        <w:pStyle w:val="Heading1"/>
      </w:pPr>
      <w:r>
        <w:t>Decision needed</w:t>
      </w:r>
    </w:p>
    <w:p>
      <w:r>
        <w:t>Please decide whether to authorize this proposal. Until that decision is recorded, keep the workshop at proposal stage and make no purchases.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workshop budget decision</dc:title>
  <dc:subject>Workshop proposal for Casey Lin</dc:subject>
  <dc:creator>Maya Ellis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