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2996ED" w14:textId="69216D1A" w:rsidR="00D85723" w:rsidRPr="00ED6BF5" w:rsidRDefault="00000000" w:rsidP="007F288D">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p>
    <w:p w14:paraId="328FC742" w14:textId="77777777" w:rsidR="00D85723" w:rsidRDefault="00000000" w:rsidP="007F288D">
      <w:pPr>
        <w:pStyle w:val="Sub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Examining the Market Efficiency for MLB Player Contracts</w:t>
      </w:r>
    </w:p>
    <w:p w14:paraId="0CDD3A77" w14:textId="77777777" w:rsidR="00D614CD" w:rsidRPr="00D614CD" w:rsidRDefault="00D614CD" w:rsidP="007F288D">
      <w:pPr>
        <w:pStyle w:val="BodyText"/>
        <w:spacing w:line="480" w:lineRule="auto"/>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475540B" w14:textId="6357CEFF" w:rsidR="00D05115" w:rsidRDefault="00D05115" w:rsidP="007F288D">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7D02150C" w14:textId="77777777" w:rsidR="005E5D53" w:rsidRDefault="005E5D53"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47AEBCD4" w14:textId="1C519C6E" w:rsidR="00FE3039" w:rsidRDefault="00D01CCC"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 Turner, Hood College, 401 Rosemont Ave, Frederick, MD, 21701, United States.</w:t>
      </w:r>
    </w:p>
    <w:p w14:paraId="07885958" w14:textId="77777777" w:rsidR="00AA7350" w:rsidRDefault="00FE3039"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D733820" w:rsidR="00B17FE9" w:rsidRPr="00B17FE9" w:rsidRDefault="00B17FE9" w:rsidP="007F288D">
      <w:pPr>
        <w:pStyle w:val="BodyText"/>
        <w:spacing w:line="480" w:lineRule="auto"/>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Baseball, Efficiency, </w:t>
      </w:r>
      <w:r w:rsidR="00931525">
        <w:rPr>
          <w:rFonts w:ascii="Times New Roman" w:hAnsi="Times New Roman" w:cs="Times New Roman"/>
        </w:rPr>
        <w:t>Contracts, Compensation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proofErr w:type="gramStart"/>
      <w:r w:rsidRPr="00ED6BF5">
        <w:rPr>
          <w:rFonts w:ascii="Times New Roman" w:hAnsi="Times New Roman" w:cs="Times New Roman"/>
          <w:color w:val="000000" w:themeColor="text1"/>
        </w:rPr>
        <w:t>a the</w:t>
      </w:r>
      <w:proofErr w:type="gramEnd"/>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w:t>
      </w:r>
      <w:r w:rsidRPr="00ED6BF5">
        <w:rPr>
          <w:rFonts w:ascii="Times New Roman" w:hAnsi="Times New Roman" w:cs="Times New Roman"/>
          <w:color w:val="000000" w:themeColor="text1"/>
        </w:rPr>
        <w:lastRenderedPageBreak/>
        <w:t xml:space="preserve">enthusiasm 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proofErr w:type="gramStart"/>
      <w:r w:rsidRPr="00ED6BF5">
        <w:rPr>
          <w:rFonts w:ascii="Times New Roman" w:hAnsi="Times New Roman" w:cs="Times New Roman"/>
          <w:color w:val="000000" w:themeColor="text1"/>
        </w:rPr>
        <w:t>an</w:t>
      </w:r>
      <w:proofErr w:type="gramEnd"/>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2086B5F8" w14:textId="669E8A91" w:rsidR="00D85723"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6CE66333" w14:textId="77777777" w:rsidR="0092197D" w:rsidRPr="0092197D" w:rsidRDefault="0092197D" w:rsidP="0092197D">
      <w:pPr>
        <w:pStyle w:val="BodyText"/>
      </w:pP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3CD92B5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FB7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6" w:name="tbl-WinPctSum"/>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D6DC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WinPct</w:t>
            </w:r>
          </w:p>
        </w:tc>
      </w:tr>
      <w:tr w:rsidR="00C014A5" w:rsidRPr="00ED6BF5" w14:paraId="572EC98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27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840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193.06***</w:t>
            </w:r>
          </w:p>
        </w:tc>
      </w:tr>
      <w:tr w:rsidR="00C014A5" w:rsidRPr="00ED6BF5" w14:paraId="12FD16B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167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5B0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(37.87)</w:t>
            </w:r>
          </w:p>
        </w:tc>
      </w:tr>
      <w:tr w:rsidR="00C014A5" w:rsidRPr="00ED6BF5" w14:paraId="2862E8D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E688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571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37FB41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B77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16B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8D588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8E8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F72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92F80F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0429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8B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4520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3AA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BC21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6B0B38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791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4CF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0FC7B3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97F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HR.x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C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31EB28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E46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95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F6DB47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656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BB.x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E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0E5AC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FC4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6C6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732555C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E87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B25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0478CD1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864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0D50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396E59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1F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HBP.x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BE5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2F4BA4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098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07B6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17D418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E40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SF.x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742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4169770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7E4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19B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AB2940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EE2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E.y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57C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9BB1C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ACA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392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625B88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50F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PB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3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22982C9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4C0D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37D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7481F72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34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SB.y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D4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8C0A01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BFB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02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5D7083F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1B6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D7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3D951A2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ADF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D9B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CD555C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912A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HR.y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50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35C32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D09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54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7EBDD89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089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BB.y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09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07271BC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CB5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84C6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DDFD4A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62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903B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5C2A8C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DE75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15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04F1E7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29D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22D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2ABD96B4"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595E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21F0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0.81</w:t>
            </w:r>
          </w:p>
        </w:tc>
      </w:tr>
      <w:tr w:rsidR="00C014A5" w:rsidRPr="00ED6BF5" w14:paraId="5152E34C"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64B49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3E6B259" w14:textId="17D4D288" w:rsidR="00D85723" w:rsidRPr="00ED6BF5" w:rsidRDefault="00D85723" w:rsidP="007F288D">
      <w:pPr>
        <w:pStyle w:val="FirstParagraph"/>
        <w:spacing w:line="480" w:lineRule="auto"/>
        <w:rPr>
          <w:rFonts w:ascii="Times New Roman" w:hAnsi="Times New Roman" w:cs="Times New Roman"/>
          <w:color w:val="000000" w:themeColor="text1"/>
        </w:rPr>
      </w:pP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45200AF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4F51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7" w:name="tbl-RSRCSum"/>
            <w:bookmarkEnd w:id="46"/>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A8D6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E93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r>
      <w:tr w:rsidR="00C014A5" w:rsidRPr="00ED6BF5" w14:paraId="3E68A0D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10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7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456.86*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3B7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6A14F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225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43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(227.90)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5F2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208BCF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2AE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BFC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C89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03B413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47F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7D1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9CB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ECEC0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DD4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E82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EC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0.20***</w:t>
            </w:r>
          </w:p>
        </w:tc>
      </w:tr>
      <w:tr w:rsidR="00C014A5" w:rsidRPr="00ED6BF5" w14:paraId="799C791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B5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50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26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6FD8CE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6A4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lastRenderedPageBreak/>
              <w:t>IPouts</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DF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89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609B56F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72B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5B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C37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401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DD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F34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A5C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80149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1F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8F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68E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2DDFB32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A7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AC7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FCC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1.42***</w:t>
            </w:r>
          </w:p>
        </w:tc>
      </w:tr>
      <w:tr w:rsidR="00C014A5" w:rsidRPr="00ED6BF5" w14:paraId="1B08483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8079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85A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CC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3DEBF4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D15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IBB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71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FA6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47CA0C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ADE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8E7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637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3624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E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BFP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210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3A4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7729A3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3F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7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43B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019130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8F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13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BA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0.75***</w:t>
            </w:r>
          </w:p>
        </w:tc>
      </w:tr>
      <w:tr w:rsidR="00C014A5" w:rsidRPr="00ED6BF5" w14:paraId="1010151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AE34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E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F66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45E61EF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3CF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0A48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106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A4BBE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40E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6B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833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5C49F3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63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D83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04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0.47***</w:t>
            </w:r>
          </w:p>
        </w:tc>
      </w:tr>
      <w:tr w:rsidR="00C014A5" w:rsidRPr="00ED6BF5" w14:paraId="7651D43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008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001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918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EC6CB8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E6F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4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919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0.71***</w:t>
            </w:r>
          </w:p>
        </w:tc>
      </w:tr>
      <w:tr w:rsidR="00C014A5" w:rsidRPr="00ED6BF5" w14:paraId="08598D2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086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5C1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B8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1F55AFE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F5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4AA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85A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1.10***</w:t>
            </w:r>
          </w:p>
        </w:tc>
      </w:tr>
      <w:tr w:rsidR="00C014A5" w:rsidRPr="00ED6BF5" w14:paraId="4AF8475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5FB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37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F493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(0.11)</w:t>
            </w:r>
          </w:p>
        </w:tc>
      </w:tr>
      <w:tr w:rsidR="00C014A5" w:rsidRPr="00ED6BF5" w14:paraId="762A383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350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FEB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D2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0.31***</w:t>
            </w:r>
          </w:p>
        </w:tc>
      </w:tr>
      <w:tr w:rsidR="00C014A5" w:rsidRPr="00ED6BF5" w14:paraId="236356D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726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126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58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61D06D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2D6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A43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4C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-0.17*</w:t>
            </w:r>
          </w:p>
        </w:tc>
      </w:tr>
      <w:tr w:rsidR="00C014A5" w:rsidRPr="00ED6BF5" w14:paraId="04FB04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1C2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342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6F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(0.08)</w:t>
            </w:r>
          </w:p>
        </w:tc>
      </w:tr>
      <w:tr w:rsidR="00C014A5" w:rsidRPr="00ED6BF5" w14:paraId="06BE881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06A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HBP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D6A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83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0.42***</w:t>
            </w:r>
          </w:p>
        </w:tc>
      </w:tr>
      <w:tr w:rsidR="00C014A5" w:rsidRPr="00ED6BF5" w14:paraId="098364E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CF3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3F0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0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723D1E8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391D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CD3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69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75F8250B"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811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C144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406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0.94</w:t>
            </w:r>
          </w:p>
        </w:tc>
      </w:tr>
      <w:tr w:rsidR="00C014A5" w:rsidRPr="00ED6BF5" w14:paraId="085686B1"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B20AD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A79EAB2" w14:textId="13149EDE" w:rsidR="00D85723" w:rsidRPr="00ED6BF5" w:rsidRDefault="00D85723" w:rsidP="007F288D">
      <w:pPr>
        <w:pStyle w:val="BodyText"/>
        <w:spacing w:line="480" w:lineRule="auto"/>
        <w:rPr>
          <w:rFonts w:ascii="Times New Roman" w:hAnsi="Times New Roman" w:cs="Times New Roman"/>
          <w:color w:val="000000" w:themeColor="text1"/>
        </w:rPr>
      </w:pP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1F42D272"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DA9E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8" w:name="tbl-AttSum"/>
            <w:bookmarkEnd w:id="47"/>
            <w:r w:rsidRPr="00ED6BF5">
              <w:rPr>
                <w:rFonts w:ascii="Times New Roman" w:eastAsia="Helvetica" w:hAnsi="Times New Roman" w:cs="Times New Roman"/>
                <w:color w:val="000000" w:themeColor="text1"/>
              </w:rPr>
              <w:lastRenderedPageBreak/>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C94E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AttWPCT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A52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AttR-RA</w:t>
            </w:r>
          </w:p>
        </w:tc>
      </w:tr>
      <w:tr w:rsidR="00C014A5" w:rsidRPr="00ED6BF5" w14:paraId="2EB032D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2D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781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-36231931.55***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34A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CDDE5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7C6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955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(3650118.34)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01D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9D4B02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1E9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WinPct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CEF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40959.27***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07B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23C3FE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1C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32B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(2449.63)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988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90C767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D022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353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18F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2801.92***</w:t>
            </w:r>
          </w:p>
        </w:tc>
      </w:tr>
      <w:tr w:rsidR="00C014A5" w:rsidRPr="00ED6BF5" w14:paraId="6F415AE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C3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B97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AE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(306.92)</w:t>
            </w:r>
          </w:p>
        </w:tc>
      </w:tr>
      <w:tr w:rsidR="00C014A5" w:rsidRPr="00ED6BF5" w14:paraId="71880F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23B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F3C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CE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-2575.09***</w:t>
            </w:r>
          </w:p>
        </w:tc>
      </w:tr>
      <w:tr w:rsidR="00C014A5" w:rsidRPr="00ED6BF5" w14:paraId="4A0741D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EF9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98E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B757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(261.53)</w:t>
            </w:r>
          </w:p>
        </w:tc>
      </w:tr>
      <w:tr w:rsidR="00C014A5" w:rsidRPr="00ED6BF5" w14:paraId="63BAD9B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5BA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017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00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56B83102"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EA9C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50E6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5E1E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086684AA"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D0E9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5FFC2953" w14:textId="0AC5BC5A" w:rsidR="00D85723" w:rsidRPr="00ED6BF5" w:rsidRDefault="00D85723" w:rsidP="007F288D">
      <w:pPr>
        <w:pStyle w:val="BodyText"/>
        <w:spacing w:line="480" w:lineRule="auto"/>
        <w:rPr>
          <w:rFonts w:ascii="Times New Roman" w:hAnsi="Times New Roman" w:cs="Times New Roman"/>
          <w:color w:val="000000" w:themeColor="text1"/>
        </w:rPr>
      </w:pP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48B697AC"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CA3E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9" w:name="tbl-OtherSum"/>
            <w:bookmarkEnd w:id="48"/>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C9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AttCost</w:t>
            </w:r>
          </w:p>
        </w:tc>
      </w:tr>
      <w:tr w:rsidR="00C014A5" w:rsidRPr="00ED6BF5" w14:paraId="676017C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70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3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42158947.61***</w:t>
            </w:r>
          </w:p>
        </w:tc>
      </w:tr>
      <w:tr w:rsidR="00C014A5" w:rsidRPr="00ED6BF5" w14:paraId="1744726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5F0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5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(5516501.63)</w:t>
            </w:r>
          </w:p>
        </w:tc>
      </w:tr>
      <w:tr w:rsidR="00C014A5" w:rsidRPr="00ED6BF5" w14:paraId="595168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4C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TeamCost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0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5C40A1D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A7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DAE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4D5CE6E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96D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37C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0B43ABD3"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2C6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7E18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6FFA1931"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236C2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 p &lt; 0.05, ** p &lt; 0.01, *** p &lt; 0.001</w:t>
            </w:r>
          </w:p>
        </w:tc>
      </w:tr>
    </w:tbl>
    <w:p w14:paraId="68A57000" w14:textId="3E048FA3" w:rsidR="00D85723" w:rsidRPr="00ED6BF5" w:rsidRDefault="00D85723" w:rsidP="007F288D">
      <w:pPr>
        <w:pStyle w:val="BodyText"/>
        <w:spacing w:line="480" w:lineRule="auto"/>
        <w:rPr>
          <w:rFonts w:ascii="Times New Roman" w:hAnsi="Times New Roman" w:cs="Times New Roman"/>
          <w:color w:val="000000" w:themeColor="text1"/>
        </w:rPr>
      </w:pPr>
    </w:p>
    <w:bookmarkEnd w:id="45"/>
    <w:bookmarkEnd w:id="49"/>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50"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1"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51"/>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2"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52"/>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3"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53"/>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4"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4"/>
      </w:tr>
      <w:bookmarkEnd w:id="50"/>
    </w:tbl>
    <w:p w14:paraId="0C17ACB7" w14:textId="77777777" w:rsidR="00E07558" w:rsidRPr="00ED6BF5" w:rsidRDefault="00E07558" w:rsidP="007F288D">
      <w:pPr>
        <w:spacing w:line="480" w:lineRule="auto"/>
        <w:rPr>
          <w:rFonts w:ascii="Times New Roman" w:hAnsi="Times New Roman" w:cs="Times New Roman"/>
          <w:color w:val="000000" w:themeColor="text1"/>
        </w:rPr>
      </w:pPr>
    </w:p>
    <w:sectPr w:rsidR="00E07558"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545C" w14:textId="77777777" w:rsidR="00E07558" w:rsidRDefault="00E07558">
      <w:pPr>
        <w:spacing w:after="0"/>
      </w:pPr>
      <w:r>
        <w:separator/>
      </w:r>
    </w:p>
  </w:endnote>
  <w:endnote w:type="continuationSeparator" w:id="0">
    <w:p w14:paraId="447AF761" w14:textId="77777777" w:rsidR="00E07558" w:rsidRDefault="00E07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567A" w14:textId="77777777" w:rsidR="00E07558" w:rsidRDefault="00E07558">
      <w:r>
        <w:separator/>
      </w:r>
    </w:p>
  </w:footnote>
  <w:footnote w:type="continuationSeparator" w:id="0">
    <w:p w14:paraId="51D79576" w14:textId="77777777" w:rsidR="00E07558" w:rsidRDefault="00E07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839E7"/>
    <w:rsid w:val="00195B68"/>
    <w:rsid w:val="00207513"/>
    <w:rsid w:val="00251792"/>
    <w:rsid w:val="00270CA3"/>
    <w:rsid w:val="002A21D2"/>
    <w:rsid w:val="00354575"/>
    <w:rsid w:val="00377E60"/>
    <w:rsid w:val="003B15DC"/>
    <w:rsid w:val="003D2862"/>
    <w:rsid w:val="003E29AB"/>
    <w:rsid w:val="00447DD9"/>
    <w:rsid w:val="00532CF7"/>
    <w:rsid w:val="0059547C"/>
    <w:rsid w:val="005A541A"/>
    <w:rsid w:val="005D47B9"/>
    <w:rsid w:val="005E5D53"/>
    <w:rsid w:val="00655E33"/>
    <w:rsid w:val="00664CFE"/>
    <w:rsid w:val="00671A00"/>
    <w:rsid w:val="007031F2"/>
    <w:rsid w:val="007F288D"/>
    <w:rsid w:val="00825FE8"/>
    <w:rsid w:val="00856B35"/>
    <w:rsid w:val="008728C3"/>
    <w:rsid w:val="00874BAE"/>
    <w:rsid w:val="008D45F0"/>
    <w:rsid w:val="00913706"/>
    <w:rsid w:val="0092197D"/>
    <w:rsid w:val="00931525"/>
    <w:rsid w:val="009C591A"/>
    <w:rsid w:val="00A66724"/>
    <w:rsid w:val="00AA7350"/>
    <w:rsid w:val="00AC4C65"/>
    <w:rsid w:val="00B17FE9"/>
    <w:rsid w:val="00BD5615"/>
    <w:rsid w:val="00C014A5"/>
    <w:rsid w:val="00C0755A"/>
    <w:rsid w:val="00C2741C"/>
    <w:rsid w:val="00D01CCC"/>
    <w:rsid w:val="00D02219"/>
    <w:rsid w:val="00D05115"/>
    <w:rsid w:val="00D614CD"/>
    <w:rsid w:val="00D85723"/>
    <w:rsid w:val="00E07558"/>
    <w:rsid w:val="00E20967"/>
    <w:rsid w:val="00E878F2"/>
    <w:rsid w:val="00E94A3C"/>
    <w:rsid w:val="00ED6BF5"/>
    <w:rsid w:val="00F65715"/>
    <w:rsid w:val="00F83789"/>
    <w:rsid w:val="00F94059"/>
    <w:rsid w:val="00FB55DE"/>
    <w:rsid w:val="00FE30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3E7041-22BC-1E4A-A165-5218CCF0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8144</Words>
  <Characters>46426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53</cp:revision>
  <dcterms:created xsi:type="dcterms:W3CDTF">2023-11-28T19:35:00Z</dcterms:created>
  <dcterms:modified xsi:type="dcterms:W3CDTF">2023-11-28T21:30:00Z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