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2996ED" w14:textId="69216D1A" w:rsidR="00D85723" w:rsidRPr="00ED6BF5" w:rsidRDefault="00000000" w:rsidP="007F288D">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p>
    <w:p w14:paraId="328FC742" w14:textId="77777777" w:rsidR="00D85723" w:rsidRDefault="00000000" w:rsidP="007F288D">
      <w:pPr>
        <w:pStyle w:val="Sub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Examining the Market Efficiency for MLB Player Contracts</w:t>
      </w:r>
    </w:p>
    <w:p w14:paraId="0CDD3A77" w14:textId="77777777" w:rsidR="00D614CD" w:rsidRPr="00D614CD" w:rsidRDefault="00D614CD" w:rsidP="007F288D">
      <w:pPr>
        <w:pStyle w:val="BodyText"/>
        <w:spacing w:line="480" w:lineRule="auto"/>
      </w:pPr>
    </w:p>
    <w:p w14:paraId="50DBFB8D" w14:textId="502B0CE6"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 xml:space="preserve">Sam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475540B" w14:textId="6357CEFF" w:rsidR="00D05115" w:rsidRDefault="00D05115" w:rsidP="007F288D">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7D02150C" w14:textId="77777777" w:rsidR="005E5D53" w:rsidRDefault="005E5D53" w:rsidP="007F288D">
      <w:pPr>
        <w:spacing w:line="480" w:lineRule="auto"/>
        <w:rPr>
          <w:rFonts w:ascii="Times New Roman" w:eastAsiaTheme="minorEastAsia" w:hAnsi="Times New Roman" w:cs="Times New Roman"/>
          <w:color w:val="000000" w:themeColor="text1"/>
        </w:rPr>
      </w:pPr>
    </w:p>
    <w:p w14:paraId="7A0E202A" w14:textId="65FAE96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47AEBCD4" w14:textId="1C519C6E" w:rsidR="00FE3039" w:rsidRDefault="00D01CCC"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 Turner, Hood College, 401 Rosemont Ave, Frederick, MD, 21701, United States.</w:t>
      </w:r>
    </w:p>
    <w:p w14:paraId="1112CDB5" w14:textId="7D5156C2" w:rsidR="00FE3039" w:rsidRPr="009C591A" w:rsidRDefault="00FE3039"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Email: sjt5@hood.edu</w:t>
      </w:r>
    </w:p>
    <w:p w14:paraId="39ACE820" w14:textId="0C820E90" w:rsidR="003D2862" w:rsidRDefault="003D2862" w:rsidP="007F288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E33E4E" w14:textId="02F52DE6" w:rsidR="00E94A3C" w:rsidRPr="00E94A3C" w:rsidRDefault="00E94A3C" w:rsidP="007F288D">
      <w:pPr>
        <w:pStyle w:val="Abstract"/>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D733820" w:rsidR="00B17FE9" w:rsidRPr="00B17FE9" w:rsidRDefault="00B17FE9" w:rsidP="007F288D">
      <w:pPr>
        <w:pStyle w:val="BodyText"/>
        <w:spacing w:line="480" w:lineRule="auto"/>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Baseball, Efficiency, </w:t>
      </w:r>
      <w:r w:rsidR="00931525">
        <w:rPr>
          <w:rFonts w:ascii="Times New Roman" w:hAnsi="Times New Roman" w:cs="Times New Roman"/>
        </w:rPr>
        <w:t>Contracts, Compensation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9DC3BCC" w14:textId="167A40AC"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1. Introduction</w:t>
      </w:r>
    </w:p>
    <w:p w14:paraId="30EEB004"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player contracts have been performed by Scully (1974) and Krautmann (1999). Scully’s article was the seminal piece of literature on the topic and set forth the precedent and structure that </w:t>
      </w:r>
      <w:r w:rsidRPr="00ED6BF5">
        <w:rPr>
          <w:rFonts w:ascii="Times New Roman" w:hAnsi="Times New Roman" w:cs="Times New Roman"/>
          <w:color w:val="000000" w:themeColor="text1"/>
        </w:rPr>
        <w:lastRenderedPageBreak/>
        <w:t xml:space="preserve">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w:t>
      </w:r>
      <w:r w:rsidRPr="00ED6BF5">
        <w:rPr>
          <w:rFonts w:ascii="Times New Roman" w:hAnsi="Times New Roman" w:cs="Times New Roman"/>
          <w:color w:val="000000" w:themeColor="text1"/>
        </w:rPr>
        <w:lastRenderedPageBreak/>
        <w:t xml:space="preserve">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consumer demand research is able to reflect the consequences of labor strikes in predictions of efficiency. Thus, our model erases the discrepancy created by Scully (1974) and Krautmann </w:t>
      </w:r>
      <w:r w:rsidRPr="00ED6BF5">
        <w:rPr>
          <w:rFonts w:ascii="Times New Roman" w:hAnsi="Times New Roman" w:cs="Times New Roman"/>
          <w:color w:val="000000" w:themeColor="text1"/>
        </w:rPr>
        <w:lastRenderedPageBreak/>
        <w:t>(1999).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winning (Borland &amp; Macdonald, 2003). This consumer demand research suggests consumers </w:t>
      </w:r>
      <w:r w:rsidRPr="00ED6BF5">
        <w:rPr>
          <w:rFonts w:ascii="Times New Roman" w:hAnsi="Times New Roman" w:cs="Times New Roman"/>
          <w:color w:val="000000" w:themeColor="text1"/>
        </w:rPr>
        <w:lastRenderedPageBreak/>
        <w:t>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the marginal revenue product of labor, paired with the win maximization hypothesis, to examine </w:t>
      </w:r>
      <w:r w:rsidRPr="00ED6BF5">
        <w:rPr>
          <w:rFonts w:ascii="Times New Roman" w:hAnsi="Times New Roman" w:cs="Times New Roman"/>
          <w:color w:val="000000" w:themeColor="text1"/>
        </w:rPr>
        <w:lastRenderedPageBreak/>
        <w:t>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proofErr w:type="gramStart"/>
      <w:r w:rsidRPr="00ED6BF5">
        <w:rPr>
          <w:rFonts w:ascii="Times New Roman" w:hAnsi="Times New Roman" w:cs="Times New Roman"/>
          <w:color w:val="000000" w:themeColor="text1"/>
        </w:rPr>
        <w:t>a the</w:t>
      </w:r>
      <w:proofErr w:type="gramEnd"/>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w:t>
      </w:r>
      <w:r w:rsidRPr="00ED6BF5">
        <w:rPr>
          <w:rFonts w:ascii="Times New Roman" w:hAnsi="Times New Roman" w:cs="Times New Roman"/>
          <w:color w:val="000000" w:themeColor="text1"/>
        </w:rPr>
        <w:lastRenderedPageBreak/>
        <w:t xml:space="preserve">enthusiasm 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proofErr w:type="gramStart"/>
      <w:r w:rsidRPr="00ED6BF5">
        <w:rPr>
          <w:rFonts w:ascii="Times New Roman" w:hAnsi="Times New Roman" w:cs="Times New Roman"/>
          <w:color w:val="000000" w:themeColor="text1"/>
        </w:rPr>
        <w:t>an</w:t>
      </w:r>
      <w:proofErr w:type="gramEnd"/>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w:t>
      </w:r>
      <w:proofErr w:type="gramStart"/>
      <w:r w:rsidRPr="00ED6BF5">
        <w:rPr>
          <w:rFonts w:ascii="Times New Roman" w:hAnsi="Times New Roman" w:cs="Times New Roman"/>
          <w:color w:val="000000" w:themeColor="text1"/>
        </w:rPr>
        <w:t xml:space="preserve">to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@tbl-WinPctSum</w:t>
      </w:r>
      <w:r w:rsidRPr="00ED6BF5">
        <w:rPr>
          <w:rFonts w:ascii="Times New Roman" w:hAnsi="Times New Roman" w:cs="Times New Roman"/>
          <w:color w:val="000000" w:themeColor="text1"/>
        </w:rPr>
        <w:t xml:space="preserve">. An important note for understanding the variable names, all variables from X1B to SF.x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@tbl-WinPctSum</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w:t>
      </w:r>
      <w:proofErr w:type="gramStart"/>
      <w:r w:rsidRPr="00ED6BF5">
        <w:rPr>
          <w:rFonts w:ascii="Times New Roman" w:hAnsi="Times New Roman" w:cs="Times New Roman"/>
          <w:color w:val="000000" w:themeColor="text1"/>
        </w:rPr>
        <w:t xml:space="preserve">from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@tbl-WinPctSum</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w:t>
      </w:r>
      <w:r w:rsidRPr="00ED6BF5">
        <w:rPr>
          <w:rFonts w:ascii="Times New Roman" w:hAnsi="Times New Roman" w:cs="Times New Roman"/>
          <w:color w:val="000000" w:themeColor="text1"/>
        </w:rPr>
        <w:lastRenderedPageBreak/>
        <w:t xml:space="preserve">find this regression is able to describe the 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w:t>
      </w:r>
      <w:proofErr w:type="gramStart"/>
      <w:r w:rsidRPr="00ED6BF5">
        <w:rPr>
          <w:rFonts w:ascii="Times New Roman" w:hAnsi="Times New Roman" w:cs="Times New Roman"/>
          <w:color w:val="000000" w:themeColor="text1"/>
        </w:rPr>
        <w:t xml:space="preserve">to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@tbl-AttSum</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@tbl-OtherSum</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@tbl-WinPctSum</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Pr="00ED6BF5">
        <w:rPr>
          <w:rFonts w:ascii="Times New Roman" w:hAnsi="Times New Roman" w:cs="Times New Roman"/>
          <w:b/>
          <w:bCs/>
          <w:color w:val="000000" w:themeColor="text1"/>
        </w:rPr>
        <w:t>?@tbl-AttSum</w:t>
      </w:r>
      <w:r w:rsidRPr="00ED6BF5">
        <w:rPr>
          <w:rFonts w:ascii="Times New Roman" w:hAnsi="Times New Roman" w:cs="Times New Roman"/>
          <w:color w:val="000000" w:themeColor="text1"/>
        </w:rPr>
        <w:t xml:space="preserve"> and gain the estimate of the player’s MRPL in a given year. To find whether they are being compensated </w:t>
      </w:r>
      <w:r w:rsidRPr="00ED6BF5">
        <w:rPr>
          <w:rFonts w:ascii="Times New Roman" w:hAnsi="Times New Roman" w:cs="Times New Roman"/>
          <w:color w:val="000000" w:themeColor="text1"/>
        </w:rPr>
        <w:lastRenderedPageBreak/>
        <w:t xml:space="preserve">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Pr="00ED6BF5">
        <w:rPr>
          <w:rFonts w:ascii="Times New Roman" w:hAnsi="Times New Roman" w:cs="Times New Roman"/>
          <w:b/>
          <w:bCs/>
          <w:color w:val="000000" w:themeColor="text1"/>
        </w:rPr>
        <w:t>?@tbl-OtherSum</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w:t>
      </w:r>
      <w:r w:rsidRPr="00ED6BF5">
        <w:rPr>
          <w:rFonts w:ascii="Times New Roman" w:hAnsi="Times New Roman" w:cs="Times New Roman"/>
          <w:color w:val="000000" w:themeColor="text1"/>
        </w:rPr>
        <w:lastRenderedPageBreak/>
        <w:t>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w:t>
      </w:r>
      <w:r w:rsidRPr="00ED6BF5">
        <w:rPr>
          <w:rFonts w:ascii="Times New Roman" w:hAnsi="Times New Roman" w:cs="Times New Roman"/>
          <w:color w:val="000000" w:themeColor="text1"/>
        </w:rPr>
        <w:lastRenderedPageBreak/>
        <w:t>and Free Agent groups have roughly the same MRPL ratio from 1985-2016, despite having vastly different bargaining powers. This contradicts what non-vertically integrated bilateral 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Pr="00ED6BF5">
        <w:rPr>
          <w:rFonts w:ascii="Times New Roman" w:hAnsi="Times New Roman" w:cs="Times New Roman"/>
          <w:b/>
          <w:bCs/>
          <w:color w:val="000000" w:themeColor="text1"/>
        </w:rPr>
        <w:t>?@tbl-AttSum</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@tbl-AttSum</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w:t>
      </w:r>
      <w:r w:rsidRPr="00ED6BF5">
        <w:rPr>
          <w:rFonts w:ascii="Times New Roman" w:hAnsi="Times New Roman" w:cs="Times New Roman"/>
          <w:color w:val="000000" w:themeColor="text1"/>
        </w:rPr>
        <w:lastRenderedPageBreak/>
        <w:t xml:space="preserve">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associated weights are shown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@tbl-RSRCSum</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@tbl-RSRCSum</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@tbl-AttSum</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w:t>
      </w:r>
      <w:proofErr w:type="gramStart"/>
      <w:r w:rsidRPr="00ED6BF5">
        <w:rPr>
          <w:rFonts w:ascii="Times New Roman" w:hAnsi="Times New Roman" w:cs="Times New Roman"/>
          <w:color w:val="000000" w:themeColor="text1"/>
        </w:rPr>
        <w:t xml:space="preserve">in </w:t>
      </w:r>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@tbl-OtherSum</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w:t>
      </w:r>
      <w:r w:rsidRPr="00ED6BF5">
        <w:rPr>
          <w:rFonts w:ascii="Times New Roman" w:hAnsi="Times New Roman" w:cs="Times New Roman"/>
          <w:color w:val="000000" w:themeColor="text1"/>
        </w:rPr>
        <w:lastRenderedPageBreak/>
        <w:t>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w:t>
      </w:r>
      <w:r w:rsidRPr="00ED6BF5">
        <w:rPr>
          <w:rFonts w:ascii="Times New Roman" w:hAnsi="Times New Roman" w:cs="Times New Roman"/>
          <w:color w:val="000000" w:themeColor="text1"/>
        </w:rPr>
        <w:lastRenderedPageBreak/>
        <w:t>be more accurate than the win maximization hypothesis. Especially concerning research in consumer demand, labor strikes, and bilateral monopolies. This implies that using the utility 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w:t>
      </w:r>
      <w:r w:rsidRPr="00ED6BF5">
        <w:rPr>
          <w:rFonts w:ascii="Times New Roman" w:hAnsi="Times New Roman" w:cs="Times New Roman"/>
          <w:color w:val="000000" w:themeColor="text1"/>
        </w:rPr>
        <w:lastRenderedPageBreak/>
        <w:t>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2086B5F8" w14:textId="669E8A91"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3CD92B5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FB7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6" w:name="tbl-WinPctSum"/>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D6DC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WinPct</w:t>
            </w:r>
          </w:p>
        </w:tc>
      </w:tr>
      <w:tr w:rsidR="00C014A5" w:rsidRPr="00ED6BF5" w14:paraId="572EC98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27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840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193.06***</w:t>
            </w:r>
          </w:p>
        </w:tc>
      </w:tr>
      <w:tr w:rsidR="00C014A5" w:rsidRPr="00ED6BF5" w14:paraId="12FD16B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167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5B0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(37.87)</w:t>
            </w:r>
          </w:p>
        </w:tc>
      </w:tr>
      <w:tr w:rsidR="00C014A5" w:rsidRPr="00ED6BF5" w14:paraId="2862E8D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E688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571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37FB41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B77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16B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8D588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8E8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F72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92F80F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0429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8B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4520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3AA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BC21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6B0B38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791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4CF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0FC7B3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97F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HR.x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C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31EB28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E46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95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F6DB47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656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BB.x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E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0E5AC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FC4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6C6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732555C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E87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B25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0478CD1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864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0D50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396E59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1F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lastRenderedPageBreak/>
              <w:t>HBP.x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BE5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2F4BA4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098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07B6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17D418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E40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SF.x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742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4169770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7E4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19B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AB2940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EE2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E.y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57C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9BB1C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ACA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392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625B88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50F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PB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3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22982C9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4C0D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37D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7481F72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34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SB.y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D4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8C0A01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BFB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02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5D7083F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1B6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D7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3D951A2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ADF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D9B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CD555C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912A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HR.y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50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35C32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D09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54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7EBDD89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089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BB.y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09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07271BC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CB5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84C6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DDFD4A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62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903B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5C2A8C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DE75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15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04F1E7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29D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22D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2ABD96B4"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595E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21F0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0.81</w:t>
            </w:r>
          </w:p>
        </w:tc>
      </w:tr>
      <w:tr w:rsidR="00C014A5" w:rsidRPr="00ED6BF5" w14:paraId="5152E34C"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64B49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3E6B259" w14:textId="77777777" w:rsidR="00D85723" w:rsidRPr="00ED6BF5" w:rsidRDefault="00000000" w:rsidP="007F288D">
      <w:pPr>
        <w:pStyle w:val="FirstParagraph"/>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45200AF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4F51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7" w:name="tbl-RSRCSum"/>
            <w:bookmarkEnd w:id="46"/>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A8D6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E93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r>
      <w:tr w:rsidR="00C014A5" w:rsidRPr="00ED6BF5" w14:paraId="3E68A0D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10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7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456.86*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3B7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6A14F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225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43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(227.90)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5F2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208BCF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2AE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BFC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C89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03B413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47F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7D1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9CB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ECEC0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DD4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E82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EC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0.20***</w:t>
            </w:r>
          </w:p>
        </w:tc>
      </w:tr>
      <w:tr w:rsidR="00C014A5" w:rsidRPr="00ED6BF5" w14:paraId="799C791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B5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50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26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6FD8CE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6A4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IPouts</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DF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89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609B56F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72B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5B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C37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401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DD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F34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A5C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80149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1F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8F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68E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2DDFB32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A7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AC7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FCC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1.42***</w:t>
            </w:r>
          </w:p>
        </w:tc>
      </w:tr>
      <w:tr w:rsidR="00C014A5" w:rsidRPr="00ED6BF5" w14:paraId="1B08483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8079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85A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CC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3DEBF4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D15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IBB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71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FA6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47CA0C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ADE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8E7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637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3624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E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BFP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210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3A4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7729A3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3F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7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43B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019130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8F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13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BA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0.75***</w:t>
            </w:r>
          </w:p>
        </w:tc>
      </w:tr>
      <w:tr w:rsidR="00C014A5" w:rsidRPr="00ED6BF5" w14:paraId="1010151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AE34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E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F66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45E61EF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3CF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0A48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106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A4BBE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40E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6B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833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5C49F3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63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D83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04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0.47***</w:t>
            </w:r>
          </w:p>
        </w:tc>
      </w:tr>
      <w:tr w:rsidR="00C014A5" w:rsidRPr="00ED6BF5" w14:paraId="7651D43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008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001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918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EC6CB8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E6F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4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919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0.71***</w:t>
            </w:r>
          </w:p>
        </w:tc>
      </w:tr>
      <w:tr w:rsidR="00C014A5" w:rsidRPr="00ED6BF5" w14:paraId="08598D2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086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5C1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B8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1F55AFE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F5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4AA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85A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1.10***</w:t>
            </w:r>
          </w:p>
        </w:tc>
      </w:tr>
      <w:tr w:rsidR="00C014A5" w:rsidRPr="00ED6BF5" w14:paraId="4AF8475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5FB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37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F493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(0.11)</w:t>
            </w:r>
          </w:p>
        </w:tc>
      </w:tr>
      <w:tr w:rsidR="00C014A5" w:rsidRPr="00ED6BF5" w14:paraId="762A383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350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FEB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D2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0.31***</w:t>
            </w:r>
          </w:p>
        </w:tc>
      </w:tr>
      <w:tr w:rsidR="00C014A5" w:rsidRPr="00ED6BF5" w14:paraId="236356D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726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126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58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61D06D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2D6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A43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4C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-0.17*</w:t>
            </w:r>
          </w:p>
        </w:tc>
      </w:tr>
      <w:tr w:rsidR="00C014A5" w:rsidRPr="00ED6BF5" w14:paraId="04FB04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1C2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342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6F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(0.08)</w:t>
            </w:r>
          </w:p>
        </w:tc>
      </w:tr>
      <w:tr w:rsidR="00C014A5" w:rsidRPr="00ED6BF5" w14:paraId="06BE881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06A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HBP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D6A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83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0.42***</w:t>
            </w:r>
          </w:p>
        </w:tc>
      </w:tr>
      <w:tr w:rsidR="00C014A5" w:rsidRPr="00ED6BF5" w14:paraId="098364E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CF3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3F0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0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723D1E8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391D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CD3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69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75F8250B"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811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C144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406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0.94</w:t>
            </w:r>
          </w:p>
        </w:tc>
      </w:tr>
      <w:tr w:rsidR="00C014A5" w:rsidRPr="00ED6BF5" w14:paraId="085686B1"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B20AD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A79EAB2"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1F42D272"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DA9E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8" w:name="tbl-AttSum"/>
            <w:bookmarkEnd w:id="47"/>
            <w:r w:rsidRPr="00ED6BF5">
              <w:rPr>
                <w:rFonts w:ascii="Times New Roman" w:eastAsia="Helvetica" w:hAnsi="Times New Roman" w:cs="Times New Roman"/>
                <w:color w:val="000000" w:themeColor="text1"/>
              </w:rPr>
              <w:lastRenderedPageBreak/>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C94E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AttWPCT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A52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AttR-RA</w:t>
            </w:r>
          </w:p>
        </w:tc>
      </w:tr>
      <w:tr w:rsidR="00C014A5" w:rsidRPr="00ED6BF5" w14:paraId="2EB032D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2D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781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-36231931.55***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34A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CDDE5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7C6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955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(3650118.34)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01D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9D4B02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1E9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WinPct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CEF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40959.27***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07B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23C3FE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1C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32B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(2449.63)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988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90C767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D022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353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18F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2801.92***</w:t>
            </w:r>
          </w:p>
        </w:tc>
      </w:tr>
      <w:tr w:rsidR="00C014A5" w:rsidRPr="00ED6BF5" w14:paraId="6F415AE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C3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B97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AE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(306.92)</w:t>
            </w:r>
          </w:p>
        </w:tc>
      </w:tr>
      <w:tr w:rsidR="00C014A5" w:rsidRPr="00ED6BF5" w14:paraId="71880F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23B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F3C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CE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-2575.09***</w:t>
            </w:r>
          </w:p>
        </w:tc>
      </w:tr>
      <w:tr w:rsidR="00C014A5" w:rsidRPr="00ED6BF5" w14:paraId="4A0741D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EF9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98E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B757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(261.53)</w:t>
            </w:r>
          </w:p>
        </w:tc>
      </w:tr>
      <w:tr w:rsidR="00C014A5" w:rsidRPr="00ED6BF5" w14:paraId="63BAD9B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5BA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017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00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56B83102"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EA9C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50E6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5E1E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086684AA"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D0E9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5FFC2953"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48B697AC"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CA3E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9" w:name="tbl-OtherSum"/>
            <w:bookmarkEnd w:id="48"/>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C9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AttCost</w:t>
            </w:r>
          </w:p>
        </w:tc>
      </w:tr>
      <w:tr w:rsidR="00C014A5" w:rsidRPr="00ED6BF5" w14:paraId="676017C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70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3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42158947.61***</w:t>
            </w:r>
          </w:p>
        </w:tc>
      </w:tr>
      <w:tr w:rsidR="00C014A5" w:rsidRPr="00ED6BF5" w14:paraId="1744726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5F0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5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(5516501.63)</w:t>
            </w:r>
          </w:p>
        </w:tc>
      </w:tr>
      <w:tr w:rsidR="00C014A5" w:rsidRPr="00ED6BF5" w14:paraId="595168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4C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TeamCost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0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5C40A1D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A7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DAE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4D5CE6E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96D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37C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0B43ABD3"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2C6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7E18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6FFA1931"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236C2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 p &lt; 0.05, ** p &lt; 0.01, *** p &lt; 0.001</w:t>
            </w:r>
          </w:p>
        </w:tc>
      </w:tr>
    </w:tbl>
    <w:p w14:paraId="68A57000"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bookmarkEnd w:id="45"/>
    <w:bookmarkEnd w:id="49"/>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50"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1"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51"/>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2"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52"/>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3"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53"/>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4"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4"/>
      </w:tr>
      <w:bookmarkEnd w:id="50"/>
    </w:tbl>
    <w:p w14:paraId="0C17ACB7" w14:textId="77777777" w:rsidR="00081543" w:rsidRPr="00ED6BF5" w:rsidRDefault="00081543" w:rsidP="007F288D">
      <w:pPr>
        <w:spacing w:line="480" w:lineRule="auto"/>
        <w:rPr>
          <w:rFonts w:ascii="Times New Roman" w:hAnsi="Times New Roman" w:cs="Times New Roman"/>
          <w:color w:val="000000" w:themeColor="text1"/>
        </w:rPr>
      </w:pPr>
    </w:p>
    <w:sectPr w:rsidR="00081543"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823B" w14:textId="77777777" w:rsidR="00081543" w:rsidRDefault="00081543">
      <w:pPr>
        <w:spacing w:after="0"/>
      </w:pPr>
      <w:r>
        <w:separator/>
      </w:r>
    </w:p>
  </w:endnote>
  <w:endnote w:type="continuationSeparator" w:id="0">
    <w:p w14:paraId="79A012AE" w14:textId="77777777" w:rsidR="00081543" w:rsidRDefault="00081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F77C" w14:textId="77777777" w:rsidR="00081543" w:rsidRDefault="00081543">
      <w:r>
        <w:separator/>
      </w:r>
    </w:p>
  </w:footnote>
  <w:footnote w:type="continuationSeparator" w:id="0">
    <w:p w14:paraId="608CA883" w14:textId="77777777" w:rsidR="00081543" w:rsidRDefault="00081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81543"/>
    <w:rsid w:val="000839E7"/>
    <w:rsid w:val="00195B68"/>
    <w:rsid w:val="002A21D2"/>
    <w:rsid w:val="00354575"/>
    <w:rsid w:val="00377E60"/>
    <w:rsid w:val="003B15DC"/>
    <w:rsid w:val="003D2862"/>
    <w:rsid w:val="003E29AB"/>
    <w:rsid w:val="00532CF7"/>
    <w:rsid w:val="0059547C"/>
    <w:rsid w:val="005A541A"/>
    <w:rsid w:val="005D47B9"/>
    <w:rsid w:val="005E5D53"/>
    <w:rsid w:val="00664CFE"/>
    <w:rsid w:val="00671A00"/>
    <w:rsid w:val="007F288D"/>
    <w:rsid w:val="00825FE8"/>
    <w:rsid w:val="00856B35"/>
    <w:rsid w:val="00874BAE"/>
    <w:rsid w:val="00913706"/>
    <w:rsid w:val="00931525"/>
    <w:rsid w:val="009C591A"/>
    <w:rsid w:val="00B17FE9"/>
    <w:rsid w:val="00BD5615"/>
    <w:rsid w:val="00C014A5"/>
    <w:rsid w:val="00C2741C"/>
    <w:rsid w:val="00D01CCC"/>
    <w:rsid w:val="00D02219"/>
    <w:rsid w:val="00D05115"/>
    <w:rsid w:val="00D614CD"/>
    <w:rsid w:val="00D85723"/>
    <w:rsid w:val="00E94A3C"/>
    <w:rsid w:val="00ED6BF5"/>
    <w:rsid w:val="00F65715"/>
    <w:rsid w:val="00F83789"/>
    <w:rsid w:val="00F94059"/>
    <w:rsid w:val="00FB55DE"/>
    <w:rsid w:val="00FE30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99C0B7-B700-9F48-80D8-495FB7E5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39</Pages>
  <Words>8150</Words>
  <Characters>46458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37</cp:revision>
  <dcterms:created xsi:type="dcterms:W3CDTF">2023-11-28T19:35:00Z</dcterms:created>
  <dcterms:modified xsi:type="dcterms:W3CDTF">2023-11-28T21:10:00Z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