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21AC2A47"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r w:rsidR="00055F2E">
        <w:rPr>
          <w:rFonts w:ascii="Times New Roman" w:hAnsi="Times New Roman" w:cs="Times New Roman"/>
        </w:rPr>
        <w:t xml:space="preserve">Fisheries </w:t>
      </w:r>
      <w:r w:rsidR="00775BB8">
        <w:rPr>
          <w:rFonts w:ascii="Times New Roman" w:hAnsi="Times New Roman" w:cs="Times New Roman"/>
        </w:rPr>
        <w:t>m</w:t>
      </w:r>
      <w:r w:rsidR="00055F2E">
        <w:rPr>
          <w:rFonts w:ascii="Times New Roman" w:hAnsi="Times New Roman" w:cs="Times New Roman"/>
        </w:rPr>
        <w:t xml:space="preserve">anagement, </w:t>
      </w:r>
      <w:r w:rsidR="00775BB8">
        <w:rPr>
          <w:rFonts w:ascii="Times New Roman" w:hAnsi="Times New Roman" w:cs="Times New Roman"/>
        </w:rPr>
        <w:t>q</w:t>
      </w:r>
      <w:r w:rsidR="00055F2E">
        <w:rPr>
          <w:rFonts w:ascii="Times New Roman" w:hAnsi="Times New Roman" w:cs="Times New Roman"/>
        </w:rPr>
        <w:t xml:space="preserve">uota </w:t>
      </w:r>
      <w:r w:rsidR="00775BB8">
        <w:rPr>
          <w:rFonts w:ascii="Times New Roman" w:hAnsi="Times New Roman" w:cs="Times New Roman"/>
        </w:rPr>
        <w:t>m</w:t>
      </w:r>
      <w:r w:rsidR="00055F2E">
        <w:rPr>
          <w:rFonts w:ascii="Times New Roman" w:hAnsi="Times New Roman" w:cs="Times New Roman"/>
        </w:rPr>
        <w:t xml:space="preserve">arkets, </w:t>
      </w:r>
      <w:r w:rsidR="00D33D06">
        <w:rPr>
          <w:rFonts w:ascii="Times New Roman" w:hAnsi="Times New Roman" w:cs="Times New Roman"/>
        </w:rPr>
        <w:t>c</w:t>
      </w:r>
      <w:r w:rsidR="00055F2E">
        <w:rPr>
          <w:rFonts w:ascii="Times New Roman" w:hAnsi="Times New Roman" w:cs="Times New Roman"/>
        </w:rPr>
        <w:t xml:space="preserve">atch </w:t>
      </w:r>
      <w:r w:rsidR="00D33D06">
        <w:rPr>
          <w:rFonts w:ascii="Times New Roman" w:hAnsi="Times New Roman" w:cs="Times New Roman"/>
        </w:rPr>
        <w:t>s</w:t>
      </w:r>
      <w:r w:rsidR="00055F2E">
        <w:rPr>
          <w:rFonts w:ascii="Times New Roman" w:hAnsi="Times New Roman" w:cs="Times New Roman"/>
        </w:rPr>
        <w:t>hares</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predicts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02DEEA3A"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r w:rsidR="00385AC6" w:rsidRPr="00E56433">
        <w:rPr>
          <w:rFonts w:ascii="Times New Roman" w:hAnsi="Times New Roman" w:cs="Times New Roman"/>
          <w:color w:val="000000" w:themeColor="text1"/>
        </w:rPr>
        <w:t>identical;</w:t>
      </w:r>
      <w:r w:rsidRPr="00E56433">
        <w:rPr>
          <w:rFonts w:ascii="Times New Roman" w:hAnsi="Times New Roman" w:cs="Times New Roman"/>
          <w:color w:val="000000" w:themeColor="text1"/>
        </w:rPr>
        <w:t xml:space="preserve"> however, the outcome component differs. In the linear hurdle </w:t>
      </w:r>
      <w:r w:rsidR="00385AC6" w:rsidRPr="00E56433">
        <w:rPr>
          <w:rFonts w:ascii="Times New Roman" w:hAnsi="Times New Roman" w:cs="Times New Roman"/>
          <w:color w:val="000000" w:themeColor="text1"/>
        </w:rPr>
        <w:t>model,</w:t>
      </w:r>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380FB7E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these stock</w:t>
      </w:r>
      <w:r w:rsidR="0068638C">
        <w:rPr>
          <w:rFonts w:ascii="Times New Roman" w:hAnsi="Times New Roman" w:cs="Times New Roman"/>
          <w:color w:val="000000" w:themeColor="text1"/>
        </w:rPr>
        <w:t>s</w:t>
      </w:r>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0E458D1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3</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0E97D0C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holds. However,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2E8DB75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6</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3361B676"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and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r>
        <w:fldChar w:fldCharType="begin"/>
      </w:r>
      <w:r>
        <w:instrText>HYPERLINK \l "fig-QuotaPriceDist" \h</w:instrText>
      </w:r>
      <w:r>
        <w:fldChar w:fldCharType="separate"/>
      </w:r>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r>
        <w:rPr>
          <w:rStyle w:val="Hyperlink"/>
          <w:rFonts w:ascii="Times New Roman" w:hAnsi="Times New Roman" w:cs="Times New Roman"/>
          <w:color w:val="000000" w:themeColor="text1"/>
        </w:rPr>
        <w:fldChar w:fldCharType="end"/>
      </w:r>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These scenarios perfectly </w:t>
      </w:r>
      <w:r w:rsidR="00EE2DDF" w:rsidRPr="00E56433">
        <w:rPr>
          <w:rFonts w:ascii="Times New Roman" w:hAnsi="Times New Roman" w:cs="Times New Roman"/>
          <w:color w:val="000000" w:themeColor="text1"/>
        </w:rPr>
        <w:t>encapsulate</w:t>
      </w:r>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128B3B9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r w:rsidR="00BD5587" w:rsidRPr="00E56433">
        <w:rPr>
          <w:rFonts w:ascii="Times New Roman" w:hAnsi="Times New Roman" w:cs="Times New Roman"/>
          <w:color w:val="000000" w:themeColor="text1"/>
        </w:rPr>
        <w:t>While</w:t>
      </w:r>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r w:rsidR="00B40154" w:rsidRPr="00E56433">
        <w:rPr>
          <w:rFonts w:ascii="Times New Roman" w:hAnsi="Times New Roman" w:cs="Times New Roman"/>
          <w:color w:val="000000" w:themeColor="text1"/>
        </w:rPr>
        <w:t>are</w:t>
      </w:r>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0B9D27F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r w:rsidR="00560C53" w:rsidRPr="00E56433">
        <w:rPr>
          <w:rFonts w:ascii="Times New Roman" w:hAnsi="Times New Roman" w:cs="Times New Roman"/>
          <w:color w:val="000000" w:themeColor="text1"/>
        </w:rPr>
        <w:t>Also,</w:t>
      </w:r>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6CD1A93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468319C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Similar to both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and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The orange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r w:rsidR="003573E4" w:rsidRPr="00E56433">
        <w:rPr>
          <w:rFonts w:ascii="Times New Roman" w:hAnsi="Times New Roman" w:cs="Times New Roman"/>
          <w:color w:val="000000" w:themeColor="text1"/>
        </w:rPr>
        <w:t>number</w:t>
      </w:r>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3E1B8BD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differences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represents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19A6814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3177D51F"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model, and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r w:rsidR="00E665AE" w:rsidRPr="00E56433">
        <w:rPr>
          <w:rFonts w:ascii="Times New Roman" w:hAnsi="Times New Roman" w:cs="Times New Roman"/>
          <w:color w:val="000000" w:themeColor="text1"/>
        </w:rPr>
        <w:t>have</w:t>
      </w:r>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Thus, it is likely that these models suffers from some level of multicollinearity when including all these variables.</w:t>
      </w:r>
    </w:p>
    <w:p w14:paraId="1BD39147" w14:textId="608A123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r w:rsidR="00E665AE" w:rsidRPr="00E56433">
        <w:rPr>
          <w:rFonts w:ascii="Times New Roman" w:hAnsi="Times New Roman" w:cs="Times New Roman"/>
          <w:color w:val="000000" w:themeColor="text1"/>
        </w:rPr>
        <w:t>multicollinearity,</w:t>
      </w:r>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43A8515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and </w:t>
      </w:r>
      <w:hyperlink w:anchor="eq-All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11</w:t>
        </w:r>
      </w:hyperlink>
      <w:r w:rsidRPr="00E56433">
        <w:rPr>
          <w:rFonts w:ascii="Times New Roman" w:hAnsi="Times New Roman" w:cs="Times New Roman"/>
          <w:color w:val="000000" w:themeColor="text1"/>
        </w:rPr>
        <w:t xml:space="preserve">. Then input </w:t>
      </w:r>
      <w:hyperlink w:anchor="eq-SST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12</w:t>
        </w:r>
      </w:hyperlink>
      <w:r w:rsidRPr="00E56433">
        <w:rPr>
          <w:rFonts w:ascii="Times New Roman" w:hAnsi="Times New Roman" w:cs="Times New Roman"/>
          <w:color w:val="000000" w:themeColor="text1"/>
        </w:rPr>
        <w:t xml:space="preserve"> and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hurdle model, and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output of these models </w:t>
      </w:r>
      <w:r w:rsidRPr="00E56433">
        <w:rPr>
          <w:rFonts w:ascii="Times New Roman" w:hAnsi="Times New Roman" w:cs="Times New Roman"/>
          <w:color w:val="000000" w:themeColor="text1"/>
        </w:rPr>
        <w:lastRenderedPageBreak/>
        <w:t xml:space="preserve">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E888F8F"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r w:rsidR="00D568B6" w:rsidRPr="00E56433">
        <w:rPr>
          <w:rFonts w:ascii="Times New Roman" w:hAnsi="Times New Roman" w:cs="Times New Roman"/>
          <w:color w:val="000000" w:themeColor="text1"/>
        </w:rPr>
        <w:t>operation,</w:t>
      </w:r>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F08D231"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673DFDAD"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statistical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r w:rsidR="00471CCE" w:rsidRPr="00E56433">
        <w:rPr>
          <w:rFonts w:ascii="Times New Roman" w:hAnsi="Times New Roman" w:cs="Times New Roman"/>
          <w:color w:val="000000" w:themeColor="text1"/>
        </w:rPr>
        <w:t>Again,</w:t>
      </w:r>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53BACE84"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29C4205D"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305D270"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r w:rsidR="00A73A7B"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B67346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r w:rsidR="00376072" w:rsidRPr="00E56433">
        <w:rPr>
          <w:rFonts w:ascii="Times New Roman" w:hAnsi="Times New Roman" w:cs="Times New Roman"/>
          <w:color w:val="000000" w:themeColor="text1"/>
        </w:rPr>
        <w:t>doubts</w:t>
      </w:r>
      <w:r w:rsidRPr="00E56433">
        <w:rPr>
          <w:rFonts w:ascii="Times New Roman" w:hAnsi="Times New Roman" w:cs="Times New Roman"/>
          <w:color w:val="000000" w:themeColor="text1"/>
        </w:rPr>
        <w:t xml:space="preserve"> on the likelihood that climate change is altering price changes through fishing effort. Hence, my models </w:t>
      </w:r>
      <w:r w:rsidR="00376072"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1795F03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r w:rsidR="00CA7DBF" w:rsidRPr="00E56433">
        <w:rPr>
          <w:rFonts w:ascii="Times New Roman" w:hAnsi="Times New Roman" w:cs="Times New Roman"/>
          <w:color w:val="000000" w:themeColor="text1"/>
        </w:rPr>
        <w:t>fruitful and</w:t>
      </w:r>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w:t>
            </w:r>
            <w:r w:rsidR="00AB55A0">
              <w:rPr>
                <w:rFonts w:ascii="Times New Roman" w:hAnsi="Times New Roman" w:cs="Times New Roman"/>
              </w:rPr>
              <w:t>[H1]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w:t>
            </w:r>
            <w:r w:rsidR="00AB55A0">
              <w:rPr>
                <w:rFonts w:ascii="Times New Roman" w:hAnsi="Times New Roman" w:cs="Times New Roman"/>
              </w:rPr>
              <w:t>[H1]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w:t>
            </w:r>
            <w:r w:rsidR="00AB55A0">
              <w:rPr>
                <w:rFonts w:ascii="Times New Roman" w:hAnsi="Times New Roman" w:cs="Times New Roman"/>
              </w:rPr>
              <w:t>[H1]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w:t>
            </w:r>
            <w:r w:rsidR="00AB55A0">
              <w:rPr>
                <w:rFonts w:ascii="Times New Roman" w:hAnsi="Times New Roman" w:cs="Times New Roman"/>
              </w:rPr>
              <w:t>[H2]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xml:space="preserve">) </w:t>
            </w:r>
            <w:r w:rsidR="00AB55A0">
              <w:rPr>
                <w:rFonts w:ascii="Times New Roman" w:hAnsi="Times New Roman" w:cs="Times New Roman"/>
              </w:rPr>
              <w:t>[H2]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r>
              <w:rPr>
                <w:rFonts w:ascii="Times New Roman" w:hAnsi="Times New Roman" w:cs="Times New Roman"/>
              </w:rPr>
              <w:t>[</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w:t>
            </w:r>
            <w:r>
              <w:rPr>
                <w:rFonts w:ascii="Times New Roman" w:hAnsi="Times New Roman" w:cs="Times New Roman"/>
              </w:rPr>
              <w:t>[Count]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m:t>
        </m:r>
        <m:r>
          <w:rPr>
            <w:rFonts w:ascii="Cambria Math" w:hAnsi="Cambria Math" w:cs="Times New Roman"/>
          </w:rPr>
          <m:t xml:space="preserve"> </m:t>
        </m:r>
        <m:r>
          <w:rPr>
            <w:rFonts w:ascii="Cambria Math" w:hAnsi="Cambria Math" w:cs="Times New Roman"/>
          </w:rPr>
          <m:t>p</m:t>
        </m:r>
        <m:r>
          <w:rPr>
            <w:rFonts w:ascii="Cambria Math" w:hAnsi="Cambria Math" w:cs="Times New Roman"/>
          </w:rPr>
          <m:t>&lt;0.1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056B06FA" w14:textId="691CE7FF" w:rsidR="005C77FF" w:rsidRPr="005C77FF" w:rsidRDefault="00F21596" w:rsidP="004B5034">
      <w:pPr>
        <w:pStyle w:val="BodyText"/>
        <w:rPr>
          <w:rFonts w:ascii="Times New Roman" w:eastAsiaTheme="minorEastAsia"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5421C0E" w14:textId="77777777" w:rsidR="005C77FF" w:rsidRDefault="005C77FF">
      <w:pPr>
        <w:rPr>
          <w:rFonts w:ascii="Times New Roman" w:hAnsi="Times New Roman" w:cs="Times New Roman"/>
          <w:b/>
          <w:bCs/>
        </w:rPr>
      </w:pPr>
      <w:bookmarkStart w:id="65" w:name="sec-Figures"/>
      <w:bookmarkEnd w:id="64"/>
      <w:r>
        <w:rPr>
          <w:rFonts w:ascii="Times New Roman" w:hAnsi="Times New Roman" w:cs="Times New Roman"/>
          <w:b/>
          <w:bCs/>
        </w:rPr>
        <w:br w:type="page"/>
      </w:r>
    </w:p>
    <w:p w14:paraId="5BCB4464" w14:textId="39E730A6" w:rsidR="005C77FF" w:rsidRPr="00F84288" w:rsidRDefault="005C77FF" w:rsidP="005C77FF">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5</w:t>
      </w:r>
    </w:p>
    <w:p w14:paraId="200BA358" w14:textId="52B8E311" w:rsidR="005C77FF" w:rsidRPr="00F84288" w:rsidRDefault="005C77FF" w:rsidP="005C77FF">
      <w:pPr>
        <w:spacing w:line="480" w:lineRule="auto"/>
        <w:contextualSpacing/>
        <w:rPr>
          <w:rFonts w:ascii="Times New Roman" w:hAnsi="Times New Roman" w:cs="Times New Roman"/>
        </w:rPr>
      </w:pPr>
      <w:r>
        <w:rPr>
          <w:rFonts w:ascii="Times New Roman" w:hAnsi="Times New Roman" w:cs="Times New Roman"/>
          <w:i/>
          <w:iCs/>
        </w:rPr>
        <w:t>Lee and Demarest (2023) OLS</w:t>
      </w:r>
      <w:r>
        <w:rPr>
          <w:rFonts w:ascii="Times New Roman" w:hAnsi="Times New Roman" w:cs="Times New Roman"/>
          <w:i/>
          <w:iCs/>
        </w:rPr>
        <w:t xml:space="preserve"> </w:t>
      </w:r>
      <w:r>
        <w:rPr>
          <w:rFonts w:ascii="Times New Roman" w:hAnsi="Times New Roman" w:cs="Times New Roman"/>
          <w:i/>
          <w:iCs/>
        </w:rPr>
        <w:t>Replication</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5C77FF" w:rsidRPr="00F84288" w14:paraId="0454F4A9" w14:textId="77777777" w:rsidTr="000A34DD">
        <w:tc>
          <w:tcPr>
            <w:tcW w:w="4158" w:type="dxa"/>
            <w:gridSpan w:val="2"/>
            <w:tcBorders>
              <w:top w:val="single" w:sz="4" w:space="0" w:color="auto"/>
              <w:bottom w:val="single" w:sz="4" w:space="0" w:color="auto"/>
            </w:tcBorders>
          </w:tcPr>
          <w:p w14:paraId="798639D6" w14:textId="77777777" w:rsidR="005C77FF" w:rsidRPr="00F84288" w:rsidRDefault="005C77FF"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2D65C2E6" w14:textId="79E59BE7" w:rsidR="005C77FF" w:rsidRPr="00F84288" w:rsidRDefault="00EF0FB0" w:rsidP="001B0550">
            <w:pPr>
              <w:spacing w:line="360" w:lineRule="auto"/>
              <w:contextualSpacing/>
              <w:jc w:val="center"/>
              <w:rPr>
                <w:rFonts w:ascii="Times New Roman" w:hAnsi="Times New Roman" w:cs="Times New Roman"/>
              </w:rPr>
            </w:pPr>
            <w:r>
              <w:rPr>
                <w:rFonts w:ascii="Times New Roman" w:hAnsi="Times New Roman" w:cs="Times New Roman"/>
              </w:rPr>
              <w:t>OLS</w:t>
            </w:r>
          </w:p>
        </w:tc>
      </w:tr>
      <w:tr w:rsidR="005C77FF" w:rsidRPr="00F84288" w14:paraId="31A885D9" w14:textId="77777777" w:rsidTr="001B0550">
        <w:trPr>
          <w:gridAfter w:val="1"/>
          <w:wAfter w:w="380" w:type="dxa"/>
        </w:trPr>
        <w:tc>
          <w:tcPr>
            <w:tcW w:w="4068" w:type="dxa"/>
            <w:tcBorders>
              <w:top w:val="single" w:sz="4" w:space="0" w:color="auto"/>
            </w:tcBorders>
          </w:tcPr>
          <w:p w14:paraId="49A47850" w14:textId="793FC54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Intercept</w:t>
            </w:r>
          </w:p>
          <w:p w14:paraId="45A85F9E" w14:textId="1E80979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Live Price</w:t>
            </w:r>
          </w:p>
          <w:p w14:paraId="6768FFF8" w14:textId="4644C231"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4230C98D" w14:textId="56DAA412"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64B0F4BF" w14:textId="1CD53150"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73AA2B02" w14:textId="1FA73B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6240F3F2" w14:textId="0645EC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Q2</w:t>
            </w:r>
          </w:p>
          <w:p w14:paraId="70DB6D71" w14:textId="4394F85F"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Q3</w:t>
            </w:r>
          </w:p>
          <w:p w14:paraId="2D6DE122" w14:textId="45091A58"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B629AA8" w14:textId="29D395E9"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-0.478</w:t>
            </w:r>
            <w:r w:rsidR="005C77FF">
              <w:rPr>
                <w:rFonts w:ascii="Times New Roman" w:hAnsi="Times New Roman" w:cs="Times New Roman"/>
              </w:rPr>
              <w:t>***</w:t>
            </w:r>
          </w:p>
          <w:p w14:paraId="40D41FE8" w14:textId="580A97E9"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0.</w:t>
            </w:r>
            <w:r w:rsidR="005874DB">
              <w:rPr>
                <w:rFonts w:ascii="Times New Roman" w:hAnsi="Times New Roman" w:cs="Times New Roman"/>
              </w:rPr>
              <w:t>393</w:t>
            </w:r>
            <w:r>
              <w:rPr>
                <w:rFonts w:ascii="Times New Roman" w:hAnsi="Times New Roman" w:cs="Times New Roman"/>
              </w:rPr>
              <w:t>***</w:t>
            </w:r>
          </w:p>
          <w:p w14:paraId="24D8F14F" w14:textId="3CDFB57E"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-0.005</w:t>
            </w:r>
          </w:p>
          <w:p w14:paraId="31AE1800" w14:textId="45B7F6CA"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1.132***</w:t>
            </w:r>
          </w:p>
          <w:p w14:paraId="7EDB8998" w14:textId="447185EB"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0.340***</w:t>
            </w:r>
          </w:p>
          <w:p w14:paraId="473A8501" w14:textId="0B54BC6C"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5874DB">
              <w:rPr>
                <w:rFonts w:ascii="Times New Roman" w:hAnsi="Times New Roman" w:cs="Times New Roman"/>
              </w:rPr>
              <w:t>0.351***</w:t>
            </w:r>
          </w:p>
          <w:p w14:paraId="24F7F2BC" w14:textId="77777777" w:rsidR="000A34DD" w:rsidRDefault="000A34DD" w:rsidP="001B0550">
            <w:pPr>
              <w:spacing w:line="360" w:lineRule="auto"/>
              <w:contextualSpacing/>
              <w:jc w:val="center"/>
              <w:rPr>
                <w:rFonts w:ascii="Times New Roman" w:hAnsi="Times New Roman" w:cs="Times New Roman"/>
              </w:rPr>
            </w:pPr>
          </w:p>
          <w:p w14:paraId="37D1967F" w14:textId="3C3F23B0"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-0.084</w:t>
            </w:r>
          </w:p>
          <w:p w14:paraId="7E8755A2" w14:textId="6F146B8F"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w:t>
            </w:r>
            <w:r w:rsidR="005C77FF">
              <w:rPr>
                <w:rFonts w:ascii="Times New Roman" w:hAnsi="Times New Roman" w:cs="Times New Roman"/>
              </w:rPr>
              <w:t>0.</w:t>
            </w:r>
            <w:r>
              <w:rPr>
                <w:rFonts w:ascii="Times New Roman" w:hAnsi="Times New Roman" w:cs="Times New Roman"/>
              </w:rPr>
              <w:t>074</w:t>
            </w:r>
          </w:p>
          <w:p w14:paraId="2B67E5F6" w14:textId="6E0C82B6" w:rsidR="005C77FF" w:rsidRPr="00F84288"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-0.120^</w:t>
            </w:r>
          </w:p>
        </w:tc>
      </w:tr>
      <w:tr w:rsidR="005C77FF" w:rsidRPr="00F84288" w14:paraId="6D321E37" w14:textId="77777777" w:rsidTr="001B0550">
        <w:trPr>
          <w:gridAfter w:val="1"/>
          <w:wAfter w:w="380" w:type="dxa"/>
        </w:trPr>
        <w:tc>
          <w:tcPr>
            <w:tcW w:w="4068" w:type="dxa"/>
            <w:tcBorders>
              <w:top w:val="single" w:sz="4" w:space="0" w:color="auto"/>
            </w:tcBorders>
          </w:tcPr>
          <w:p w14:paraId="2923A0B0" w14:textId="77777777"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N</w:t>
            </w:r>
          </w:p>
          <w:p w14:paraId="28C71D70"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R²</w:t>
            </w:r>
          </w:p>
          <w:p w14:paraId="4E4C9519" w14:textId="77777777" w:rsidR="005C77FF" w:rsidRDefault="002B200E" w:rsidP="001B0550">
            <w:pPr>
              <w:spacing w:line="360" w:lineRule="auto"/>
              <w:contextualSpacing/>
              <w:rPr>
                <w:rFonts w:ascii="Times New Roman" w:hAnsi="Times New Roman" w:cs="Times New Roman"/>
              </w:rPr>
            </w:pPr>
            <w:r>
              <w:rPr>
                <w:rFonts w:ascii="Times New Roman" w:hAnsi="Times New Roman" w:cs="Times New Roman"/>
              </w:rPr>
              <w:t xml:space="preserve">Adj. </w:t>
            </w:r>
            <w:r>
              <w:rPr>
                <w:rFonts w:ascii="Times New Roman" w:hAnsi="Times New Roman" w:cs="Times New Roman"/>
              </w:rPr>
              <w:t>R²</w:t>
            </w:r>
          </w:p>
          <w:p w14:paraId="43BD3BBC"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AIC</w:t>
            </w:r>
          </w:p>
          <w:p w14:paraId="4FFCAC52" w14:textId="44B70AF1" w:rsidR="002B200E" w:rsidRPr="00F84288" w:rsidRDefault="002B200E"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2B6BA1F4" w14:textId="77777777"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5B30D126" w14:textId="57495343"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0.236</w:t>
            </w:r>
          </w:p>
          <w:p w14:paraId="7AD491E4" w14:textId="072112CA"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0.227</w:t>
            </w:r>
          </w:p>
          <w:p w14:paraId="47EDD808" w14:textId="5A94D1D8"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1140.175</w:t>
            </w:r>
          </w:p>
          <w:p w14:paraId="0A857CA8" w14:textId="25FEEDC8" w:rsidR="005C77FF" w:rsidRPr="00F84288"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1185.278</w:t>
            </w:r>
          </w:p>
        </w:tc>
      </w:tr>
      <w:tr w:rsidR="005C77FF" w:rsidRPr="00F84288" w14:paraId="1DF115A8" w14:textId="77777777" w:rsidTr="001B0550">
        <w:trPr>
          <w:gridAfter w:val="1"/>
          <w:wAfter w:w="380" w:type="dxa"/>
        </w:trPr>
        <w:tc>
          <w:tcPr>
            <w:tcW w:w="4068" w:type="dxa"/>
            <w:tcBorders>
              <w:bottom w:val="single" w:sz="4" w:space="0" w:color="auto"/>
            </w:tcBorders>
          </w:tcPr>
          <w:p w14:paraId="36BE2562" w14:textId="77777777"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37ACEEC1" w14:textId="26527248" w:rsidR="005C77FF" w:rsidRPr="00F84288"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0D2728">
              <w:rPr>
                <w:rFonts w:ascii="Times New Roman" w:hAnsi="Times New Roman" w:cs="Times New Roman"/>
              </w:rPr>
              <w:t>560.088</w:t>
            </w:r>
          </w:p>
        </w:tc>
      </w:tr>
    </w:tbl>
    <w:p w14:paraId="49B23A76" w14:textId="77777777" w:rsidR="00D62706" w:rsidRDefault="005C77FF" w:rsidP="005C77FF">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32FA9CE7" w14:textId="77777777" w:rsidR="00D62706" w:rsidRDefault="00D62706">
      <w:pPr>
        <w:rPr>
          <w:rFonts w:ascii="Times New Roman" w:eastAsiaTheme="minorEastAsia" w:hAnsi="Times New Roman" w:cs="Times New Roman"/>
          <w:i/>
          <w:iCs/>
        </w:rPr>
      </w:pPr>
      <w:r>
        <w:rPr>
          <w:rFonts w:ascii="Times New Roman" w:eastAsiaTheme="minorEastAsia" w:hAnsi="Times New Roman" w:cs="Times New Roman"/>
          <w:i/>
          <w:iCs/>
        </w:rPr>
        <w:br w:type="page"/>
      </w:r>
    </w:p>
    <w:p w14:paraId="53622987" w14:textId="3799BFE5" w:rsidR="00D62706" w:rsidRPr="00F84288" w:rsidRDefault="00D62706" w:rsidP="00D6270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6</w:t>
      </w:r>
    </w:p>
    <w:p w14:paraId="77DFF130" w14:textId="7EBFC633" w:rsidR="00D62706" w:rsidRPr="00F84288" w:rsidRDefault="00D62706" w:rsidP="00D62706">
      <w:pPr>
        <w:spacing w:line="480" w:lineRule="auto"/>
        <w:contextualSpacing/>
        <w:rPr>
          <w:rFonts w:ascii="Times New Roman" w:hAnsi="Times New Roman" w:cs="Times New Roman"/>
        </w:rPr>
      </w:pPr>
      <w:r>
        <w:rPr>
          <w:rFonts w:ascii="Times New Roman" w:hAnsi="Times New Roman" w:cs="Times New Roman"/>
          <w:i/>
          <w:iCs/>
        </w:rPr>
        <w:t>Climate Change 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D62706" w:rsidRPr="00F84288" w14:paraId="377D153C" w14:textId="77777777" w:rsidTr="001B0550">
        <w:tc>
          <w:tcPr>
            <w:tcW w:w="4158" w:type="dxa"/>
            <w:gridSpan w:val="2"/>
            <w:tcBorders>
              <w:top w:val="single" w:sz="4" w:space="0" w:color="auto"/>
              <w:bottom w:val="single" w:sz="4" w:space="0" w:color="auto"/>
            </w:tcBorders>
          </w:tcPr>
          <w:p w14:paraId="6534B3C6" w14:textId="77777777" w:rsidR="00D62706" w:rsidRPr="00F84288" w:rsidRDefault="00D6270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31E19E27" w14:textId="77100EF6"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 xml:space="preserve">Climate </w:t>
            </w:r>
            <w:r>
              <w:rPr>
                <w:rFonts w:ascii="Times New Roman" w:hAnsi="Times New Roman" w:cs="Times New Roman"/>
              </w:rPr>
              <w:t>OLS</w:t>
            </w:r>
          </w:p>
        </w:tc>
      </w:tr>
      <w:tr w:rsidR="00D62706" w:rsidRPr="00F84288" w14:paraId="18D41FB8" w14:textId="77777777" w:rsidTr="001B0550">
        <w:trPr>
          <w:gridAfter w:val="1"/>
          <w:wAfter w:w="380" w:type="dxa"/>
        </w:trPr>
        <w:tc>
          <w:tcPr>
            <w:tcW w:w="4068" w:type="dxa"/>
            <w:tcBorders>
              <w:top w:val="single" w:sz="4" w:space="0" w:color="auto"/>
            </w:tcBorders>
          </w:tcPr>
          <w:p w14:paraId="54A47B2F"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Intercept</w:t>
            </w:r>
          </w:p>
          <w:p w14:paraId="4516927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Live Price</w:t>
            </w:r>
          </w:p>
          <w:p w14:paraId="0DFEAC2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7E1E95A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7660FB51"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01963ACE"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42EA9369" w14:textId="2D2A51CD"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Maximum</w:t>
            </w:r>
          </w:p>
          <w:p w14:paraId="11F63063" w14:textId="7B4B147E"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Duration</w:t>
            </w:r>
          </w:p>
          <w:p w14:paraId="5AA70530" w14:textId="7840149A"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Storm Days (Waves)</w:t>
            </w:r>
          </w:p>
          <w:p w14:paraId="7B5AA55B"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Q2</w:t>
            </w:r>
          </w:p>
          <w:p w14:paraId="5F86A0EC"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Q3</w:t>
            </w:r>
          </w:p>
          <w:p w14:paraId="4AD875B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D280015" w14:textId="6024B369"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366</w:t>
            </w:r>
            <w:r>
              <w:rPr>
                <w:rFonts w:ascii="Times New Roman" w:hAnsi="Times New Roman" w:cs="Times New Roman"/>
              </w:rPr>
              <w:t>*</w:t>
            </w:r>
          </w:p>
          <w:p w14:paraId="32981E57" w14:textId="5805BA8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w:t>
            </w:r>
            <w:r>
              <w:rPr>
                <w:rFonts w:ascii="Times New Roman" w:hAnsi="Times New Roman" w:cs="Times New Roman"/>
              </w:rPr>
              <w:t>3***</w:t>
            </w:r>
          </w:p>
          <w:p w14:paraId="10D0BB10" w14:textId="1DBCB90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-0.00</w:t>
            </w:r>
            <w:r w:rsidR="00F63DD7">
              <w:rPr>
                <w:rFonts w:ascii="Times New Roman" w:hAnsi="Times New Roman" w:cs="Times New Roman"/>
              </w:rPr>
              <w:t>1</w:t>
            </w:r>
          </w:p>
          <w:p w14:paraId="32A504EB" w14:textId="2F4BBB3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w:t>
            </w:r>
            <w:r w:rsidR="00F63DD7">
              <w:rPr>
                <w:rFonts w:ascii="Times New Roman" w:hAnsi="Times New Roman" w:cs="Times New Roman"/>
              </w:rPr>
              <w:t>301</w:t>
            </w:r>
            <w:r>
              <w:rPr>
                <w:rFonts w:ascii="Times New Roman" w:hAnsi="Times New Roman" w:cs="Times New Roman"/>
              </w:rPr>
              <w:t>***</w:t>
            </w:r>
          </w:p>
          <w:p w14:paraId="7FBA765F" w14:textId="41C4F74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404</w:t>
            </w:r>
            <w:r>
              <w:rPr>
                <w:rFonts w:ascii="Times New Roman" w:hAnsi="Times New Roman" w:cs="Times New Roman"/>
              </w:rPr>
              <w:t>***</w:t>
            </w:r>
          </w:p>
          <w:p w14:paraId="2F5C13E6" w14:textId="28A7602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81</w:t>
            </w:r>
            <w:r>
              <w:rPr>
                <w:rFonts w:ascii="Times New Roman" w:hAnsi="Times New Roman" w:cs="Times New Roman"/>
              </w:rPr>
              <w:t>***</w:t>
            </w:r>
          </w:p>
          <w:p w14:paraId="7A741BEB" w14:textId="77777777" w:rsidR="00D62706" w:rsidRDefault="00D62706" w:rsidP="001B0550">
            <w:pPr>
              <w:spacing w:line="360" w:lineRule="auto"/>
              <w:contextualSpacing/>
              <w:jc w:val="center"/>
              <w:rPr>
                <w:rFonts w:ascii="Times New Roman" w:hAnsi="Times New Roman" w:cs="Times New Roman"/>
              </w:rPr>
            </w:pPr>
          </w:p>
          <w:p w14:paraId="535FFD82" w14:textId="24EE059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035</w:t>
            </w:r>
          </w:p>
          <w:p w14:paraId="248D36E0" w14:textId="034AAE3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w:t>
            </w:r>
            <w:r w:rsidR="00F63DD7">
              <w:rPr>
                <w:rFonts w:ascii="Times New Roman" w:hAnsi="Times New Roman" w:cs="Times New Roman"/>
              </w:rPr>
              <w:t>03</w:t>
            </w:r>
          </w:p>
          <w:p w14:paraId="0C8BE9F4"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034**</w:t>
            </w:r>
          </w:p>
          <w:p w14:paraId="7C90F507"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-0.068</w:t>
            </w:r>
          </w:p>
          <w:p w14:paraId="42C57DFD"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-0.045</w:t>
            </w:r>
          </w:p>
          <w:p w14:paraId="587EF043" w14:textId="10356E27" w:rsidR="00F63DD7" w:rsidRPr="00F84288"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-0.079</w:t>
            </w:r>
          </w:p>
        </w:tc>
      </w:tr>
      <w:tr w:rsidR="00D62706" w:rsidRPr="00F84288" w14:paraId="39EA1CC0" w14:textId="77777777" w:rsidTr="001B0550">
        <w:trPr>
          <w:gridAfter w:val="1"/>
          <w:wAfter w:w="380" w:type="dxa"/>
        </w:trPr>
        <w:tc>
          <w:tcPr>
            <w:tcW w:w="4068" w:type="dxa"/>
            <w:tcBorders>
              <w:top w:val="single" w:sz="4" w:space="0" w:color="auto"/>
            </w:tcBorders>
          </w:tcPr>
          <w:p w14:paraId="1CD1A67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N</w:t>
            </w:r>
          </w:p>
          <w:p w14:paraId="31EC0E2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R²</w:t>
            </w:r>
          </w:p>
          <w:p w14:paraId="47E7CFB9"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Adj. R²</w:t>
            </w:r>
          </w:p>
          <w:p w14:paraId="2318D91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AIC</w:t>
            </w:r>
          </w:p>
          <w:p w14:paraId="0B4CAB30"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174FF887"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FE0D56" w14:textId="68EA7E9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45</w:t>
            </w:r>
          </w:p>
          <w:p w14:paraId="3A528238" w14:textId="7BC92E2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33</w:t>
            </w:r>
          </w:p>
          <w:p w14:paraId="0A5A806E" w14:textId="795A6C1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38.396</w:t>
            </w:r>
          </w:p>
          <w:p w14:paraId="4CFDA685" w14:textId="4C25C948"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97.030</w:t>
            </w:r>
          </w:p>
        </w:tc>
      </w:tr>
      <w:tr w:rsidR="00D62706" w:rsidRPr="00F84288" w14:paraId="1E427C3A" w14:textId="77777777" w:rsidTr="001B0550">
        <w:trPr>
          <w:gridAfter w:val="1"/>
          <w:wAfter w:w="380" w:type="dxa"/>
        </w:trPr>
        <w:tc>
          <w:tcPr>
            <w:tcW w:w="4068" w:type="dxa"/>
            <w:tcBorders>
              <w:bottom w:val="single" w:sz="4" w:space="0" w:color="auto"/>
            </w:tcBorders>
          </w:tcPr>
          <w:p w14:paraId="655DC2D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5907E0A8" w14:textId="28DB5A6A"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-5</w:t>
            </w:r>
            <w:r w:rsidR="00F63DD7">
              <w:rPr>
                <w:rFonts w:ascii="Times New Roman" w:hAnsi="Times New Roman" w:cs="Times New Roman"/>
              </w:rPr>
              <w:t>56.198</w:t>
            </w:r>
          </w:p>
        </w:tc>
      </w:tr>
    </w:tbl>
    <w:p w14:paraId="0A8ED2CC" w14:textId="77A485D3" w:rsidR="00F21596" w:rsidRPr="005C77FF" w:rsidRDefault="00D62706" w:rsidP="005C77FF">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r w:rsidR="00F21596">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24A4" w14:textId="77777777" w:rsidR="00A9121A" w:rsidRDefault="00A9121A">
      <w:pPr>
        <w:spacing w:after="0"/>
      </w:pPr>
      <w:r>
        <w:separator/>
      </w:r>
    </w:p>
  </w:endnote>
  <w:endnote w:type="continuationSeparator" w:id="0">
    <w:p w14:paraId="22A19C88" w14:textId="77777777" w:rsidR="00A9121A" w:rsidRDefault="00A912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0C9D" w14:textId="77777777" w:rsidR="00A9121A" w:rsidRDefault="00A9121A">
      <w:r>
        <w:separator/>
      </w:r>
    </w:p>
  </w:footnote>
  <w:footnote w:type="continuationSeparator" w:id="0">
    <w:p w14:paraId="537E0823" w14:textId="77777777" w:rsidR="00A9121A" w:rsidRDefault="00A91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00AD4"/>
    <w:rsid w:val="0000190E"/>
    <w:rsid w:val="000233CF"/>
    <w:rsid w:val="000356BE"/>
    <w:rsid w:val="00037D3F"/>
    <w:rsid w:val="00047CE8"/>
    <w:rsid w:val="00052E0B"/>
    <w:rsid w:val="00055F2E"/>
    <w:rsid w:val="00056CAD"/>
    <w:rsid w:val="000A34DD"/>
    <w:rsid w:val="000C4765"/>
    <w:rsid w:val="000C4DD7"/>
    <w:rsid w:val="000D2728"/>
    <w:rsid w:val="00104C4E"/>
    <w:rsid w:val="001378D0"/>
    <w:rsid w:val="00173F8B"/>
    <w:rsid w:val="001A4953"/>
    <w:rsid w:val="001D0337"/>
    <w:rsid w:val="002016A5"/>
    <w:rsid w:val="00222D0B"/>
    <w:rsid w:val="00224B69"/>
    <w:rsid w:val="002424EF"/>
    <w:rsid w:val="0024419F"/>
    <w:rsid w:val="00255385"/>
    <w:rsid w:val="00261D52"/>
    <w:rsid w:val="00267E0E"/>
    <w:rsid w:val="00277559"/>
    <w:rsid w:val="002979B5"/>
    <w:rsid w:val="002A10A5"/>
    <w:rsid w:val="002B200E"/>
    <w:rsid w:val="0030209D"/>
    <w:rsid w:val="003228FE"/>
    <w:rsid w:val="00346EE3"/>
    <w:rsid w:val="00347E96"/>
    <w:rsid w:val="003573E4"/>
    <w:rsid w:val="00376072"/>
    <w:rsid w:val="00385AC6"/>
    <w:rsid w:val="003C6C60"/>
    <w:rsid w:val="003C7FCE"/>
    <w:rsid w:val="004029CF"/>
    <w:rsid w:val="00420F44"/>
    <w:rsid w:val="00437AF6"/>
    <w:rsid w:val="00471CCE"/>
    <w:rsid w:val="004B2B95"/>
    <w:rsid w:val="004B5034"/>
    <w:rsid w:val="004D6B16"/>
    <w:rsid w:val="00500B47"/>
    <w:rsid w:val="00537B9A"/>
    <w:rsid w:val="00541BA9"/>
    <w:rsid w:val="00560C53"/>
    <w:rsid w:val="00567221"/>
    <w:rsid w:val="00575C11"/>
    <w:rsid w:val="005874DB"/>
    <w:rsid w:val="005A6A58"/>
    <w:rsid w:val="005C77FF"/>
    <w:rsid w:val="005F7D36"/>
    <w:rsid w:val="0060537C"/>
    <w:rsid w:val="0066432F"/>
    <w:rsid w:val="00675989"/>
    <w:rsid w:val="006804F2"/>
    <w:rsid w:val="0068638C"/>
    <w:rsid w:val="00687F9B"/>
    <w:rsid w:val="006A64A4"/>
    <w:rsid w:val="006B19F1"/>
    <w:rsid w:val="006E2896"/>
    <w:rsid w:val="007033A3"/>
    <w:rsid w:val="007070EE"/>
    <w:rsid w:val="00716636"/>
    <w:rsid w:val="0073097E"/>
    <w:rsid w:val="007420A1"/>
    <w:rsid w:val="0074649D"/>
    <w:rsid w:val="00775BB8"/>
    <w:rsid w:val="007877A6"/>
    <w:rsid w:val="00793AEC"/>
    <w:rsid w:val="007B25FB"/>
    <w:rsid w:val="007C2B17"/>
    <w:rsid w:val="0088693B"/>
    <w:rsid w:val="008B511F"/>
    <w:rsid w:val="008C7D6F"/>
    <w:rsid w:val="00904702"/>
    <w:rsid w:val="00905BD6"/>
    <w:rsid w:val="00923373"/>
    <w:rsid w:val="009354EB"/>
    <w:rsid w:val="0095152E"/>
    <w:rsid w:val="00970B97"/>
    <w:rsid w:val="00996275"/>
    <w:rsid w:val="009A7437"/>
    <w:rsid w:val="009C2D8A"/>
    <w:rsid w:val="009C7D46"/>
    <w:rsid w:val="009F0B42"/>
    <w:rsid w:val="009F3D2B"/>
    <w:rsid w:val="009F6E2A"/>
    <w:rsid w:val="00A02A3A"/>
    <w:rsid w:val="00A27177"/>
    <w:rsid w:val="00A37672"/>
    <w:rsid w:val="00A73A7B"/>
    <w:rsid w:val="00A9121A"/>
    <w:rsid w:val="00AB55A0"/>
    <w:rsid w:val="00AB5835"/>
    <w:rsid w:val="00AF1273"/>
    <w:rsid w:val="00AF272D"/>
    <w:rsid w:val="00B40154"/>
    <w:rsid w:val="00B81A5F"/>
    <w:rsid w:val="00BB1E12"/>
    <w:rsid w:val="00BD06B7"/>
    <w:rsid w:val="00BD5587"/>
    <w:rsid w:val="00BE55CD"/>
    <w:rsid w:val="00BE6917"/>
    <w:rsid w:val="00C61A38"/>
    <w:rsid w:val="00CA7DBF"/>
    <w:rsid w:val="00CD766C"/>
    <w:rsid w:val="00D10EA8"/>
    <w:rsid w:val="00D12A0B"/>
    <w:rsid w:val="00D21A92"/>
    <w:rsid w:val="00D31642"/>
    <w:rsid w:val="00D33D06"/>
    <w:rsid w:val="00D51319"/>
    <w:rsid w:val="00D568B6"/>
    <w:rsid w:val="00D61A09"/>
    <w:rsid w:val="00D62706"/>
    <w:rsid w:val="00D903FF"/>
    <w:rsid w:val="00D91449"/>
    <w:rsid w:val="00DA5480"/>
    <w:rsid w:val="00DE3456"/>
    <w:rsid w:val="00E030C6"/>
    <w:rsid w:val="00E4335C"/>
    <w:rsid w:val="00E56433"/>
    <w:rsid w:val="00E665AE"/>
    <w:rsid w:val="00E71267"/>
    <w:rsid w:val="00E805EA"/>
    <w:rsid w:val="00EE2DDF"/>
    <w:rsid w:val="00EF0FB0"/>
    <w:rsid w:val="00EF2CDA"/>
    <w:rsid w:val="00F164E5"/>
    <w:rsid w:val="00F21596"/>
    <w:rsid w:val="00F251CB"/>
    <w:rsid w:val="00F63DD7"/>
    <w:rsid w:val="00F84288"/>
    <w:rsid w:val="00FA1849"/>
    <w:rsid w:val="00FE07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47</Pages>
  <Words>10595</Words>
  <Characters>60395</Characters>
  <Application>Microsoft Office Word</Application>
  <DocSecurity>0</DocSecurity>
  <Lines>503</Lines>
  <Paragraphs>141</Paragraphs>
  <ScaleCrop>false</ScaleCrop>
  <Company/>
  <LinksUpToDate>false</LinksUpToDate>
  <CharactersWithSpaces>70849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24</cp:revision>
  <dcterms:created xsi:type="dcterms:W3CDTF">2024-04-01T02:08:00Z</dcterms:created>
  <dcterms:modified xsi:type="dcterms:W3CDTF">2024-04-01T02:18:00Z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