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PART2 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D3B45"/>
          <w:spacing w:val="0"/>
          <w:sz w:val="28"/>
          <w:szCs w:val="28"/>
          <w:u w:val="single"/>
          <w:shd w:val="clear" w:fill="FFFFFF"/>
        </w:rPr>
        <w:t>Execute automl vision and timeseries forcasting models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/>
    <w:p/>
    <w:p>
      <w:r>
        <w:drawing>
          <wp:inline distT="0" distB="0" distL="114300" distR="114300">
            <wp:extent cx="5266055" cy="22733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6690" cy="224091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318000" cy="4857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1513840"/>
            <wp:effectExtent l="0" t="0" r="107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96469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00275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6111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5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924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666365"/>
            <wp:effectExtent l="0" t="0" r="1016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3114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1980565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466340"/>
            <wp:effectExtent l="0" t="0" r="381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47142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25742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2358390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l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C0E49"/>
    <w:rsid w:val="4DD541B1"/>
    <w:rsid w:val="5997292D"/>
    <w:rsid w:val="621C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945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2021-02-25T02:42:00Z</dcterms:created>
  <dc:creator>stuti</dc:creator>
  <cp:lastModifiedBy>stuti</cp:lastModifiedBy>
  <dcterms:modified xsi:type="dcterms:W3CDTF">2021-03-11T06:13:27Z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