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审迹智链七分钟修订讲稿</w:t>
      </w:r>
    </w:p>
    <w:p>
      <w:r>
        <w:t>对应现有十页宋体亮点强化版　修订日期2026年10月12日</w:t>
      </w:r>
    </w:p>
    <w:p>
      <w:r>
        <w:t>本稿对应现有宋体亮点强化版实际10页PPT；PPT文件未改。讲述260秒、历史任务演示140秒、缓冲20秒是目标配时，真人彩排未完成。新增实验与技术细节见独立附件，不增加投影页。</w:t>
      </w:r>
    </w:p>
    <w:p>
      <w:r>
        <w:t>这次展示围绕五粮液的一条真实核查线索，证明数字能复算、原文能回查、三角色的处理能查看，结果能继续转成资料要求。第7页用标准股份的独立补证记录，展示新增证据与原运行的关系。</w:t>
      </w:r>
    </w:p>
    <w:p>
      <w:pPr>
        <w:pStyle w:val="Heading1"/>
      </w:pPr>
      <w:r>
        <w:t>第1页 审迹智链</w:t>
      </w:r>
    </w:p>
    <w:p>
      <w:r>
        <w:t>时间：0:00至0:15。动作：展示封面。开场自行报真实姓名，只报姓名，不报学校。</w:t>
      </w:r>
    </w:p>
    <w:p>
      <w:r>
        <w:t>口播：各位老师好。我们带来的审迹智链，帮助审计项目组把年报里的数字变化，整理成有原文依据、能继续核查的事项。下面用一个真实案例展示。</w:t>
      </w:r>
    </w:p>
    <w:p>
      <w:pPr>
        <w:pStyle w:val="Heading1"/>
      </w:pPr>
      <w:r>
        <w:t>第2页 年报预筛的证据整理</w:t>
      </w:r>
    </w:p>
    <w:p>
      <w:r>
        <w:t>时间：0:15至0:40。动作：指向左侧三个核对任务，再指向右侧真实结果。不要逐字念界面。</w:t>
      </w:r>
    </w:p>
    <w:p>
      <w:r>
        <w:t>口播：审计人员看到收入和应收账款的变化，还要确认数字来自哪一年、用什么口径，寻找正常业务解释，再安排后续程序。我们围绕这条工作路径设计系统：数字能复算，解释能查证，输出能对应到项目组下一步要做的事。</w:t>
      </w:r>
    </w:p>
    <w:p>
      <w:pPr>
        <w:pStyle w:val="Heading1"/>
      </w:pPr>
      <w:r>
        <w:t>第3页 三角色核对同一条主张</w:t>
      </w:r>
    </w:p>
    <w:p>
      <w:r>
        <w:t>时间：0:40至1:10。动作：依次指向质疑、反证、复核。用右侧五粮液摘要说明角色如何处理同一个问题。</w:t>
      </w:r>
    </w:p>
    <w:p>
      <w:r>
        <w:t>口播：三个角色各有核查任务。旧五粮液记录里，反证强调净额与重要性限制，但解释和资料缺口与质疑有重合。我们据此调整角色提示词，要求反证说明新增依据，复核说明采纳理由。新版本尚未付费验证，目前不宣称三角色更准确。</w:t>
      </w:r>
    </w:p>
    <w:p>
      <w:pPr>
        <w:pStyle w:val="Heading1"/>
      </w:pPr>
      <w:r>
        <w:t>第4页 审计约束下的技术架构</w:t>
      </w:r>
    </w:p>
    <w:p>
      <w:r>
        <w:t>时间：1:10至1:40。动作：重点讲程序层、证据层和交付层。实现名称一句带过。</w:t>
      </w:r>
    </w:p>
    <w:p>
      <w:r>
        <w:t>口播：技术上，我们先用程序计算规则，再按案例和截止日检索资料，随后调用三个角色。年报事实、审计准则和行业背景有不同的使用边界，规范和背景不能直接证明企业发生了什么。模型返回后，程序还会核对关键数字、证据编号和措辞。同一运行记录串起输入、角色结果与交付物，支持复核。</w:t>
      </w:r>
    </w:p>
    <w:p>
      <w:pPr>
        <w:pStyle w:val="Heading1"/>
      </w:pPr>
      <w:r>
        <w:t>第5页 五粮液的原文回查演示</w:t>
      </w:r>
    </w:p>
    <w:p>
      <w:r>
        <w:t>时间：1:40至2:10。动作：讲完切到已准备好的五粮液真实任务页面。2:10开始演示，4:30返回第6页。</w:t>
      </w:r>
    </w:p>
    <w:p>
      <w:r>
        <w:t>口播：现在查看五粮液已完成的历史任务。实际比较二〇二五和二〇二四年，增速差五十五点六二个百分点，但应收只增加约三十九点八九万元。金额重要性尚未评价。接下来回查原文、角色处理和资料要求；收入核算调整另有核对附件。</w:t>
      </w:r>
    </w:p>
    <w:p>
      <w:pPr>
        <w:pStyle w:val="Heading1"/>
      </w:pPr>
      <w:r>
        <w:t>原型演示 两分二十秒</w:t>
      </w:r>
    </w:p>
    <w:p>
      <w:r>
        <w:t>以下时间沿用全场计时，从2:10开始，4:30结束。优先展示已完成的真实任务。公网故障时使用同源备用HTML，明确是历史证据页。</w:t>
      </w:r>
    </w:p>
    <w:p>
      <w:pPr>
        <w:pStyle w:val="Heading1"/>
      </w:pPr>
      <w:r>
        <w:t>演示第1段 2分10秒至2分25秒</w:t>
      </w:r>
    </w:p>
    <w:p>
      <w:r>
        <w:t>动作：切到原型的五粮液已完成任务。显示企业、实际分析年度和来源截止日，不在现场输入运行编号。</w:t>
      </w:r>
    </w:p>
    <w:p>
      <w:r>
        <w:t>口播：现在查看的是一份已完成的真实线上任务，实际分析二〇二五和二〇二四年。现场展示保存的结果和留痕。</w:t>
      </w:r>
    </w:p>
    <w:p>
      <w:pPr>
        <w:pStyle w:val="Heading1"/>
      </w:pPr>
      <w:r>
        <w:t>演示第2段 2分25秒至2分45秒</w:t>
      </w:r>
    </w:p>
    <w:p>
      <w:r>
        <w:t>动作：展示六阶段执行记录与实际模型调用留痕。读取保存任务，现场不再次点击完整分析。</w:t>
      </w:r>
    </w:p>
    <w:p>
      <w:r>
        <w:t>口播：记录里能看到证据读取、规则计算、知识检索、三角色处理和校验。本次三个角色完成，实际调用三次模型。此前端到端约四十秒，现场读回记录无需再次调用模型。</w:t>
      </w:r>
    </w:p>
    <w:p>
      <w:pPr>
        <w:pStyle w:val="Heading1"/>
      </w:pPr>
      <w:r>
        <w:t>演示第3段 2分45秒至3分5秒</w:t>
      </w:r>
    </w:p>
    <w:p>
      <w:r>
        <w:t>动作：定位关键事实。只指一个差值，展示它与原始金额、口径的关系。</w:t>
      </w:r>
    </w:p>
    <w:p>
      <w:r>
        <w:t>口播：收入增速为负五十四点五五，应收增速为一点零七，差值为五十五点六二个百分点。这些值来自程序计算。当前应收是报表净额，差值作为核查线索，金额重要性尚未评价。</w:t>
      </w:r>
    </w:p>
    <w:p>
      <w:pPr>
        <w:pStyle w:val="Heading1"/>
      </w:pPr>
      <w:r>
        <w:t>演示第4段 3分5秒至3分35秒</w:t>
      </w:r>
    </w:p>
    <w:p>
      <w:r>
        <w:t>动作：展开查看这条主张、数字与复核记录，或点击查看原文证据。打开本次收入字段实际关联的年报页；确认企业、年度、科目与单位后返回。页码按任务实际记录，不硬点历史案例页。</w:t>
      </w:r>
    </w:p>
    <w:p>
      <w:r>
        <w:t>口播：这里从本次字段进入年报原文。回查时要核对企业、年度、科目和金额单位。程序计算与模型主张都关联当前证据编号，评委可以沿着引用核对。当前字段的专业口径确认仍待完成，页面会保留这一状态。</w:t>
      </w:r>
    </w:p>
    <w:p>
      <w:pPr>
        <w:pStyle w:val="Heading1"/>
      </w:pPr>
      <w:r>
        <w:t>演示第5段 3分35秒至4分10秒</w:t>
      </w:r>
    </w:p>
    <w:p>
      <w:r>
        <w:t>动作：查看结果中质疑、反证、复核如何处理这条事项。需要原文时点击查看Agent完整证据，展示先款后货解释的状态。</w:t>
      </w:r>
    </w:p>
    <w:p>
      <w:r>
        <w:t>口播：质疑提出变化原因需要核查。旧记录的质疑和反证均引用先款后货披露，但还需要验证它能否解释本期变化。复核最终保留候选和资料缺口。每个角色都有独立记录，正常解释仍标为待验证假设，系统没有把它写成已经查明的原因。</w:t>
      </w:r>
    </w:p>
    <w:p>
      <w:pPr>
        <w:pStyle w:val="Heading1"/>
      </w:pPr>
      <w:r>
        <w:t>演示第6段 4分10秒至4分30秒</w:t>
      </w:r>
    </w:p>
    <w:p>
      <w:r>
        <w:t>动作：定位待索取资料及建议程序，展示下载JSON或下载表格CSV入口。无需在七分钟内等待下载后再打开软件。4:30回PPT第6页。</w:t>
      </w:r>
    </w:p>
    <w:p>
      <w:r>
        <w:t>口播：最后，账龄、期后回款、信用政策和合同资料对应到这个问题。原文依据、待核查事项和资料清单可同源导出，供项目组继续复核。</w:t>
      </w:r>
    </w:p>
    <w:p>
      <w:pPr>
        <w:pStyle w:val="Heading1"/>
      </w:pPr>
      <w:r>
        <w:t>第6页 核查任务与资料清单</w:t>
      </w:r>
    </w:p>
    <w:p>
      <w:r>
        <w:t>时间：4:30至5:00。动作：返回PPT第6页，强调资料为什么要取、如何对应后续程序。</w:t>
      </w:r>
    </w:p>
    <w:p>
      <w:r>
        <w:t>口播：这一流程交给项目组的是具体核查任务。账龄明细用于了解应收结构，期后回款记录用于继续了解回收情况，信用政策和合同条款用于检验业务解释。事项、证据位置和资料要求来自同一运行，并对应建议程序。审计人员可以复核后采用、调整，也可以保留意见。</w:t>
      </w:r>
    </w:p>
    <w:p>
      <w:pPr>
        <w:pStyle w:val="Heading1"/>
      </w:pPr>
      <w:r>
        <w:t>第7页 补充证据后的复评</w:t>
      </w:r>
    </w:p>
    <w:p>
      <w:r>
        <w:t>时间：5:00至5:40。动作：这里切换为标准股份补证案例，明确不是前面的五粮液任务。指向新增证据和建议保持不变。</w:t>
      </w:r>
    </w:p>
    <w:p>
      <w:r>
        <w:t>口播：系统还支持补充证据后重新评估。这里换成标准股份的真实父子运行：我们加入一份内置公开账龄样例，保留原运行并生成子运行，原年报字段不被覆盖。页面能比较主张、解释、资料要求和未解决问题。这次最终建议仍是暂缓。它说明系统会保留资料尚不充分的状态，复核者也能看到变化依据。样例不代表企业真实内部账龄，文本变化也不能全部归因于新增证据。</w:t>
      </w:r>
    </w:p>
    <w:p>
      <w:pPr>
        <w:pStyle w:val="Heading1"/>
      </w:pPr>
      <w:r>
        <w:t>第8页 审计项目组的使用路径</w:t>
      </w:r>
    </w:p>
    <w:p>
      <w:r>
        <w:t>时间：5:40至6:05。动作：讲使用对象和已有入口，不把目录覆盖说成所有企业均可完整分析。</w:t>
      </w:r>
    </w:p>
    <w:p>
      <w:r>
        <w:t>口播：当前面向审计项目组，整理销售与收款循环的待核查事项。登记案例库为二十三案，案例登记不等于模型成功或专业评价通过。现有任务可回查和导出，真实客户资料须明确授权。使用者试用仍未完成。</w:t>
      </w:r>
    </w:p>
    <w:p>
      <w:pPr>
        <w:pStyle w:val="Heading1"/>
      </w:pPr>
      <w:r>
        <w:t>第9页 风险控制与后续验证</w:t>
      </w:r>
    </w:p>
    <w:p>
      <w:r>
        <w:t>时间：6:05至6:30。动作：先讲已有控制，再讲待完成的专业评价与试用。</w:t>
      </w:r>
    </w:p>
    <w:p>
      <w:r>
        <w:t>口播：主要风险是口径错配、解释越界和服务中断。系统保留数字、来源用途校验及失败状态，合法引用的语义支持仍待复核。新实验让单模型与三角色使用同资料和最终校验，现阶段完成零调用预演，专业评分和用户试用未完成。</w:t>
      </w:r>
    </w:p>
    <w:p>
      <w:pPr>
        <w:pStyle w:val="Heading1"/>
      </w:pPr>
      <w:r>
        <w:t>第10页 结束</w:t>
      </w:r>
    </w:p>
    <w:p>
      <w:r>
        <w:t>时间：6:30至6:40。动作：6:40结束，留20秒机动，进入3分钟评委提问。</w:t>
      </w:r>
    </w:p>
    <w:p>
      <w:r>
        <w:t>口播：我们交付有原文依据的待核查事项，让项目组看清下一步需要什么证据。谢谢各位老师。</w:t>
      </w:r>
    </w:p>
    <w:p>
      <w:pPr>
        <w:pStyle w:val="Heading1"/>
      </w:pPr>
      <w:r>
        <w:t>上场前准备</w:t>
      </w:r>
    </w:p>
    <w:p>
      <w:r>
        <w:t>主展示优先沿一份已完成真实任务操作。上场前打开公网并读取这份已保存历史任务，保留结果标签页，预先打开对应年报页。现场不重新等待冷启动或创建付费任务。口播明确为已完成记录。</w:t>
      </w:r>
    </w:p>
    <w:p>
      <w:r>
        <w:t>当前浏览器已核对：五粮液精选案例选中后，主按钮实际显示完整分析五粮液。不要把按钮统一念成开始审计预筛，不需要手工填run_id。结果页动作按当前源码与保存的真实验收画面编排，现场需用准备好的任务再走一次。</w:t>
      </w:r>
    </w:p>
    <w:p>
      <w:r>
        <w:t>固定PPT数据来自已保存线上运行RUN-V7-DCF895BC5377。若上场前生成了新的真实任务，须核对年度、数值、页码、角色状态和耗时；不把旧稿当新结果照念。既有记录的8.99秒是模型运行字段，不能说全流程只用9秒。</w:t>
      </w:r>
    </w:p>
    <w:p>
      <w:r>
        <w:t>公网冷启动可能超过演示预算。提前唤醒服务，并准备已核验的同源备用HTML及原文图片。本轮没有新增录屏，不能把备用HTML称为视频。</w:t>
      </w:r>
    </w:p>
    <w:p>
      <w:r>
        <w:t>五粮液与标准股份是两组独立证据。主讲第7页明确切换标准股份公开样例补证，不能把父子运行或样例账龄说成五粮液真实企业资料。</w:t>
      </w:r>
    </w:p>
    <w:p>
      <w:pPr>
        <w:pStyle w:val="Heading1"/>
      </w:pPr>
      <w:r>
        <w:t>超时和故障应对</w:t>
      </w:r>
    </w:p>
    <w:p>
      <w:r>
        <w:t>公网加载或任务读取失败：公网页面暂时未能读出保存记录，我切换到同一次历史任务的离线证据页。数字、原文和角色状态仍来自该次任务。只在同源备用HTML和对应原文图片已实际打开后使用这句话。</w:t>
      </w:r>
    </w:p>
    <w:p>
      <w:r>
        <w:t>原文链接暂时打不开：当前原文链接未打开，来源定位已经保留。我先展示同一任务的角色处理和资料要求，答辩时可以再核对原件。随后停止重复点击，用已提前打开的同一原件页替代，或按时进入下一段。</w:t>
      </w:r>
    </w:p>
    <w:p>
      <w:r>
        <w:t>第7页开始时已明显超时：压缩第7页：补证保留原运行并产生子运行，这份公开样例只用于演示；本次仍建议暂缓，变化和缺口都能回查。保留第8、9页的落地和风险要求，第10页直接致谢。</w:t>
      </w:r>
    </w:p>
    <w:p>
      <w:pPr>
        <w:pStyle w:val="Heading1"/>
      </w:pPr>
      <w:r>
        <w:t>三分钟提问参考</w:t>
      </w:r>
    </w:p>
    <w:p>
      <w:r>
        <w:t>为什么需要三个Agent</w:t>
      </w:r>
    </w:p>
    <w:p>
      <w:r>
        <w:t>三个角色分别提问、检查正常解释和复核草稿，各有证据及状态合同。旧样本存在重复，因此本轮调整了角色任务；这尚未证明效果提升。同一主张能看到逐角色处理。但角色分工本身不能证明优于单模型，效果须由同资料对照和真人评分验证。</w:t>
      </w:r>
    </w:p>
    <w:p>
      <w:r>
        <w:t>增速差大是否说明企业存在错报</w:t>
      </w:r>
    </w:p>
    <w:p>
      <w:r>
        <w:t>这只是规则形成的核查线索。还要核对净额或账面余额口径、金额重要性、账龄、回款和合同等资料，当前没有据此认定错报或舞弊。</w:t>
      </w:r>
    </w:p>
    <w:p>
      <w:r>
        <w:t>你们已经证明业务效果了吗</w:t>
      </w:r>
    </w:p>
    <w:p>
      <w:r>
        <w:t>已有真实任务、原文回查和补证复评的工程证据。正式人工评分仍未完成，不能报告准确率、节时率或三角色增益。新实验已经准备独立单模型任务、共同最终校验和用量留痕。未取得预算授权，调用仍为零；AI辅助审阅与专业评价分开。</w:t>
      </w:r>
    </w:p>
    <w:p>
      <w:r>
        <w:t>为什么补充资料后建议没变化</w:t>
      </w:r>
    </w:p>
    <w:p>
      <w:r>
        <w:t>补充材料不一定足以覆盖原有缺口。这里使用公开演示样例，最终建议仍暂缓；父子记录把新增依据、文本差异和仍需索取的资料保留给复核者。</w:t>
      </w:r>
    </w:p>
    <w:p>
      <w:r>
        <w:t>能否分析任意企业或任意PDF</w:t>
      </w:r>
    </w:p>
    <w:p>
      <w:r>
        <w:t>当前官方目录查询覆盖有边界，登记范围、完整模型分析和资料就绪状态分别说明。不能保证所有企业或任意PDF都能完成同样分析。</w:t>
      </w:r>
    </w:p>
    <w:p>
      <w:pPr>
        <w:pStyle w:val="Heading1"/>
      </w:pPr>
      <w:r>
        <w:t>资料核对</w:t>
      </w:r>
    </w:p>
    <w:p>
      <w:r>
        <w:t>五粮液数据与角色摘要来自RUN-V7-DCF895BC5377，三次真实调用，2026年10月10日留存。补证示例来自标准股份父运行RUN-V7-55ED10CB1D9C与子运行RUN-SUP-0C4AB87C0D93。完整来源路径见对应PPT备注。</w:t>
      </w:r>
    </w:p>
    <w:p>
      <w:r>
        <w:t>AI生成内容，仅供审计计划阶段进一步核查，不构成审计结论或审计意见。</w:t>
      </w:r>
    </w:p>
    <w:sectPr w:rsidR="00FC693F" w:rsidRPr="0006063C" w:rsidSect="00034616"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12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12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12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312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