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数智会计创新应用竞赛团队初步选题汇总</w:t>
      </w:r>
    </w:p>
    <w:p>
      <w:pPr>
        <w:pStyle w:val="Heading3"/>
        <w:spacing w:lineRule="auto"/>
      </w:pPr>
      <w:r>
        <w:rPr/>
        <w:t xml:space="preserve">1. “合约侦探”——合同收入确认审计证据链</w:t>
      </w:r>
    </w:p>
    <w:p>
      <w:pPr>
        <w:spacing w:lineRule="auto"/>
      </w:pPr>
      <w:r>
        <w:rPr>
          <w:b/>
        </w:rPr>
        <w:t xml:space="preserve">想解决的问题：</w:t>
      </w:r>
      <w:r>
        <w:rPr/>
        <w:t xml:space="preserve"> 合同条款、发货验收、开票回款和会计入账分散在不同材料中，人工核对容易遗漏提前确认收入、跨期确认、金额不一致或证据不足等问题。</w:t>
      </w:r>
    </w:p>
    <w:p>
      <w:pPr>
        <w:spacing w:lineRule="auto"/>
      </w:pPr>
      <w:r>
        <w:rPr>
          <w:b/>
        </w:rPr>
        <w:t xml:space="preserve">拟实现的功能：</w:t>
      </w:r>
      <w:r>
        <w:rPr/>
        <w:t xml:space="preserve"> 系统读取销售合同、出库单、验收单、发票、收入明细和回款记录，提取收入确认条件，建立完整业务时间线，再与企业实际入账时间和金额进行比对。第二个智能体专门复核日期、金额和引用是否正确，最后输出异常证据链及下一步审计核查任务卡。</w:t>
      </w:r>
    </w:p>
    <w:p>
      <w:pPr>
        <w:spacing w:lineRule="auto"/>
      </w:pPr>
      <w:r>
        <w:rPr>
          <w:b/>
        </w:rPr>
        <w:t xml:space="preserve">主要亮点：</w:t>
      </w:r>
      <w:r>
        <w:rPr/>
        <w:t xml:space="preserve"> 把“合同条款—业务过程—会计处理—原始证据—审计程序”连成完整闭环。现场可以设置“12月确认收入、次年1月才验收”等案例，结果直观，也容易统计识别准确率和证据完整率。</w:t>
      </w:r>
    </w:p>
    <w:p>
      <w:pPr>
        <w:spacing w:lineRule="auto"/>
      </w:pPr>
      <w:r>
        <w:rPr>
          <w:b/>
        </w:rPr>
        <w:t xml:space="preserve">主要难点：</w:t>
      </w:r>
      <w:r>
        <w:rPr/>
        <w:t xml:space="preserve"> 合同条款差异较大，原型需要先限定一种典型销售业务；系统只能提示审计风险，不能直接替代专业判断。</w:t>
      </w:r>
    </w:p>
    <w:p>
      <w:pPr>
        <w:pStyle w:val="Heading3"/>
        <w:spacing w:lineRule="auto"/>
      </w:pPr>
      <w:r>
        <w:rPr/>
        <w:t xml:space="preserve">2. “库存解冻”——库存积压、减值与采购决策智能体</w:t>
      </w:r>
    </w:p>
    <w:p>
      <w:pPr>
        <w:spacing w:lineRule="auto"/>
      </w:pPr>
      <w:r>
        <w:rPr>
          <w:b/>
        </w:rPr>
        <w:t xml:space="preserve">想解决的问题：</w:t>
      </w:r>
      <w:r>
        <w:rPr/>
        <w:t xml:space="preserve"> 企业账面上的库存可能已经滞销、长期占用现金甚至出现减值迹象，但传统分析往往只看库存金额或周转率，难以直接形成经营决策。</w:t>
      </w:r>
    </w:p>
    <w:p>
      <w:pPr>
        <w:spacing w:lineRule="auto"/>
      </w:pPr>
      <w:r>
        <w:rPr>
          <w:b/>
        </w:rPr>
        <w:t xml:space="preserve">拟实现的功能：</w:t>
      </w:r>
      <w:r>
        <w:rPr/>
        <w:t xml:space="preserve"> 读取库存数量、库龄、销量、采购价、售价和退货等数据，识别滞销商品和潜在减值风险，比较停止采购、降价、清仓和调拨等方案，并测算每种方案预计释放的现金及可能损失的毛利。</w:t>
      </w:r>
    </w:p>
    <w:p>
      <w:pPr>
        <w:spacing w:lineRule="auto"/>
      </w:pPr>
      <w:r>
        <w:rPr>
          <w:b/>
        </w:rPr>
        <w:t xml:space="preserve">主要亮点：</w:t>
      </w:r>
      <w:r>
        <w:rPr/>
        <w:t xml:space="preserve"> 将销量、毛利、周转、现金占用和存货减值放到同一个决策框架中。现场可让评委调整未来销量或采购价格，系统立即重新计算建议；还可以用前期数据提出方案，再用后期销售数据进行回测。</w:t>
      </w:r>
    </w:p>
    <w:p>
      <w:pPr>
        <w:spacing w:lineRule="auto"/>
      </w:pPr>
      <w:r>
        <w:rPr>
          <w:b/>
        </w:rPr>
        <w:t xml:space="preserve">主要难点：</w:t>
      </w:r>
      <w:r>
        <w:rPr/>
        <w:t xml:space="preserve"> 预测容易受到季节性、保质期和最低采购量等因素影响，建议先限定一个零售或小型制造场景。</w:t>
      </w:r>
    </w:p>
    <w:p>
      <w:pPr>
        <w:pStyle w:val="Heading3"/>
        <w:spacing w:lineRule="auto"/>
      </w:pPr>
      <w:r>
        <w:rPr/>
        <w:t xml:space="preserve">3. “税务雷达”——基于多源数据比对的税务风险智能预警智能体</w:t>
      </w:r>
    </w:p>
    <w:p>
      <w:pPr>
        <w:spacing w:lineRule="auto"/>
      </w:pPr>
      <w:r>
        <w:rPr>
          <w:b/>
        </w:rPr>
        <w:t xml:space="preserve">想解决的问题：</w:t>
      </w:r>
      <w:r>
        <w:rPr/>
        <w:t xml:space="preserve"> 企业的发票、账簿、纳税申报和业务记录分别存放，单看某一种材料不容易发现收入申报不一致、进销项异常或税会口径差异等风险。</w:t>
      </w:r>
    </w:p>
    <w:p>
      <w:pPr>
        <w:spacing w:lineRule="auto"/>
      </w:pPr>
      <w:r>
        <w:rPr>
          <w:b/>
        </w:rPr>
        <w:t xml:space="preserve">拟实现的功能：</w:t>
      </w:r>
      <w:r>
        <w:rPr/>
        <w:t xml:space="preserve"> 初步考虑比对发票、销售采购明细、会计账簿、纳税申报表和适用政策，将发现的差异整理成“风险事项—数据证据—政策依据—建议核查步骤”的结构化清单，并由复核智能体拦截缺少依据的判断。</w:t>
      </w:r>
    </w:p>
    <w:p>
      <w:pPr>
        <w:spacing w:lineRule="auto"/>
      </w:pPr>
      <w:r>
        <w:rPr>
          <w:b/>
        </w:rPr>
        <w:t xml:space="preserve">主要亮点：</w:t>
      </w:r>
      <w:r>
        <w:rPr/>
        <w:t xml:space="preserve"> 不做普通的税法问答，而是通过多来源数据之间的勾稽关系主动发现风险，并让每条提示都能追溯到原始数据和政策依据。</w:t>
      </w:r>
    </w:p>
    <w:p>
      <w:pPr>
        <w:spacing w:lineRule="auto"/>
      </w:pPr>
      <w:r>
        <w:rPr>
          <w:b/>
        </w:rPr>
        <w:t xml:space="preserve">主要难点：</w:t>
      </w:r>
      <w:r>
        <w:rPr/>
        <w:t xml:space="preserve"> 该题目前只有队员提出的方向，尚未完成详细论证；真实税务数据较难取得，政策时效性和专业表述风险较高。若保留，建议先限定一个行业和一个税种，以脱敏或模拟案例完成原型。</w:t>
      </w:r>
    </w:p>
    <w:p>
      <w:pPr>
        <w:pStyle w:val="Heading3"/>
        <w:spacing w:lineRule="auto"/>
      </w:pPr>
      <w:r>
        <w:rPr/>
        <w:t xml:space="preserve">4. 上市公司“财务舞弊与造假”主动刺探智能体</w:t>
      </w:r>
    </w:p>
    <w:p>
      <w:pPr>
        <w:spacing w:lineRule="auto"/>
      </w:pPr>
      <w:r>
        <w:rPr>
          <w:b/>
        </w:rPr>
        <w:t xml:space="preserve">想解决的问题：</w:t>
      </w:r>
      <w:r>
        <w:rPr/>
        <w:t xml:space="preserve"> 传统舞弊识别多依赖固定财务指标，面对管理层对异常情况的合理化解释时，难以继续追问并发现其中的证据矛盾。</w:t>
      </w:r>
    </w:p>
    <w:p>
      <w:pPr>
        <w:spacing w:lineRule="auto"/>
      </w:pPr>
      <w:r>
        <w:rPr>
          <w:b/>
        </w:rPr>
        <w:t xml:space="preserve">拟实现的功能：</w:t>
      </w:r>
      <w:r>
        <w:rPr/>
        <w:t xml:space="preserve"> “质疑智能体”从年报、附注和财务指标中提出舞弊风险假设；“管理层辩护智能体”结合行业和公开披露进行解释；“审计裁判智能体”比较双方证据，指出解释漏洞，形成风险评分、舞弊线索树和追加审计程序。</w:t>
      </w:r>
    </w:p>
    <w:p>
      <w:pPr>
        <w:spacing w:lineRule="auto"/>
      </w:pPr>
      <w:r>
        <w:rPr>
          <w:b/>
        </w:rPr>
        <w:t xml:space="preserve">主要亮点：</w:t>
      </w:r>
      <w:r>
        <w:rPr/>
        <w:t xml:space="preserve"> 将审计中的职业怀疑转化为可展示的多智能体对抗辩论，避免单个AI只给出单方面结论。可以选择已有监管问询的上市公司，用当期年报进行回测。</w:t>
      </w:r>
    </w:p>
    <w:p>
      <w:pPr>
        <w:spacing w:lineRule="auto"/>
      </w:pPr>
      <w:r>
        <w:rPr>
          <w:b/>
        </w:rPr>
        <w:t xml:space="preserve">主要难点：</w:t>
      </w:r>
      <w:r>
        <w:rPr/>
        <w:t xml:space="preserve"> 范围很容易过大，模型也可能产生没有证据的指控。原型建议只选1—2家公司及存货、应收、现金流等少数科目，并明确输出的是“风险线索”，不是舞弊认定。</w:t>
      </w:r>
    </w:p>
    <w:p>
      <w:pPr>
        <w:pStyle w:val="Heading3"/>
        <w:spacing w:lineRule="auto"/>
      </w:pPr>
      <w:r>
        <w:rPr/>
        <w:t xml:space="preserve">5. 跨期跨准则智能转换、差异溯源与科研比对智能体</w:t>
      </w:r>
    </w:p>
    <w:p>
      <w:pPr>
        <w:spacing w:lineRule="auto"/>
      </w:pPr>
      <w:r>
        <w:rPr>
          <w:b/>
        </w:rPr>
        <w:t xml:space="preserve">想解决的问题：</w:t>
      </w:r>
      <w:r>
        <w:rPr/>
        <w:t xml:space="preserve"> CAS、IFRS和US GAAP在收入、租赁、研发支出等事项上存在差异，人工查找不同准则及版本、整理依据和编制转换底稿的工作量较大。</w:t>
      </w:r>
    </w:p>
    <w:p>
      <w:pPr>
        <w:spacing w:lineRule="auto"/>
      </w:pPr>
      <w:r>
        <w:rPr>
          <w:b/>
        </w:rPr>
        <w:t xml:space="preserve">拟实现的功能：</w:t>
      </w:r>
      <w:r>
        <w:rPr/>
        <w:t xml:space="preserve"> 不同准则专家智能体分别检索对应条款，对具体业务的确认、计量、列报和披露要求进行比较，提出调整分录建议，再互相复核条款和判断逻辑，最终输出准则对照表、差异来源及调整底稿。</w:t>
      </w:r>
    </w:p>
    <w:p>
      <w:pPr>
        <w:spacing w:lineRule="auto"/>
      </w:pPr>
      <w:r>
        <w:rPr>
          <w:b/>
        </w:rPr>
        <w:t xml:space="preserve">主要亮点：</w:t>
      </w:r>
      <w:r>
        <w:rPr/>
        <w:t xml:space="preserve"> 不只回答“有什么不同”，还要说明“差异来自哪一条、适用哪个版本、应如何调整”，体现较强的会计专业深度和科研价值。</w:t>
      </w:r>
    </w:p>
    <w:p>
      <w:pPr>
        <w:spacing w:lineRule="auto"/>
      </w:pPr>
      <w:r>
        <w:rPr>
          <w:b/>
        </w:rPr>
        <w:t xml:space="preserve">主要难点：</w:t>
      </w:r>
      <w:r>
        <w:rPr/>
        <w:t xml:space="preserve"> 三套准则和历年版本范围过大。原型建议以CAS与IFRS为主，只选收入、租赁或研发支出中的1—2个专题，再增加一个US GAAP对比案例。</w:t>
      </w:r>
    </w:p>
    <w:p>
      <w:pPr>
        <w:pStyle w:val="Heading3"/>
        <w:spacing w:lineRule="auto"/>
      </w:pPr>
      <w:r>
        <w:rPr/>
        <w:t xml:space="preserve">6. “碳账验真”——财务账、能源账和碳排账三账联审</w:t>
      </w:r>
    </w:p>
    <w:p>
      <w:pPr>
        <w:spacing w:lineRule="auto"/>
      </w:pPr>
      <w:r>
        <w:rPr>
          <w:b/>
        </w:rPr>
        <w:t xml:space="preserve">想解决的问题：</w:t>
      </w:r>
      <w:r>
        <w:rPr/>
        <w:t xml:space="preserve"> 企业的财务数据、能源消耗和碳排放信息分别披露，可能出现产量、能源成本上升，但披露碳排放反而明显下降等难以解释的矛盾。</w:t>
      </w:r>
    </w:p>
    <w:p>
      <w:pPr>
        <w:spacing w:lineRule="auto"/>
      </w:pPr>
      <w:r>
        <w:rPr>
          <w:b/>
        </w:rPr>
        <w:t xml:space="preserve">拟实现的功能：</w:t>
      </w:r>
      <w:r>
        <w:rPr/>
        <w:t xml:space="preserve"> 读取年报、可持续发展报告、产量、能源消耗、碳排放和环保异常信息，统一数据口径后进行趋势和勾稽关系比对，找出冲突并给出追加核查事项。</w:t>
      </w:r>
    </w:p>
    <w:p>
      <w:pPr>
        <w:spacing w:lineRule="auto"/>
      </w:pPr>
      <w:r>
        <w:rPr>
          <w:b/>
        </w:rPr>
        <w:t xml:space="preserve">主要亮点：</w:t>
      </w:r>
      <w:r>
        <w:rPr/>
        <w:t xml:space="preserve"> 将传统财务核验延伸到能源和碳排放领域，用“三账联审”发现单独阅读某一份报告难以发现的问题，创新性和现场展示效果较强。</w:t>
      </w:r>
    </w:p>
    <w:p>
      <w:pPr>
        <w:spacing w:lineRule="auto"/>
      </w:pPr>
      <w:r>
        <w:rPr>
          <w:b/>
        </w:rPr>
        <w:t xml:space="preserve">主要难点：</w:t>
      </w:r>
      <w:r>
        <w:rPr/>
        <w:t xml:space="preserve"> 碳核算学习成本高，不同行业的核算边界和排放口径不同。若选择该题，建议只限定一个行业和一种主要能源，输出异常线索而不是直接认定企业披露造假。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2026-07-14T07:02:12.054Z</dcterms:created>
  <dcterms:modified xsi:type="dcterms:W3CDTF">2026-07-14T07:02:12.054Z</dcterms:modified>
</cp:coreProperties>
</file>