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keepNext/>
        <w:spacing w:before="0" w:after="280"/>
        <w:jc w:val="center"/>
      </w:pPr>
      <w:r>
        <w:rPr>
          <w:rFonts w:ascii="Calibri" w:hAnsi="Calibri" w:eastAsia="Microsoft YaHei"/>
          <w:b/>
          <w:color w:val="B47A00"/>
          <w:sz w:val="19"/>
        </w:rPr>
        <w:t>2026 数智会计创新应用竞赛</w:t>
      </w:r>
    </w:p>
    <w:p>
      <w:pPr>
        <w:keepNext/>
        <w:spacing w:before="0" w:after="160"/>
        <w:jc w:val="center"/>
      </w:pPr>
      <w:r>
        <w:rPr>
          <w:rFonts w:ascii="Calibri" w:hAnsi="Calibri" w:eastAsia="Microsoft YaHei"/>
          <w:b/>
          <w:color w:val="0B2545"/>
          <w:sz w:val="60"/>
        </w:rPr>
        <w:t>审迹智链（AuditTrace）</w:t>
      </w:r>
    </w:p>
    <w:p>
      <w:pPr>
        <w:keepNext/>
        <w:spacing w:before="0" w:after="480"/>
        <w:jc w:val="center"/>
      </w:pPr>
      <w:r>
        <w:rPr>
          <w:rFonts w:ascii="Calibri" w:hAnsi="Calibri" w:eastAsia="Microsoft YaHei"/>
          <w:color w:val="1F4D78"/>
          <w:sz w:val="30"/>
        </w:rPr>
        <w:t>基于监管问询时序RAG与多智能体协作的</w:t>
        <w:br/>
        <w:t>上市公司年报重大错报风险识别及审计程序生成系统</w:t>
      </w:r>
    </w:p>
    <w:p>
      <w:pPr>
        <w:pStyle w:val="Metadata"/>
        <w:spacing w:before="40" w:after="40"/>
        <w:ind w:left="259" w:right="259"/>
        <w:shd w:fill="F4F6F9"/>
      </w:pPr>
      <w:r>
        <w:rPr>
          <w:rFonts w:ascii="Calibri" w:hAnsi="Calibri" w:eastAsia="Microsoft YaHei"/>
          <w:b/>
          <w:color w:val="1F4D78"/>
          <w:sz w:val="19"/>
        </w:rPr>
        <w:t>参赛方向：</w:t>
      </w:r>
      <w:r>
        <w:rPr>
          <w:rFonts w:ascii="Calibri" w:hAnsi="Calibri" w:eastAsia="Microsoft YaHei"/>
          <w:color w:val="111827"/>
          <w:sz w:val="19"/>
        </w:rPr>
        <w:t>智能审计赛道</w:t>
      </w:r>
    </w:p>
    <w:p>
      <w:pPr>
        <w:pStyle w:val="Metadata"/>
        <w:spacing w:before="0" w:after="40"/>
        <w:ind w:left="259" w:right="259"/>
        <w:shd w:fill="F4F6F9"/>
      </w:pPr>
      <w:r>
        <w:rPr>
          <w:rFonts w:ascii="Calibri" w:hAnsi="Calibri" w:eastAsia="Microsoft YaHei"/>
          <w:b/>
          <w:color w:val="1F4D78"/>
          <w:sz w:val="19"/>
        </w:rPr>
        <w:t>文档用途：</w:t>
      </w:r>
      <w:r>
        <w:rPr>
          <w:rFonts w:ascii="Calibri" w:hAnsi="Calibri" w:eastAsia="Microsoft YaHei"/>
          <w:color w:val="111827"/>
          <w:sz w:val="19"/>
        </w:rPr>
        <w:t>指导教师审阅与方向确认</w:t>
      </w:r>
    </w:p>
    <w:p>
      <w:pPr>
        <w:pStyle w:val="Metadata"/>
        <w:spacing w:before="0" w:after="40"/>
        <w:ind w:left="259" w:right="259"/>
        <w:shd w:fill="F4F6F9"/>
      </w:pPr>
      <w:r>
        <w:rPr>
          <w:rFonts w:ascii="Calibri" w:hAnsi="Calibri" w:eastAsia="Microsoft YaHei"/>
          <w:b/>
          <w:color w:val="1F4D78"/>
          <w:sz w:val="19"/>
        </w:rPr>
        <w:t>团队规模：</w:t>
      </w:r>
      <w:r>
        <w:rPr>
          <w:rFonts w:ascii="Calibri" w:hAnsi="Calibri" w:eastAsia="Microsoft YaHei"/>
          <w:color w:val="111827"/>
          <w:sz w:val="19"/>
        </w:rPr>
        <w:t>4人（队员姓名待补）</w:t>
      </w:r>
    </w:p>
    <w:p>
      <w:pPr>
        <w:pStyle w:val="Metadata"/>
        <w:spacing w:before="0" w:after="40"/>
        <w:ind w:left="259" w:right="259"/>
        <w:shd w:fill="F4F6F9"/>
      </w:pPr>
      <w:r>
        <w:rPr>
          <w:rFonts w:ascii="Calibri" w:hAnsi="Calibri" w:eastAsia="Microsoft YaHei"/>
          <w:b/>
          <w:color w:val="1F4D78"/>
          <w:sz w:val="19"/>
        </w:rPr>
        <w:t>队长：</w:t>
      </w:r>
      <w:r>
        <w:rPr>
          <w:rFonts w:ascii="Calibri" w:hAnsi="Calibri" w:eastAsia="Microsoft YaHei"/>
          <w:color w:val="111827"/>
          <w:sz w:val="19"/>
        </w:rPr>
        <w:t>张宏博</w:t>
      </w:r>
    </w:p>
    <w:p>
      <w:pPr>
        <w:pStyle w:val="Metadata"/>
        <w:spacing w:before="0" w:after="40"/>
        <w:ind w:left="259" w:right="259"/>
        <w:shd w:fill="F4F6F9"/>
      </w:pPr>
      <w:r>
        <w:rPr>
          <w:rFonts w:ascii="Calibri" w:hAnsi="Calibri" w:eastAsia="Microsoft YaHei"/>
          <w:b/>
          <w:color w:val="1F4D78"/>
          <w:sz w:val="19"/>
        </w:rPr>
        <w:t>拟指导教师：</w:t>
      </w:r>
      <w:r>
        <w:rPr>
          <w:rFonts w:ascii="Calibri" w:hAnsi="Calibri" w:eastAsia="Microsoft YaHei"/>
          <w:color w:val="111827"/>
          <w:sz w:val="19"/>
        </w:rPr>
        <w:t>姓名待补</w:t>
      </w:r>
    </w:p>
    <w:p>
      <w:pPr>
        <w:pStyle w:val="Metadata"/>
        <w:spacing w:before="0" w:after="40"/>
        <w:ind w:left="259" w:right="259"/>
        <w:shd w:fill="F4F6F9"/>
      </w:pPr>
      <w:r>
        <w:rPr>
          <w:rFonts w:ascii="Calibri" w:hAnsi="Calibri" w:eastAsia="Microsoft YaHei"/>
          <w:b/>
          <w:color w:val="1F4D78"/>
          <w:sz w:val="19"/>
        </w:rPr>
        <w:t>版本日期：</w:t>
      </w:r>
      <w:r>
        <w:rPr>
          <w:rFonts w:ascii="Calibri" w:hAnsi="Calibri" w:eastAsia="Microsoft YaHei"/>
          <w:color w:val="111827"/>
          <w:sz w:val="19"/>
        </w:rPr>
        <w:t>V1.0 · 2026年7月13日</w:t>
      </w:r>
    </w:p>
    <w:p>
      <w:pPr>
        <w:spacing w:after="40"/>
      </w:pPr>
    </w:p>
    <w:p>
      <w:pPr>
        <w:spacing w:before="480" w:after="0"/>
        <w:jc w:val="center"/>
      </w:pPr>
      <w:r>
        <w:rPr>
          <w:rFonts w:ascii="Calibri" w:hAnsi="Calibri" w:eastAsia="Microsoft YaHei"/>
          <w:b/>
          <w:color w:val="1F4D78"/>
          <w:sz w:val="21"/>
        </w:rPr>
        <w:t>定位：审计风险识别与程序设计辅助工具，不作财务造假自动定性</w:t>
      </w:r>
    </w:p>
    <w:p>
      <w:r>
        <w:br w:type="page"/>
      </w:r>
    </w:p>
    <w:p>
      <w:pPr>
        <w:pStyle w:val="Heading1"/>
        <w:keepNext/>
      </w:pPr>
      <w:r>
        <w:t>一、方案摘要</w:t>
      </w:r>
    </w:p>
    <w:p>
      <w:pPr>
        <w:keepLines/>
        <w:spacing w:before="80" w:after="160" w:line="283" w:lineRule="auto"/>
        <w:ind w:left="115" w:right="115"/>
        <w:shd w:fill="E8EEF5"/>
        <w:pBdr>
          <w:top w:val="single" w:sz="5" w:space="4" w:color="D5DCE5"/>
          <w:left w:val="single" w:sz="5" w:space="4" w:color="D5DCE5"/>
          <w:bottom w:val="single" w:sz="5" w:space="4" w:color="D5DCE5"/>
          <w:right w:val="single" w:sz="5" w:space="4" w:color="D5DCE5"/>
        </w:pBdr>
      </w:pPr>
      <w:r>
        <w:rPr>
          <w:rFonts w:ascii="Calibri" w:hAnsi="Calibri" w:eastAsia="Microsoft YaHei"/>
          <w:b/>
          <w:color w:val="1F4D78"/>
          <w:sz w:val="21"/>
        </w:rPr>
        <w:t>核心方案：</w:t>
      </w:r>
      <w:r>
        <w:rPr>
          <w:rFonts w:ascii="Calibri" w:hAnsi="Calibri" w:eastAsia="Microsoft YaHei"/>
          <w:color w:val="111827"/>
          <w:sz w:val="21"/>
        </w:rPr>
        <w:t>上传一份上市公司年报后，系统结合财务指标、报表勾稽、监管案例和审计准则，通过多智能体正反论证，输出带原文页码、计算过程、相似案例、管理层认定和建议审计程序的可追溯风险报告。</w:t>
      </w:r>
    </w:p>
    <w:p>
      <w:pPr/>
      <w:r>
        <w:rPr>
          <w:rFonts w:ascii="Calibri" w:hAnsi="Calibri" w:eastAsia="Microsoft YaHei"/>
          <w:i w:val="0"/>
          <w:color w:val="111827"/>
        </w:rPr>
        <w:t>本项目拟参加2026年北京市大学生数智会计创新应用竞赛智能审计赛道。项目重点不是替代注册会计师形成审计意见，也不直接判定企业是否造假，而是帮助审计人员、内审人员及高校师生更快发现重大错报风险线索、整理支持与反向证据，并形成进一步审计程序建议。</w:t>
      </w:r>
    </w:p>
    <w:p>
      <w:pPr/>
      <w:r>
        <w:rPr>
          <w:rFonts w:ascii="Calibri" w:hAnsi="Calibri" w:eastAsia="Microsoft YaHei"/>
          <w:i w:val="0"/>
          <w:color w:val="111827"/>
        </w:rPr>
        <w:t>首版原型优先完成端到端闭环，拟限定1—2个行业，重点覆盖收入、应收账款、存货、毛利率和经营现金流等高频领域；其他行业和风险作为后续扩展。</w:t>
      </w:r>
    </w:p>
    <w:p>
      <w:pPr>
        <w:pStyle w:val="Heading1"/>
        <w:keepNext/>
      </w:pPr>
      <w:r>
        <w:t>二、项目背景与问题定义</w:t>
      </w:r>
    </w:p>
    <w:p>
      <w:pPr/>
      <w:r>
        <w:rPr>
          <w:rFonts w:ascii="Calibri" w:hAnsi="Calibri" w:eastAsia="Microsoft YaHei"/>
          <w:i w:val="0"/>
          <w:color w:val="111827"/>
        </w:rPr>
        <w:t>上市公司年报篇幅长、附注复杂，人工逐项阅读和执行传统财务分析耗时较多，异常线索也容易因经验差异而被遗漏。与此同时，通用大模型直接分析年报时，可能出现引用不准确、依据不透明、忽略正常商业解释或把经营异常直接等同于财务造假等问题。</w:t>
      </w:r>
    </w:p>
    <w:p>
      <w:pPr/>
      <w:r>
        <w:rPr>
          <w:rFonts w:ascii="Calibri" w:hAnsi="Calibri" w:eastAsia="Microsoft YaHei"/>
          <w:i w:val="0"/>
          <w:color w:val="111827"/>
        </w:rPr>
        <w:t>证券交易所公开的年报问询函和证监会行政处罚决定，保留了大量“异常信号—监管追问—事实认定”的真实案例；审计准则则规定了风险识别、管理层认定和进一步审计程序的专业框架。项目希望把这些分散资料转换为可检索、可比较、可回测的证据体系。</w:t>
      </w:r>
    </w:p>
    <w:p>
      <w:pPr>
        <w:pStyle w:val="Heading2"/>
        <w:keepNext/>
      </w:pPr>
      <w:r>
        <w:t>拟解决的五个问题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年报内容多、附注复杂，人工定位异常项目效率较低。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财务比率只能提示数值异常，难以直接说明对应的审计风险和认定。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通用大模型容易缺少原文页码、数据计算、监管案例和准则依据。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现有工具往往停留在风险提示层面，没有继续生成可执行审计程序。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模型容易忽略正常商业解释，需要引入正反论证和证据裁判机制。</w:t>
      </w:r>
    </w:p>
    <w:p>
      <w:pPr>
        <w:pStyle w:val="Heading1"/>
        <w:keepNext/>
      </w:pPr>
      <w:r>
        <w:t>三、项目目标与范围边界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支持上传上市公司年度报告PDF，提取主要报表、附注、关键会计政策和经营信息。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执行重点财务指标分析、跨期变化分析和报表与附注勾稽检查。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检索相似监管问询、正式处罚案例和相关审计准则。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通过管理层解释、职业怀疑和证据裁判等智能体降低片面判断。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将风险映射到报表项目、管理层认定，以及审计程序的性质、时间和范围。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以网页风险矩阵、结构化JSON、表格和PDF报告形式输出。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通过历史样本回测、基线对比和消融实验量化评价系统效果。</w:t>
      </w:r>
    </w:p>
    <w:p>
      <w:pPr>
        <w:keepLines/>
        <w:spacing w:before="80" w:after="160" w:line="283" w:lineRule="auto"/>
        <w:ind w:left="115" w:right="115"/>
        <w:shd w:fill="FFF8E8"/>
        <w:pBdr>
          <w:top w:val="single" w:sz="5" w:space="4" w:color="D5DCE5"/>
          <w:left w:val="single" w:sz="5" w:space="4" w:color="D5DCE5"/>
          <w:bottom w:val="single" w:sz="5" w:space="4" w:color="D5DCE5"/>
          <w:right w:val="single" w:sz="5" w:space="4" w:color="D5DCE5"/>
        </w:pBdr>
      </w:pPr>
      <w:r>
        <w:rPr>
          <w:rFonts w:ascii="Calibri" w:hAnsi="Calibri" w:eastAsia="Microsoft YaHei"/>
          <w:b/>
          <w:color w:val="B47A00"/>
          <w:sz w:val="21"/>
        </w:rPr>
        <w:t>明确边界：</w:t>
      </w:r>
      <w:r>
        <w:rPr>
          <w:rFonts w:ascii="Calibri" w:hAnsi="Calibri" w:eastAsia="Microsoft YaHei"/>
          <w:color w:val="111827"/>
          <w:sz w:val="21"/>
        </w:rPr>
        <w:t>系统只输出“重大错报风险信号”“证据充分程度”和“需进一步审计验证事项”，不对未被监管机构正式认定的企业作负面定性，也不构成专业审计意见或投资建议。</w:t>
      </w:r>
    </w:p>
    <w:p>
      <w:pPr>
        <w:pStyle w:val="Heading1"/>
        <w:keepNext/>
      </w:pPr>
      <w:r>
        <w:t>四、目标用户与典型场景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会计师事务所审计项目组：在风险评估和审计计划阶段快速形成风险初筛。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企业内部审计及财务监督人员：检查财务报告中的异常变动与披露一致性。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高校会计审计教师与学生：学习风险—认定—证据—程序的专业闭环。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研究人员：在合规范围内开展年报风险模式和监管问询研究。</w:t>
      </w:r>
    </w:p>
    <w:p>
      <w:pPr/>
      <w:r>
        <w:rPr>
          <w:rFonts w:ascii="Calibri" w:hAnsi="Calibri" w:eastAsia="Microsoft YaHei"/>
          <w:i w:val="0"/>
          <w:color w:val="111827"/>
        </w:rPr>
        <w:t>典型演示将选择已存在正式监管结论的历史案例：现场上传当年年报，系统在不读取未来处罚结论的条件下生成风险清单，再与后续问询或处罚事项进行回测对比。另准备已缓存案例和备用录屏，降低现场网络风险。</w:t>
      </w:r>
    </w:p>
    <w:p>
      <w:pPr>
        <w:pStyle w:val="Heading1"/>
        <w:keepNext/>
      </w:pPr>
      <w:r>
        <w:t>五、总体业务流程</w:t>
      </w:r>
    </w:p>
    <w:p>
      <w:pPr>
        <w:spacing w:before="0"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年报导入：</w:t>
      </w:r>
      <w:r>
        <w:rPr>
          <w:rFonts w:ascii="Calibri" w:hAnsi="Calibri" w:eastAsia="Microsoft YaHei"/>
        </w:rPr>
        <w:t>上传目标公司年度报告PDF。</w:t>
      </w:r>
    </w:p>
    <w:p>
      <w:pPr>
        <w:spacing w:before="0"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文档解析：</w:t>
      </w:r>
      <w:r>
        <w:rPr>
          <w:rFonts w:ascii="Calibri" w:hAnsi="Calibri" w:eastAsia="Microsoft YaHei"/>
        </w:rPr>
        <w:t>提取报表、附注、关键政策和经营信息，并标准化数据。</w:t>
      </w:r>
    </w:p>
    <w:p>
      <w:pPr>
        <w:spacing w:before="0"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异常识别：</w:t>
      </w:r>
      <w:r>
        <w:rPr>
          <w:rFonts w:ascii="Calibri" w:hAnsi="Calibri" w:eastAsia="Microsoft YaHei"/>
        </w:rPr>
        <w:t>执行财务指标、跨期变化和跨表勾稽检查。</w:t>
      </w:r>
    </w:p>
    <w:p>
      <w:pPr>
        <w:spacing w:before="0"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知识检索：</w:t>
      </w:r>
      <w:r>
        <w:rPr>
          <w:rFonts w:ascii="Calibri" w:hAnsi="Calibri" w:eastAsia="Microsoft YaHei"/>
        </w:rPr>
        <w:t>检索监管问询函、处罚案例和审计准则。</w:t>
      </w:r>
    </w:p>
    <w:p>
      <w:pPr>
        <w:spacing w:before="0"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正反论证：</w:t>
      </w:r>
      <w:r>
        <w:rPr>
          <w:rFonts w:ascii="Calibri" w:hAnsi="Calibri" w:eastAsia="Microsoft YaHei"/>
        </w:rPr>
        <w:t>分别形成风险观点、正常商业解释和职业怀疑式反驳。</w:t>
      </w:r>
    </w:p>
    <w:p>
      <w:pPr>
        <w:spacing w:before="0"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证据裁判：</w:t>
      </w:r>
      <w:r>
        <w:rPr>
          <w:rFonts w:ascii="Calibri" w:hAnsi="Calibri" w:eastAsia="Microsoft YaHei"/>
        </w:rPr>
        <w:t>根据来源可靠性、相关性和相互印证程度形成风险等级。</w:t>
      </w:r>
    </w:p>
    <w:p>
      <w:pPr>
        <w:spacing w:before="0"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程序生成：</w:t>
      </w:r>
      <w:r>
        <w:rPr>
          <w:rFonts w:ascii="Calibri" w:hAnsi="Calibri" w:eastAsia="Microsoft YaHei"/>
        </w:rPr>
        <w:t>映射管理层认定，生成审计程序的性质、时间和范围建议。</w:t>
      </w:r>
    </w:p>
    <w:p>
      <w:pPr>
        <w:spacing w:before="0" w:after="80" w:line="290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结构化输出：</w:t>
      </w:r>
      <w:r>
        <w:rPr>
          <w:rFonts w:ascii="Calibri" w:hAnsi="Calibri" w:eastAsia="Microsoft YaHei"/>
        </w:rPr>
        <w:t>展示网页风险矩阵，并导出JSON、表格和PDF报告。</w:t>
      </w:r>
    </w:p>
    <w:p>
      <w:pPr>
        <w:pStyle w:val="Heading2"/>
        <w:keepNext/>
      </w:pPr>
      <w:r>
        <w:t>单条风险输出字段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报表项目、管理层认定、风险描述、风险等级和置信度；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年报原文、页码、相关数字、指标计算或勾稽过程；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相似监管案例、准则依据及材料发布日期；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可能的正常商业解释、反向证据和证据不足提示；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建议审计程序及人工复核事项；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“AI生成、仅用于风险识别辅助，不构成专业审计结论”声明。</w:t>
      </w:r>
    </w:p>
    <w:p>
      <w:pPr>
        <w:pStyle w:val="Heading1"/>
        <w:keepNext/>
      </w:pPr>
      <w:r>
        <w:t>六、多智能体架构</w:t>
      </w:r>
    </w:p>
    <w:p>
      <w:pPr/>
      <w:r>
        <w:rPr>
          <w:rFonts w:ascii="Calibri" w:hAnsi="Calibri" w:eastAsia="Microsoft YaHei"/>
          <w:i w:val="0"/>
          <w:color w:val="111827"/>
        </w:rPr>
        <w:t>项目采用“统一协调、专业分工、证据裁判”的多智能体架构。每个智能体均设置明确输入、工具、结构化输出和交接字段，并保存运行日志，避免仅以多个角色名称包装单轮问答。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800"/>
        <w:gridCol w:w="2000"/>
        <w:gridCol w:w="3000"/>
        <w:gridCol w:w="2560"/>
      </w:tblGrid>
      <w:tr>
        <w:trPr>
          <w:cantSplit/>
          <w:tblHeader w:val="true"/>
        </w:trPr>
        <w:tc>
          <w:tcPr>
            <w:tcW w:type="dxa" w:w="1800"/>
            <w:shd w:fill="1F4D78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模块/智能体</w:t>
            </w:r>
          </w:p>
        </w:tc>
        <w:tc>
          <w:tcPr>
            <w:tcW w:type="dxa" w:w="2000"/>
            <w:shd w:fill="1F4D78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核心输入</w:t>
            </w:r>
          </w:p>
        </w:tc>
        <w:tc>
          <w:tcPr>
            <w:tcW w:type="dxa" w:w="3000"/>
            <w:shd w:fill="1F4D78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主要职责</w:t>
            </w:r>
          </w:p>
        </w:tc>
        <w:tc>
          <w:tcPr>
            <w:tcW w:type="dxa" w:w="2560"/>
            <w:shd w:fill="1F4D78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结构化输出</w:t>
            </w:r>
          </w:p>
        </w:tc>
      </w:tr>
      <w:tr>
        <w:trPr>
          <w:cantSplit/>
        </w:trPr>
        <w:tc>
          <w:tcPr>
            <w:tcW w:type="dxa" w:w="18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协调智能体</w:t>
            </w:r>
          </w:p>
        </w:tc>
        <w:tc>
          <w:tcPr>
            <w:tcW w:type="dxa" w:w="20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任务配置、年报索引</w:t>
            </w:r>
          </w:p>
        </w:tc>
        <w:tc>
          <w:tcPr>
            <w:tcW w:type="dxa" w:w="30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拆分任务、调度模块、处理失败</w:t>
            </w:r>
          </w:p>
        </w:tc>
        <w:tc>
          <w:tcPr>
            <w:tcW w:type="dxa" w:w="25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任务状态与合并计划</w:t>
            </w:r>
          </w:p>
        </w:tc>
      </w:tr>
      <w:tr>
        <w:trPr>
          <w:cantSplit/>
        </w:trPr>
        <w:tc>
          <w:tcPr>
            <w:tcW w:type="dxa" w:w="18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财务指标异常</w:t>
            </w:r>
          </w:p>
        </w:tc>
        <w:tc>
          <w:tcPr>
            <w:tcW w:type="dxa" w:w="20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标准化报表数据</w:t>
            </w:r>
          </w:p>
        </w:tc>
        <w:tc>
          <w:tcPr>
            <w:tcW w:type="dxa" w:w="30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计算指标、跨期及行业异常</w:t>
            </w:r>
          </w:p>
        </w:tc>
        <w:tc>
          <w:tcPr>
            <w:tcW w:type="dxa" w:w="25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异常数值与计算式</w:t>
            </w:r>
          </w:p>
        </w:tc>
      </w:tr>
      <w:tr>
        <w:trPr>
          <w:cantSplit/>
        </w:trPr>
        <w:tc>
          <w:tcPr>
            <w:tcW w:type="dxa" w:w="18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报表勾稽</w:t>
            </w:r>
          </w:p>
        </w:tc>
        <w:tc>
          <w:tcPr>
            <w:tcW w:type="dxa" w:w="20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报表与附注数据</w:t>
            </w:r>
          </w:p>
        </w:tc>
        <w:tc>
          <w:tcPr>
            <w:tcW w:type="dxa" w:w="30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检查跨表、跨期和附注一致性</w:t>
            </w:r>
          </w:p>
        </w:tc>
        <w:tc>
          <w:tcPr>
            <w:tcW w:type="dxa" w:w="25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差异项与原文位置</w:t>
            </w:r>
          </w:p>
        </w:tc>
      </w:tr>
      <w:tr>
        <w:trPr>
          <w:cantSplit/>
        </w:trPr>
        <w:tc>
          <w:tcPr>
            <w:tcW w:type="dxa" w:w="18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监管案例检索</w:t>
            </w:r>
          </w:p>
        </w:tc>
        <w:tc>
          <w:tcPr>
            <w:tcW w:type="dxa" w:w="20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风险描述、时点</w:t>
            </w:r>
          </w:p>
        </w:tc>
        <w:tc>
          <w:tcPr>
            <w:tcW w:type="dxa" w:w="30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检索当时已公开的相似案例</w:t>
            </w:r>
          </w:p>
        </w:tc>
        <w:tc>
          <w:tcPr>
            <w:tcW w:type="dxa" w:w="25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案例证据与相似度</w:t>
            </w:r>
          </w:p>
        </w:tc>
      </w:tr>
      <w:tr>
        <w:trPr>
          <w:cantSplit/>
        </w:trPr>
        <w:tc>
          <w:tcPr>
            <w:tcW w:type="dxa" w:w="18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管理层解释</w:t>
            </w:r>
          </w:p>
        </w:tc>
        <w:tc>
          <w:tcPr>
            <w:tcW w:type="dxa" w:w="20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异常与业务背景</w:t>
            </w:r>
          </w:p>
        </w:tc>
        <w:tc>
          <w:tcPr>
            <w:tcW w:type="dxa" w:w="30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提出合理商业或会计解释</w:t>
            </w:r>
          </w:p>
        </w:tc>
        <w:tc>
          <w:tcPr>
            <w:tcW w:type="dxa" w:w="25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替代解释与所需证据</w:t>
            </w:r>
          </w:p>
        </w:tc>
      </w:tr>
      <w:tr>
        <w:trPr>
          <w:cantSplit/>
        </w:trPr>
        <w:tc>
          <w:tcPr>
            <w:tcW w:type="dxa" w:w="18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职业怀疑审计</w:t>
            </w:r>
          </w:p>
        </w:tc>
        <w:tc>
          <w:tcPr>
            <w:tcW w:type="dxa" w:w="20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解释与反向证据</w:t>
            </w:r>
          </w:p>
        </w:tc>
        <w:tc>
          <w:tcPr>
            <w:tcW w:type="dxa" w:w="30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质疑解释、识别未消除风险</w:t>
            </w:r>
          </w:p>
        </w:tc>
        <w:tc>
          <w:tcPr>
            <w:tcW w:type="dxa" w:w="25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反驳与待核实事项</w:t>
            </w:r>
          </w:p>
        </w:tc>
      </w:tr>
      <w:tr>
        <w:trPr>
          <w:cantSplit/>
        </w:trPr>
        <w:tc>
          <w:tcPr>
            <w:tcW w:type="dxa" w:w="18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证据裁判</w:t>
            </w:r>
          </w:p>
        </w:tc>
        <w:tc>
          <w:tcPr>
            <w:tcW w:type="dxa" w:w="20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正反观点、来源质量</w:t>
            </w:r>
          </w:p>
        </w:tc>
        <w:tc>
          <w:tcPr>
            <w:tcW w:type="dxa" w:w="30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评估证据相关性和充分性</w:t>
            </w:r>
          </w:p>
        </w:tc>
        <w:tc>
          <w:tcPr>
            <w:tcW w:type="dxa" w:w="25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风险等级与置信度</w:t>
            </w:r>
          </w:p>
        </w:tc>
      </w:tr>
      <w:tr>
        <w:trPr>
          <w:cantSplit/>
        </w:trPr>
        <w:tc>
          <w:tcPr>
            <w:tcW w:type="dxa" w:w="18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审计程序生成</w:t>
            </w:r>
          </w:p>
        </w:tc>
        <w:tc>
          <w:tcPr>
            <w:tcW w:type="dxa" w:w="20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风险、认定、证据缺口</w:t>
            </w:r>
          </w:p>
        </w:tc>
        <w:tc>
          <w:tcPr>
            <w:tcW w:type="dxa" w:w="30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生成性质、时间、范围建议</w:t>
            </w:r>
          </w:p>
        </w:tc>
        <w:tc>
          <w:tcPr>
            <w:tcW w:type="dxa" w:w="25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审计程序清单</w:t>
            </w:r>
          </w:p>
        </w:tc>
      </w:tr>
    </w:tbl>
    <w:p>
      <w:pPr>
        <w:spacing w:before="0" w:after="60" w:line="168" w:lineRule="auto"/>
      </w:pPr>
    </w:p>
    <w:p>
      <w:pPr>
        <w:pStyle w:val="Heading1"/>
        <w:keepNext/>
      </w:pPr>
      <w:r>
        <w:t>七、拟体现的创新点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监管问询反向学习：</w:t>
      </w:r>
      <w:r>
        <w:rPr>
          <w:rFonts w:ascii="Calibri" w:hAnsi="Calibri" w:eastAsia="Microsoft YaHei"/>
        </w:rPr>
        <w:t>把历史材料拆成“异常信号—监管问题—所需证据—审计应对”，学习监管关注逻辑，而非只做文本相似检索。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正反双向论证：</w:t>
      </w:r>
      <w:r>
        <w:rPr>
          <w:rFonts w:ascii="Calibri" w:hAnsi="Calibri" w:eastAsia="Microsoft YaHei"/>
        </w:rPr>
        <w:t>管理层解释智能体与职业怀疑智能体相互制衡，再由证据裁判智能体综合判断，降低误报。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时序RAG：</w:t>
      </w:r>
      <w:r>
        <w:rPr>
          <w:rFonts w:ascii="Calibri" w:hAnsi="Calibri" w:eastAsia="Microsoft YaHei"/>
        </w:rPr>
        <w:t>回测某年度年报时，只允许检索该时点之前已公开的材料，后续处罚只作为标签，防止信息泄漏。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风险到程序闭环：</w:t>
      </w:r>
      <w:r>
        <w:rPr>
          <w:rFonts w:ascii="Calibri" w:hAnsi="Calibri" w:eastAsia="Microsoft YaHei"/>
        </w:rPr>
        <w:t>从指标和文本异常继续映射到报表项目、管理层认定和具体审计程序，突出审计专业属性。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全过程可追溯：</w:t>
      </w:r>
      <w:r>
        <w:rPr>
          <w:rFonts w:ascii="Calibri" w:hAnsi="Calibri" w:eastAsia="Microsoft YaHei"/>
        </w:rPr>
        <w:t>保留年报页码、原始数字、计算过程、案例来源、准则依据和模型运行日志，支持人工复核。</w:t>
      </w:r>
    </w:p>
    <w:p>
      <w:pPr>
        <w:pStyle w:val="Heading1"/>
        <w:keepNext/>
      </w:pPr>
      <w:r>
        <w:t>八、数据来源与合规方案</w:t>
      </w:r>
    </w:p>
    <w:p>
      <w:pPr/>
      <w:r>
        <w:rPr>
          <w:rFonts w:ascii="Calibri" w:hAnsi="Calibri" w:eastAsia="Microsoft YaHei"/>
          <w:i w:val="0"/>
          <w:color w:val="111827"/>
        </w:rPr>
        <w:t>项目原则上只使用公开、合法、可追溯的材料：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巨潮资讯网和证券交易所公开披露的上市公司年度报告；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上交所、深交所等公开发布的年报问询函；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中国证监会及派出机构公开发布的行政处罚决定和典型案例；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财政部公开发布的企业会计准则和注册会计师审计准则。</w:t>
      </w:r>
    </w:p>
    <w:p>
      <w:pPr>
        <w:pStyle w:val="Heading2"/>
        <w:keepNext/>
      </w:pPr>
      <w:r>
        <w:t>拟建数据规模</w:t>
      </w:r>
    </w:p>
    <w:p>
      <w:pPr/>
      <w:r>
        <w:rPr>
          <w:rFonts w:ascii="Calibri" w:hAnsi="Calibri" w:eastAsia="Microsoft YaHei"/>
          <w:i w:val="0"/>
          <w:color w:val="111827"/>
        </w:rPr>
        <w:t>语料库计划自动整理100—200份历史问询材料和60—100份正式处罚材料；人工精标先完成20—30个风险级案例；公司年度回测目标为60—80个样本，并按时间、行业和规模匹配对照。数据量将根据公开材料完整程度和人工复核能力调整。</w:t>
      </w:r>
    </w:p>
    <w:p>
      <w:pPr>
        <w:pStyle w:val="Heading2"/>
        <w:keepNext/>
      </w:pPr>
      <w:r>
        <w:t>合规措施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仅使用公开材料，不接触企业未公开财务数据、涉密信息和个人敏感信息。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保存来源、发布日期、访问日期、URL、文件哈希和数据用途。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优先人工下载和官方公开渠道，不使用未经许可的大规模爬取。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未经核实的新闻不作为风险定性依据；当前企业不作负面评价。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 Key通过.env加载并提供.env.example，不写入代码或提交仓库。</w:t>
      </w:r>
    </w:p>
    <w:p>
      <w:pPr>
        <w:pStyle w:val="Heading1"/>
        <w:keepNext/>
      </w:pPr>
      <w:r>
        <w:t>九、效果评价方案</w:t>
      </w:r>
    </w:p>
    <w:p>
      <w:pPr>
        <w:pStyle w:val="Heading2"/>
        <w:keepNext/>
      </w:pPr>
      <w:r>
        <w:t>对比与消融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传统财务指标规则系统；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单一大模型直接分析；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单智能体加知识检索；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完整多智能体系统；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分别移除监管案例库、正反论证或指标模块的消融实验。</w:t>
      </w:r>
    </w:p>
    <w:p>
      <w:pPr>
        <w:pStyle w:val="Heading2"/>
        <w:keepNext/>
      </w:pPr>
      <w:r>
        <w:t>首轮拟定评价目标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650"/>
        <w:gridCol w:w="3000"/>
        <w:gridCol w:w="1700"/>
        <w:gridCol w:w="3010"/>
      </w:tblGrid>
      <w:tr>
        <w:trPr>
          <w:cantSplit/>
          <w:tblHeader w:val="true"/>
        </w:trPr>
        <w:tc>
          <w:tcPr>
            <w:tcW w:type="dxa" w:w="16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0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17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首轮目标</w:t>
            </w:r>
          </w:p>
        </w:tc>
        <w:tc>
          <w:tcPr>
            <w:tcW w:type="dxa" w:w="301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Recall@5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前5条风险覆盖后续问询重点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≥70%（暂定）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基于历史问询回测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引用准确率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页码、数字、案例与准则可核验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≥95%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抽样人工复核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结构化成功率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JSON满足字段和类型约束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≥95%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失败允许重试或降级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专业评分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程序相关性与可执行性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≥4.0/5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教师或高年级学生盲评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处理时间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单份预设年报端到端耗时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≤5分钟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另报告模型调用成本</w:t>
            </w:r>
          </w:p>
        </w:tc>
      </w:tr>
    </w:tbl>
    <w:p>
      <w:pPr>
        <w:spacing w:before="0" w:after="60" w:line="168" w:lineRule="auto"/>
      </w:pPr>
    </w:p>
    <w:p>
      <w:pPr/>
      <w:r>
        <w:rPr>
          <w:rFonts w:ascii="Calibri" w:hAnsi="Calibri" w:eastAsia="Microsoft YaHei"/>
          <w:i w:val="0"/>
          <w:color w:val="111827"/>
        </w:rPr>
        <w:t>公司级评价将报告准确率、召回率、F1和AUROC；风险级评价将报告Recall@5和引用准确率。样本量有限时如实报告置信区间、失败案例和局限，不以少量展示案例替代量化结果。</w:t>
      </w:r>
    </w:p>
    <w:p>
      <w:pPr>
        <w:pStyle w:val="Heading1"/>
        <w:keepNext/>
      </w:pPr>
      <w:r>
        <w:t>十、技术实现与资源安排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前端：</w:t>
      </w:r>
      <w:r>
        <w:rPr>
          <w:rFonts w:ascii="Calibri" w:hAnsi="Calibri" w:eastAsia="Microsoft YaHei"/>
        </w:rPr>
        <w:t>React/Vite，展示上传、处理进度、风险矩阵、证据详情和报告导出。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后端：</w:t>
      </w:r>
      <w:r>
        <w:rPr>
          <w:rFonts w:ascii="Calibri" w:hAnsi="Calibri" w:eastAsia="Microsoft YaHei"/>
        </w:rPr>
        <w:t>Python 3.10+、FastAPI、Pydantic结构化约束。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文档与计算：</w:t>
      </w:r>
      <w:r>
        <w:rPr>
          <w:rFonts w:ascii="Calibri" w:hAnsi="Calibri" w:eastAsia="Microsoft YaHei"/>
        </w:rPr>
        <w:t>PyMuPDF、pdfplumber、pandas；为扫描件和跨页表格准备失败提示及人工确认。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检索：</w:t>
      </w:r>
      <w:r>
        <w:rPr>
          <w:rFonts w:ascii="Calibri" w:hAnsi="Calibri" w:eastAsia="Microsoft YaHei"/>
        </w:rPr>
        <w:t>关键词与向量检索结合的混合RAG，并按材料发布日期进行时序过滤。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模型：</w:t>
      </w:r>
      <w:r>
        <w:rPr>
          <w:rFonts w:ascii="Calibri" w:hAnsi="Calibri" w:eastAsia="Microsoft YaHei"/>
        </w:rPr>
        <w:t>至少一个大语言模型作为核心推理引擎，优先考虑国产模型并保留可切换配置。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存储：</w:t>
      </w:r>
      <w:r>
        <w:rPr>
          <w:rFonts w:ascii="Calibri" w:hAnsi="Calibri" w:eastAsia="Microsoft YaHei"/>
        </w:rPr>
        <w:t>SQLite或DuckDB保存样本、索引、运行日志和评测结果。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复现：</w:t>
      </w:r>
      <w:r>
        <w:rPr>
          <w:rFonts w:ascii="Calibri" w:hAnsi="Calibri" w:eastAsia="Microsoft YaHei"/>
        </w:rPr>
        <w:t>提供requirements.txt或pyproject.toml、.env.example、使用说明和中文关键逻辑注释。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账号资源：</w:t>
      </w:r>
      <w:r>
        <w:rPr>
          <w:rFonts w:ascii="Calibri" w:hAnsi="Calibri" w:eastAsia="Microsoft YaHei"/>
        </w:rPr>
        <w:t>队长的GPT会员仅用于辅助研发；参赛原型使用独立可程序化模型接口，不依赖个人网页账号。</w:t>
      </w:r>
    </w:p>
    <w:p>
      <w:pPr>
        <w:pStyle w:val="Heading1"/>
        <w:keepNext/>
      </w:pPr>
      <w:r>
        <w:t>十一、预期成果与竞赛符合性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10—15页《数智会计创新应用项目计划书》PDF；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5分钟以内、1080P以上、4名队员出镜的项目介绍视频；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可现场实时处理真实样例的Web或命令行原型；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结构化JSON、风险表格和PDF审计辅助报告；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年报、监管案例和审计准则知识库及来源清单；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历史样本回测、四组基线、消融实验和评价报告；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最终报告书、20张以内答辩PPT、系统操作说明和备用录屏；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源代码、环境依赖、.env.example、必要中文注释和一键启动说明。</w:t>
      </w:r>
    </w:p>
    <w:p>
      <w:pPr>
        <w:pStyle w:val="Heading1"/>
        <w:keepNext/>
      </w:pPr>
      <w:r>
        <w:t>十二、项目进度安排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700"/>
        <w:gridCol w:w="4900"/>
        <w:gridCol w:w="2760"/>
      </w:tblGrid>
      <w:tr>
        <w:trPr>
          <w:cantSplit/>
          <w:tblHeader w:val="true"/>
        </w:trPr>
        <w:tc>
          <w:tcPr>
            <w:tcW w:type="dxa" w:w="17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49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主要任务</w:t>
            </w:r>
          </w:p>
        </w:tc>
        <w:tc>
          <w:tcPr>
            <w:tcW w:type="dxa" w:w="27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阶段成果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7.13—7.20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冻结边界、风险分类、数据字段、接口和10个案例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需求文档、风险分类、原型草图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7.21—8.05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收集材料，完成解析、指标与规则基线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初版知识库、解析模块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8.06—8.20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开发多智能体、混合检索和程序映射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核心分析流程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8.21—8.31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完成前端、风险矩阵、结构化输出和报告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端到端MVP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9.01—9.10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完成回测、基线和消融实验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实验数据与评价结果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9.11—9.15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稳定化、引用修正、异常处理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稳定演示版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9.16—9.20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方案书、视频、演示稿、录屏和模拟答辩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初赛完整材料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9.21—9.25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教师审阅、集中修改、提交与回执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正式提交版本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初赛后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按评审反馈扩展案例、优化界面与答辩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决赛报告与展示</w:t>
            </w:r>
          </w:p>
        </w:tc>
      </w:tr>
    </w:tbl>
    <w:p>
      <w:pPr>
        <w:spacing w:before="0" w:after="60" w:line="168" w:lineRule="auto"/>
      </w:pPr>
    </w:p>
    <w:p>
      <w:pPr>
        <w:keepLines/>
        <w:spacing w:before="80" w:after="160" w:line="283" w:lineRule="auto"/>
        <w:ind w:left="115" w:right="115"/>
        <w:shd w:fill="FFF8E8"/>
        <w:pBdr>
          <w:top w:val="single" w:sz="5" w:space="4" w:color="D5DCE5"/>
          <w:left w:val="single" w:sz="5" w:space="4" w:color="D5DCE5"/>
          <w:bottom w:val="single" w:sz="5" w:space="4" w:color="D5DCE5"/>
          <w:right w:val="single" w:sz="5" w:space="4" w:color="D5DCE5"/>
        </w:pBdr>
      </w:pPr>
      <w:r>
        <w:rPr>
          <w:rFonts w:ascii="Calibri" w:hAnsi="Calibri" w:eastAsia="Microsoft YaHei"/>
          <w:b/>
          <w:color w:val="B47A00"/>
          <w:sz w:val="21"/>
        </w:rPr>
        <w:t>赛程策略：</w:t>
      </w:r>
      <w:r>
        <w:rPr>
          <w:rFonts w:ascii="Calibri" w:hAnsi="Calibri" w:eastAsia="Microsoft YaHei"/>
          <w:color w:val="111827"/>
          <w:sz w:val="21"/>
        </w:rPr>
        <w:t>手册与公众号截图对原型代码、技术报告和晋级名额的表述存在差异。团队不等待口径澄清，按最严格要求在9月20日前完成完整原型、技术材料和备用展示；同时请学校向组委会确认最终节点。</w:t>
      </w:r>
    </w:p>
    <w:p>
      <w:pPr>
        <w:pStyle w:val="Heading1"/>
        <w:keepNext/>
      </w:pPr>
      <w:r>
        <w:t>十三、团队初步分工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队长张宏博｜AI系统与项目统筹：</w:t>
      </w:r>
      <w:r>
        <w:rPr>
          <w:rFonts w:ascii="Calibri" w:hAnsi="Calibri" w:eastAsia="Microsoft YaHei"/>
        </w:rPr>
        <w:t>负责大模型、提示词、RAG、多智能体、后端集成、版本管理、总体进度和最终统稿。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队员A｜审计专业与案例标注：</w:t>
      </w:r>
      <w:r>
        <w:rPr>
          <w:rFonts w:ascii="Calibri" w:hAnsi="Calibri" w:eastAsia="Microsoft YaHei"/>
        </w:rPr>
        <w:t>负责风险分类、管理层认定、准则与程序库、案例精标、专业复核和专业答辩。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队员B｜数据与效果评估：</w:t>
      </w:r>
      <w:r>
        <w:rPr>
          <w:rFonts w:ascii="Calibri" w:hAnsi="Calibri" w:eastAsia="Microsoft YaHei"/>
        </w:rPr>
        <w:t>负责官方数据台账、PDF解析、财务指标、时序样本、基线实验、消融和评估图表。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队员C｜产品与成果展示：</w:t>
      </w:r>
      <w:r>
        <w:rPr>
          <w:rFonts w:ascii="Calibri" w:hAnsi="Calibri" w:eastAsia="Microsoft YaHei"/>
        </w:rPr>
        <w:t>负责前端、报告模板、测试用例、方案书排版、PPT、视频、演示和备用录屏。</w:t>
      </w:r>
    </w:p>
    <w:p>
      <w:pPr/>
      <w:r>
        <w:rPr>
          <w:rFonts w:ascii="Calibri" w:hAnsi="Calibri" w:eastAsia="Microsoft YaHei"/>
          <w:i w:val="0"/>
          <w:color w:val="111827"/>
        </w:rPr>
        <w:t>团队坚持每个模块一名主负责人、一名复核或备份人；每周全员运行一次完整原型，所有成员都能解释项目总体流程并回答自己模块的问题。</w:t>
      </w:r>
    </w:p>
    <w:p>
      <w:pPr>
        <w:pStyle w:val="Heading1"/>
        <w:keepNext/>
      </w:pPr>
      <w:r>
        <w:t>十四、主要风险与应对措施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3200"/>
        <w:gridCol w:w="6160"/>
      </w:tblGrid>
      <w:tr>
        <w:trPr>
          <w:cantSplit/>
          <w:tblHeader w:val="true"/>
        </w:trPr>
        <w:tc>
          <w:tcPr>
            <w:tcW w:type="dxa" w:w="32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可能风险</w:t>
            </w:r>
          </w:p>
        </w:tc>
        <w:tc>
          <w:tcPr>
            <w:tcW w:type="dxa" w:w="61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应对措施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PDF格式差异和表格解析不稳定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首版限定支持范围；测试文本、扫描和跨页表格；提供解析失败提示与人工确认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多智能体只是角色包装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为每个智能体固定输入、工具、结构化输出、交接字段和裁决规则，并保存日志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引用页码、数字或准则错误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引用校验、重新计算、无证据拒答、人工抽查并统计引用准确率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把经营异常误判为造假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加入管理层解释与职业怀疑双向论证，只输出风险信号和待验证事项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回测使用未来信息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按发布日期过滤RAG，处罚结果只作标签，单列时序防泄漏检查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数据规模过大无法精标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语料可批量整理，人工先精标20—30个风险案例，回测逐步扩至60—80个公司年度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模型费用或现场网络不稳定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限制上下文、缓存中间结果、准备可切换模型、本地固定案例和备用录屏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项目范围失控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MVP限制1—2个行业和8—12类风险，其他功能进入扩展清单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队员进度或知识不均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任务有负责人和验收；24小时报告阻塞；每周全员运行与交叉讲解</w:t>
            </w:r>
          </w:p>
        </w:tc>
      </w:tr>
    </w:tbl>
    <w:p>
      <w:pPr>
        <w:spacing w:before="0" w:after="60" w:line="168" w:lineRule="auto"/>
      </w:pPr>
    </w:p>
    <w:p>
      <w:pPr>
        <w:pStyle w:val="Heading1"/>
        <w:keepNext/>
      </w:pPr>
      <w:r>
        <w:t>十五、希望指导教师重点指导的事项</w:t>
      </w:r>
    </w:p>
    <w:p>
      <w:pPr>
        <w:spacing w:before="0" w:after="80" w:line="29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是否认可将项目严格限定为“年报重大错报风险识别与审计程序辅助生成”，不扩张为泛金融分析。</w:t>
      </w:r>
    </w:p>
    <w:p>
      <w:pPr>
        <w:spacing w:before="0" w:after="80" w:line="29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是否认可首版只覆盖1—2个行业和8—12类高频风险；收入、应收账款、存货、毛利率和经营现金流的范围是否合理。</w:t>
      </w:r>
    </w:p>
    <w:p>
      <w:pPr>
        <w:spacing w:before="0" w:after="80" w:line="29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请复核“异常信号—重大错报风险—管理层认定—审计程序”的专业映射。</w:t>
      </w:r>
    </w:p>
    <w:p>
      <w:pPr>
        <w:spacing w:before="0" w:after="80" w:line="29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请指导历史处罚样本与正常对照样本的选择、标签边界和评价指标。</w:t>
      </w:r>
    </w:p>
    <w:p>
      <w:pPr>
        <w:spacing w:before="0" w:after="80" w:line="29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请抽查部分案例来源、准则引用和系统生成的审计程序。</w:t>
      </w:r>
    </w:p>
    <w:p>
      <w:pPr>
        <w:spacing w:before="0" w:after="80" w:line="29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请判断方案书和答辩应如何平衡技术创新、审计专业价值与落地场景。</w:t>
      </w:r>
    </w:p>
    <w:p>
      <w:pPr>
        <w:spacing w:before="0" w:after="80" w:line="29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请协助确认指导教师、原型代码提交时间、决赛名额及最终报告要求等赛事口径。</w:t>
      </w:r>
    </w:p>
    <w:p>
      <w:pPr>
        <w:spacing w:before="0" w:after="80" w:line="29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如时间允许，希望老师在风险框架冻结、MVP完成、评测完成和答辩前四个节点各进行一次阶段评审。</w:t>
      </w:r>
    </w:p>
    <w:p>
      <w:pPr>
        <w:pStyle w:val="Heading1"/>
        <w:keepNext/>
      </w:pPr>
      <w:r>
        <w:t>十六、拟请教师确认的阶段结论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同意选择智能审计赛道及当前项目名称；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认可“监管案例证据链＋多智能体正反论证＋审计程序生成”的总体路线；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同意系统定位为风险识别辅助工具，不作财务造假定性；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同意首版缩小行业和风险范围，优先完成可回测闭环；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对数据规模、专业框架、评价方案和指导节点提出修改意见。</w:t>
      </w:r>
    </w:p>
    <w:p>
      <w:pPr>
        <w:pStyle w:val="Metadata"/>
        <w:tabs>
          <w:tab w:pos="4781" w:val="left"/>
        </w:tabs>
        <w:spacing w:before="40" w:after="60"/>
        <w:ind w:left="259" w:right="259"/>
        <w:shd w:fill="F4F6F9"/>
      </w:pPr>
      <w:r>
        <w:rPr>
          <w:rFonts w:ascii="Calibri" w:hAnsi="Calibri" w:eastAsia="Microsoft YaHei"/>
          <w:b/>
          <w:color w:val="1F4D78"/>
          <w:sz w:val="19"/>
        </w:rPr>
        <w:t>指导教师意见：</w:t>
      </w:r>
      <w:r>
        <w:rPr>
          <w:rFonts w:ascii="Calibri" w:hAnsi="Calibri" w:eastAsia="Microsoft YaHei"/>
          <w:color w:val="111827"/>
          <w:sz w:val="19"/>
        </w:rPr>
        <w:t>________________________________________</w:t>
      </w:r>
      <w:r>
        <w:rPr>
          <w:rFonts w:ascii="Calibri" w:hAnsi="Calibri" w:eastAsia="Microsoft YaHei"/>
          <w:sz w:val="19"/>
        </w:rPr>
        <w:tab/>
      </w:r>
      <w:r>
        <w:rPr>
          <w:rFonts w:ascii="Calibri" w:hAnsi="Calibri" w:eastAsia="Microsoft YaHei"/>
          <w:b/>
          <w:color w:val="1F4D78"/>
          <w:sz w:val="19"/>
        </w:rPr>
        <w:t>建议修改重点：</w:t>
      </w:r>
      <w:r>
        <w:rPr>
          <w:rFonts w:ascii="Calibri" w:hAnsi="Calibri" w:eastAsia="Microsoft YaHei"/>
          <w:color w:val="111827"/>
          <w:sz w:val="19"/>
        </w:rPr>
        <w:t>________________________________________</w:t>
      </w:r>
    </w:p>
    <w:p>
      <w:pPr>
        <w:pStyle w:val="Metadata"/>
        <w:tabs>
          <w:tab w:pos="4781" w:val="left"/>
        </w:tabs>
        <w:spacing w:before="0" w:after="60"/>
        <w:ind w:left="259" w:right="259"/>
        <w:shd w:fill="F4F6F9"/>
      </w:pPr>
      <w:r>
        <w:rPr>
          <w:rFonts w:ascii="Calibri" w:hAnsi="Calibri" w:eastAsia="Microsoft YaHei"/>
          <w:b/>
          <w:color w:val="1F4D78"/>
          <w:sz w:val="19"/>
        </w:rPr>
        <w:t>是否同意进入开发：</w:t>
      </w:r>
      <w:r>
        <w:rPr>
          <w:rFonts w:ascii="Calibri" w:hAnsi="Calibri" w:eastAsia="Microsoft YaHei"/>
          <w:color w:val="111827"/>
          <w:sz w:val="19"/>
        </w:rPr>
        <w:t>□ 同意  □ 修改后同意  □ 暂缓</w:t>
      </w:r>
      <w:r>
        <w:rPr>
          <w:rFonts w:ascii="Calibri" w:hAnsi="Calibri" w:eastAsia="Microsoft YaHei"/>
          <w:sz w:val="19"/>
        </w:rPr>
        <w:tab/>
      </w:r>
      <w:r>
        <w:rPr>
          <w:rFonts w:ascii="Calibri" w:hAnsi="Calibri" w:eastAsia="Microsoft YaHei"/>
          <w:b/>
          <w:color w:val="1F4D78"/>
          <w:sz w:val="19"/>
        </w:rPr>
        <w:t>审阅日期：</w:t>
      </w:r>
      <w:r>
        <w:rPr>
          <w:rFonts w:ascii="Calibri" w:hAnsi="Calibri" w:eastAsia="Microsoft YaHei"/>
          <w:color w:val="111827"/>
          <w:sz w:val="19"/>
        </w:rPr>
        <w:t>________________</w:t>
      </w:r>
    </w:p>
    <w:p>
      <w:pPr>
        <w:spacing w:after="40"/>
      </w:pPr>
    </w:p>
    <w:p>
      <w:pPr>
        <w:pStyle w:val="Heading1"/>
        <w:keepNext/>
      </w:pPr>
      <w:r>
        <w:t>参考依据</w:t>
      </w:r>
    </w:p>
    <w:p>
      <w:pPr>
        <w:pStyle w:val="SmallText"/>
        <w:spacing w:before="0" w:after="40" w:line="252" w:lineRule="auto"/>
      </w:pPr>
      <w:r>
        <w:rPr>
          <w:rFonts w:ascii="Calibri" w:hAnsi="Calibri" w:eastAsia="Microsoft YaHei"/>
          <w:color w:val="667085"/>
          <w:sz w:val="17"/>
        </w:rPr>
        <w:t>[1] 《附件1 北京市大学生数智会计创新应用竞赛手册》</w:t>
      </w:r>
    </w:p>
    <w:p>
      <w:pPr>
        <w:pStyle w:val="SmallText"/>
        <w:spacing w:before="0" w:after="40" w:line="252" w:lineRule="auto"/>
      </w:pPr>
      <w:r>
        <w:rPr>
          <w:rFonts w:ascii="Calibri" w:hAnsi="Calibri" w:eastAsia="Microsoft YaHei"/>
          <w:color w:val="667085"/>
          <w:sz w:val="17"/>
        </w:rPr>
        <w:t>[2] 审计准则第1211号（重大错报风险识别和评估）</w:t>
      </w:r>
      <w:r>
        <w:rPr>
          <w:rFonts w:ascii="Calibri" w:hAnsi="Calibri" w:eastAsia="Microsoft YaHei"/>
          <w:sz w:val="17"/>
        </w:rPr>
        <w:t xml:space="preserve">  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打开官方页面</w:t>
        </w:r>
      </w:hyperlink>
    </w:p>
    <w:p>
      <w:pPr>
        <w:pStyle w:val="SmallText"/>
        <w:spacing w:before="0" w:after="40" w:line="252" w:lineRule="auto"/>
      </w:pPr>
      <w:r>
        <w:rPr>
          <w:rFonts w:ascii="Calibri" w:hAnsi="Calibri" w:eastAsia="Microsoft YaHei"/>
          <w:color w:val="667085"/>
          <w:sz w:val="17"/>
        </w:rPr>
        <w:t>[3] 审计准则第1231号（针对评估风险的应对措施）</w:t>
      </w:r>
      <w:r>
        <w:rPr>
          <w:rFonts w:ascii="Calibri" w:hAnsi="Calibri" w:eastAsia="Microsoft YaHei"/>
          <w:sz w:val="17"/>
        </w:rPr>
        <w:t xml:space="preserve">  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打开官方页面</w:t>
        </w:r>
      </w:hyperlink>
    </w:p>
    <w:p>
      <w:pPr>
        <w:pStyle w:val="SmallText"/>
        <w:spacing w:before="0" w:after="40" w:line="252" w:lineRule="auto"/>
      </w:pPr>
      <w:r>
        <w:rPr>
          <w:rFonts w:ascii="Calibri" w:hAnsi="Calibri" w:eastAsia="Microsoft YaHei"/>
          <w:color w:val="667085"/>
          <w:sz w:val="17"/>
        </w:rPr>
        <w:t>[4] 中国证监会：2026年打击和防范财务造假专项行动</w:t>
      </w:r>
      <w:r>
        <w:rPr>
          <w:rFonts w:ascii="Calibri" w:hAnsi="Calibri" w:eastAsia="Microsoft YaHei"/>
          <w:sz w:val="17"/>
        </w:rPr>
        <w:t xml:space="preserve">  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打开官方页面</w:t>
        </w:r>
      </w:hyperlink>
    </w:p>
    <w:p>
      <w:pPr>
        <w:pStyle w:val="SmallText"/>
        <w:spacing w:before="0" w:after="40" w:line="252" w:lineRule="auto"/>
      </w:pPr>
      <w:r>
        <w:rPr>
          <w:rFonts w:ascii="Calibri" w:hAnsi="Calibri" w:eastAsia="Microsoft YaHei"/>
          <w:color w:val="667085"/>
          <w:sz w:val="17"/>
        </w:rPr>
        <w:t>[5] 巨潮资讯网</w:t>
      </w:r>
      <w:r>
        <w:rPr>
          <w:rFonts w:ascii="Calibri" w:hAnsi="Calibri" w:eastAsia="Microsoft YaHei"/>
          <w:sz w:val="17"/>
        </w:rPr>
        <w:t xml:space="preserve">  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打开官方页面</w:t>
        </w:r>
      </w:hyperlink>
    </w:p>
    <w:p>
      <w:pPr>
        <w:pStyle w:val="SmallText"/>
        <w:spacing w:before="0" w:after="40" w:line="252" w:lineRule="auto"/>
      </w:pPr>
      <w:r>
        <w:rPr>
          <w:rFonts w:ascii="Calibri" w:hAnsi="Calibri" w:eastAsia="Microsoft YaHei"/>
          <w:color w:val="667085"/>
          <w:sz w:val="17"/>
        </w:rPr>
        <w:t>[6] 上海证券交易所：年报审核问询与公开监管说明</w:t>
      </w:r>
      <w:r>
        <w:rPr>
          <w:rFonts w:ascii="Calibri" w:hAnsi="Calibri" w:eastAsia="Microsoft YaHei"/>
          <w:sz w:val="17"/>
        </w:rPr>
        <w:t xml:space="preserve">  </w:t>
      </w:r>
      <w:hyperlink r:id="rId16">
        <w:r>
          <w:rPr>
            <w:rFonts w:ascii="Calibri" w:hAnsi="Calibri" w:eastAsia="Microsoft YaHei"/>
            <w:color w:val="2E74B5"/>
            <w:u w:val="single"/>
          </w:rPr>
          <w:t>打开官方页面</w:t>
        </w:r>
      </w:hyperlink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7"/>
      </w:rPr>
      <w:t xml:space="preserve">教师审阅稿 V1.0  | 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7"/>
      </w:rPr>
      <w:t>教师审阅稿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7"/>
      </w:rPr>
      <w:t>审迹智链 | 项目初步方案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9"/>
      </w:pPr>
      <w:rPr>
        <w:rFonts w:ascii="Calibri" w:hAnsi="Calibr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</w:pPr>
      <w:rPr>
        <w:rFonts w:ascii="Calibri" w:hAnsi="Calibri" w:eastAsia="Microsoft YaHei"/>
      </w:r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</w:pPr>
      <w:rPr>
        <w:rFonts w:ascii="Calibri" w:hAnsi="Calibr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60" w:line="320" w:lineRule="auto"/>
      <w:jc w:val="both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 Text"/>
    <w:pPr>
      <w:spacing w:before="0" w:after="80" w:line="276" w:lineRule="auto"/>
    </w:pPr>
    <w:rPr>
      <w:rFonts w:ascii="Calibri" w:hAnsi="Calibri" w:eastAsia="Microsoft YaHei"/>
      <w:b w:val="0"/>
      <w:color w:val="667085"/>
      <w:sz w:val="18"/>
    </w:rPr>
  </w:style>
  <w:style w:type="paragraph" w:customStyle="1" w:styleId="TableText">
    <w:name w:val="Table Text"/>
    <w:pPr>
      <w:spacing w:before="0" w:after="0" w:line="269" w:lineRule="auto"/>
    </w:pPr>
    <w:rPr>
      <w:rFonts w:ascii="Calibri" w:hAnsi="Calibri" w:eastAsia="Microsoft YaHei"/>
      <w:b w:val="0"/>
      <w:color w:val="111827"/>
      <w:sz w:val="18"/>
    </w:rPr>
  </w:style>
  <w:style w:type="paragraph" w:customStyle="1" w:styleId="Metadata">
    <w:name w:val="Metadata"/>
    <w:pPr>
      <w:spacing w:before="0" w:after="40" w:line="264" w:lineRule="auto"/>
    </w:pPr>
    <w:rPr>
      <w:rFonts w:ascii="Calibri" w:hAnsi="Calibri" w:eastAsia="Microsoft YaHei"/>
      <w:b w:val="0"/>
      <w:color w:val="66708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kjs.mof.gov.cn/zhengcefabu/202301/P020230103584604829925.pdf" TargetMode="External"/><Relationship Id="rId13" Type="http://schemas.openxmlformats.org/officeDocument/2006/relationships/hyperlink" Target="https://kjs.mof.gov.cn/zhengcefabu/201904/P020190409588124511765.pdf" TargetMode="External"/><Relationship Id="rId14" Type="http://schemas.openxmlformats.org/officeDocument/2006/relationships/hyperlink" Target="https://www.csrc.gov.cn/qingdao/c105643/c7629857/content.shtml" TargetMode="External"/><Relationship Id="rId15" Type="http://schemas.openxmlformats.org/officeDocument/2006/relationships/hyperlink" Target="https://www.cninfo.com.cn/" TargetMode="External"/><Relationship Id="rId16" Type="http://schemas.openxmlformats.org/officeDocument/2006/relationships/hyperlink" Target="https://www.sse.com.cn/aboutus/mediacenter/hotandd/c/c_20180518_4557851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审迹智链项目初步方案计划书（教师审阅稿）</dc:title>
  <dc:subject>智能审计竞赛项目的目标、技术路线、评估方案和指导需求</dc:subject>
  <dc:creator>审迹智链参赛团队</dc:creator>
  <cp:keywords>数智会计, 智能审计, 多智能体, RAG, AuditTrace</cp:keywords>
  <dc:description>2026年北京市大学生数智会计创新应用竞赛准备材料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