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  <w:jc w:val="left"/>
      </w:pPr>
      <w:r>
        <w:rPr>
          <w:rFonts w:ascii="Calibri" w:hAnsi="Calibri" w:eastAsia="Microsoft YaHei"/>
          <w:b/>
          <w:color w:val="B47A00"/>
          <w:sz w:val="19"/>
        </w:rPr>
        <w:t>不绑定选题 · 现在即可执行</w:t>
      </w:r>
    </w:p>
    <w:p>
      <w:pPr>
        <w:keepNext/>
        <w:spacing w:before="0" w:after="120"/>
        <w:jc w:val="left"/>
      </w:pPr>
      <w:r>
        <w:rPr>
          <w:rFonts w:ascii="Calibri" w:hAnsi="Calibri" w:eastAsia="Microsoft YaHei"/>
          <w:b/>
          <w:color w:val="0B2545"/>
          <w:sz w:val="54"/>
        </w:rPr>
        <w:t>数智会计竞赛</w:t>
        <w:br/>
        <w:t>选题前共通任务执行清单</w:t>
      </w:r>
    </w:p>
    <w:p>
      <w:pPr>
        <w:keepNext/>
        <w:spacing w:before="0" w:after="240"/>
        <w:jc w:val="left"/>
      </w:pPr>
      <w:r>
        <w:rPr>
          <w:rFonts w:ascii="Calibri" w:hAnsi="Calibri" w:eastAsia="Microsoft YaHei"/>
          <w:color w:val="1F4D78"/>
          <w:sz w:val="25"/>
        </w:rPr>
        <w:t>先搭好评审、资料、测试和协作底座，选题确定后立即进入方案设计</w:t>
      </w:r>
    </w:p>
    <w:p>
      <w:pPr>
        <w:pStyle w:val="Metadata"/>
        <w:spacing w:before="4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适用阶段：</w:t>
      </w:r>
      <w:r>
        <w:rPr>
          <w:rFonts w:ascii="Calibri" w:hAnsi="Calibri" w:eastAsia="Microsoft YaHei"/>
          <w:color w:val="111827"/>
          <w:sz w:val="19"/>
        </w:rPr>
        <w:t>尚未冻结具体选题与功能方案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团队：</w:t>
      </w:r>
      <w:r>
        <w:rPr>
          <w:rFonts w:ascii="Calibri" w:hAnsi="Calibri" w:eastAsia="Microsoft YaHei"/>
          <w:color w:val="111827"/>
          <w:sz w:val="19"/>
        </w:rPr>
        <w:t>队长＋队员A／B／C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配套文件：</w:t>
      </w:r>
      <w:r>
        <w:rPr>
          <w:rFonts w:ascii="Calibri" w:hAnsi="Calibri" w:eastAsia="Microsoft YaHei"/>
          <w:color w:val="111827"/>
          <w:sz w:val="19"/>
        </w:rPr>
        <w:t>《竞赛通用准备台账.xlsx》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版本日期：</w:t>
      </w:r>
      <w:r>
        <w:rPr>
          <w:rFonts w:ascii="Calibri" w:hAnsi="Calibri" w:eastAsia="Microsoft YaHei"/>
          <w:color w:val="111827"/>
          <w:sz w:val="19"/>
        </w:rPr>
        <w:t>V1.0 · 2026年7月13日</w:t>
      </w:r>
    </w:p>
    <w:p>
      <w:pPr>
        <w:spacing w:after="40"/>
      </w:pP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结论：</w:t>
      </w:r>
      <w:r>
        <w:rPr>
          <w:rFonts w:ascii="Calibri" w:hAnsi="Calibri" w:eastAsia="Microsoft YaHei"/>
          <w:color w:val="111827"/>
          <w:sz w:val="21"/>
        </w:rPr>
        <w:t>现在完全可以开始，而且应该开始。当前先完成不会因换题而作废的基础工作：建立选题评分规则、资料来源台账、评测方法、Vibe Coding记录、五项评审证据和团队交付制度；暂不写死专业规则、案例公司、工作流节点和最终页面。</w:t>
      </w:r>
    </w:p>
    <w:p>
      <w:pPr>
        <w:pStyle w:val="Heading1"/>
        <w:keepNext/>
      </w:pPr>
      <w:r>
        <w:t>一、现在能做什么，什么必须等选题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800"/>
        <w:gridCol w:w="3780"/>
        <w:gridCol w:w="2780"/>
      </w:tblGrid>
      <w:tr>
        <w:trPr>
          <w:cantSplit/>
          <w:tblHeader w:val="true"/>
        </w:trPr>
        <w:tc>
          <w:tcPr>
            <w:tcW w:type="dxa" w:w="280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现在即可完成</w:t>
            </w:r>
          </w:p>
        </w:tc>
        <w:tc>
          <w:tcPr>
            <w:tcW w:type="dxa" w:w="378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为什么不会浪费</w:t>
            </w:r>
          </w:p>
        </w:tc>
        <w:tc>
          <w:tcPr>
            <w:tcW w:type="dxa" w:w="278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选题确定后再做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竞赛硬性要求清单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任何选题都必须满足同一套提交与技术要求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针对题目解释如何逐条满足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候选选题评分与否决条件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帮助团队用统一标准比较，不被名字和技术名词带偏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冻结最终题目、用户和一句话价值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公开资料来源台账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年报、规则、案例、数据来源的记录方法通用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集中收集最终题目所需材料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效果评估模板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任何题目都要有人工参考、基线、指标和失败案例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确定具体样本、参考答案和目标值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五项评审证据清单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专业、创新、落地、评估、展示五方面均需留证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把证据对应到最终功能与案例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Trae／Coze开发记录制度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Vibe Coding过程、工作流版本和人工验证方式通用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搭建最终节点、提示词和接口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文件夹、命名、周报和备份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换题也不会影响协作规则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把最终资料迁入相应模块</w:t>
            </w:r>
          </w:p>
        </w:tc>
      </w:tr>
      <w:tr>
        <w:trPr>
          <w:cantSplit/>
        </w:trPr>
        <w:tc>
          <w:tcPr>
            <w:tcW w:type="dxa" w:w="28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计划书／视频素材框架</w:t>
            </w:r>
          </w:p>
        </w:tc>
        <w:tc>
          <w:tcPr>
            <w:tcW w:type="dxa" w:w="3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可先确定评分逻辑和素材类型</w:t>
            </w:r>
          </w:p>
        </w:tc>
        <w:tc>
          <w:tcPr>
            <w:tcW w:type="dxa" w:w="278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填写最终故事、截图、数据和结论</w:t>
            </w:r>
          </w:p>
        </w:tc>
      </w:tr>
    </w:tbl>
    <w:p>
      <w:pPr>
        <w:spacing w:before="0" w:after="60" w:line="168" w:lineRule="auto"/>
      </w:pPr>
    </w:p>
    <w:p>
      <w:pPr>
        <w:keepLines/>
        <w:spacing w:before="80" w:after="160" w:line="283" w:lineRule="auto"/>
        <w:ind w:left="115" w:right="115"/>
        <w:shd w:fill="FFF8E8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B47A00"/>
          <w:sz w:val="21"/>
        </w:rPr>
        <w:t>暂时不要提前做：</w:t>
      </w:r>
      <w:r>
        <w:rPr>
          <w:rFonts w:ascii="Calibri" w:hAnsi="Calibri" w:eastAsia="Microsoft YaHei"/>
          <w:color w:val="111827"/>
          <w:sz w:val="21"/>
        </w:rPr>
        <w:t>不要先写完整程序、批量下载某一行业资料、制作最终PPT、写死Coze节点、确定模型提示词或承诺准确率。除非某项工作只是用来验证候选题能不能做，并且限定在半天以内。</w:t>
      </w:r>
    </w:p>
    <w:p>
      <w:pPr>
        <w:pStyle w:val="Heading1"/>
        <w:keepNext/>
      </w:pPr>
      <w:r>
        <w:t>二、八项共通任务与验收标准</w:t>
      </w:r>
    </w:p>
    <w:p>
      <w:pPr>
        <w:pStyle w:val="Heading2"/>
        <w:keepNext/>
      </w:pPr>
      <w:r>
        <w:t>任务1｜建立竞赛硬性要求清单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整理要求：</w:t>
      </w:r>
      <w:r>
        <w:rPr>
          <w:rFonts w:ascii="Calibri" w:hAnsi="Calibri" w:eastAsia="Microsoft YaHei"/>
        </w:rPr>
        <w:t>把参赛人数、专业条件、核心大模型、结构化输出、现场原型、计划书页数、视频时长、代码环境、数据合规和提交节点放到同一张表。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记录口径：</w:t>
      </w:r>
      <w:r>
        <w:rPr>
          <w:rFonts w:ascii="Calibri" w:hAnsi="Calibri" w:eastAsia="Microsoft YaHei"/>
        </w:rPr>
        <w:t>每条要求都保存手册页码或通知截图；存在矛盾时单列“待学校／组委会确认”，不得自己猜。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</w:rPr>
        <w:t>所有队员能说出最容易失去资格的5项要求；每条要求都有负责人和核对状态。</w:t>
      </w:r>
    </w:p>
    <w:p>
      <w:pPr>
        <w:pStyle w:val="Heading2"/>
        <w:keepNext/>
      </w:pPr>
      <w:r>
        <w:t>任务2｜建立选题池和统一评分规则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候选数量：</w:t>
      </w:r>
      <w:r>
        <w:rPr>
          <w:rFonts w:ascii="Calibri" w:hAnsi="Calibri" w:eastAsia="Microsoft YaHei"/>
        </w:rPr>
        <w:t>先保留8—12个题目，不急于在第一次讨论时选出唯一答案。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评委评分：</w:t>
      </w:r>
      <w:r>
        <w:rPr>
          <w:rFonts w:ascii="Calibri" w:hAnsi="Calibri" w:eastAsia="Microsoft YaHei"/>
        </w:rPr>
        <w:t>专业深度、技术创新、落地可行、效果评估、文档展示各1—5分。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团队过滤：</w:t>
      </w:r>
      <w:r>
        <w:rPr>
          <w:rFonts w:ascii="Calibri" w:hAnsi="Calibri" w:eastAsia="Microsoft YaHei"/>
        </w:rPr>
        <w:t>另评数据可得性、四人能力匹配度和四周内能否做出MVP。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一票否决：</w:t>
      </w:r>
      <w:r>
        <w:rPr>
          <w:rFonts w:ascii="Calibri" w:hAnsi="Calibri" w:eastAsia="Microsoft YaHei"/>
        </w:rPr>
        <w:t>拿不到3份可用样例、没有人工参考答案、无法现场演示闭环、只能做聊天问答，任一项成立都不能作为首选。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</w:rPr>
        <w:t>前三名之间的差别能够用证据解释，而不是只说“这个更有意思”。</w:t>
      </w:r>
    </w:p>
    <w:p>
      <w:pPr>
        <w:pStyle w:val="Heading2"/>
        <w:keepNext/>
      </w:pPr>
      <w:r>
        <w:t>任务3｜为每个候选题制作一页纸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550"/>
        <w:gridCol w:w="6810"/>
      </w:tblGrid>
      <w:tr>
        <w:trPr>
          <w:cantSplit/>
          <w:tblHeader w:val="true"/>
        </w:trPr>
        <w:tc>
          <w:tcPr>
            <w:tcW w:type="dxa" w:w="2550"/>
            <w:shd w:fill="2E74B5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必须回答</w:t>
            </w:r>
          </w:p>
        </w:tc>
        <w:tc>
          <w:tcPr>
            <w:tcW w:type="dxa" w:w="6810"/>
            <w:shd w:fill="2E74B5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谁会用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只写一个首要用户，不写“所有企业和所有人”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他现在卡在哪里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用一个具体工作动作说明，不写泛泛的行业痛点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系统输入什么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列出3—5类真实可取得的文件或数据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系统输出什么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必须是可检查、可执行、可导出的结构化成果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现场怎样演示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设计一个3分钟内能看见前后差异的冲突案例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创新在哪里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一种新的专业方法、一种防止AI乱说的机制、一种客观评测办法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怎么证明有效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写出人工参考、比较对象、指标和失败案例</w:t>
            </w:r>
          </w:p>
        </w:tc>
      </w:tr>
      <w:tr>
        <w:trPr>
          <w:cantSplit/>
        </w:trPr>
        <w:tc>
          <w:tcPr>
            <w:tcW w:type="dxa" w:w="25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最小版本是什么</w:t>
            </w:r>
          </w:p>
        </w:tc>
        <w:tc>
          <w:tcPr>
            <w:tcW w:type="dxa" w:w="68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4周内能够完成的输入—处理—输出闭环</w:t>
            </w:r>
          </w:p>
        </w:tc>
      </w:tr>
    </w:tbl>
    <w:p>
      <w:pPr>
        <w:spacing w:before="0" w:after="60" w:line="168" w:lineRule="auto"/>
      </w:pPr>
    </w:p>
    <w:p>
      <w:pPr>
        <w:pStyle w:val="Heading2"/>
        <w:keepNext/>
      </w:pPr>
      <w:r>
        <w:t>任务4｜建立资料来源和数据合规台账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每项资料记录：</w:t>
      </w:r>
      <w:r>
        <w:rPr>
          <w:rFonts w:ascii="Calibri" w:hAnsi="Calibri" w:eastAsia="Microsoft YaHei"/>
        </w:rPr>
        <w:t>名称、单位／公司、年度、发布日期、下载日期、URL、本地文件名、页码、用途和核验人。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先找样例再承诺：</w:t>
      </w:r>
      <w:r>
        <w:rPr>
          <w:rFonts w:ascii="Calibri" w:hAnsi="Calibri" w:eastAsia="Microsoft YaHei"/>
        </w:rPr>
        <w:t>每个候选题至少找到3份能打开、能理解、能合法使用的样例材料。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公开与脱敏：</w:t>
      </w:r>
      <w:r>
        <w:rPr>
          <w:rFonts w:ascii="Calibri" w:hAnsi="Calibri" w:eastAsia="Microsoft YaHei"/>
        </w:rPr>
        <w:t>优先使用官方公开材料；企业内部资料必须获得许可并脱敏，不上传个人敏感或未公开信息。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</w:rPr>
        <w:t>另一名队员可以根据台账重新找到同一资料；链接失效时仍有来源说明和本地备份。</w:t>
      </w:r>
    </w:p>
    <w:p>
      <w:pPr>
        <w:pStyle w:val="Heading2"/>
        <w:keepNext/>
      </w:pPr>
      <w:r>
        <w:t>任务5｜提前设计效果评估，而不是最后补数字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人工参考：</w:t>
      </w:r>
      <w:r>
        <w:rPr>
          <w:rFonts w:ascii="Calibri" w:hAnsi="Calibri" w:eastAsia="Microsoft YaHei"/>
        </w:rPr>
        <w:t>由成员先写系统应该发现什么、依据是什么、正确输出长什么样。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比较对象：</w:t>
      </w:r>
      <w:r>
        <w:rPr>
          <w:rFonts w:ascii="Calibri" w:hAnsi="Calibri" w:eastAsia="Microsoft YaHei"/>
        </w:rPr>
        <w:t>至少准备一种普通做法，例如人工Excel、只用规则或直接问通用AI。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通用指标：</w:t>
      </w:r>
      <w:r>
        <w:rPr>
          <w:rFonts w:ascii="Calibri" w:hAnsi="Calibri" w:eastAsia="Microsoft YaHei"/>
        </w:rPr>
        <w:t>重点覆盖、引用准确、无依据结论、结构化成功、完成时间、核查步骤可执行性。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失败记录：</w:t>
      </w:r>
      <w:r>
        <w:rPr>
          <w:rFonts w:ascii="Calibri" w:hAnsi="Calibri" w:eastAsia="Microsoft YaHei"/>
        </w:rPr>
        <w:t>每次测试保留输入、预期、实际结果、错误截图、修改和复测结果。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</w:rPr>
        <w:t>候选题在开发前就能回答“用什么数据证明它比普通办法更好”。</w:t>
      </w:r>
    </w:p>
    <w:p>
      <w:pPr>
        <w:pStyle w:val="Heading2"/>
        <w:keepNext/>
      </w:pPr>
      <w:r>
        <w:t>任务6｜建立AI原生开发留证制度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Trae记录：</w:t>
      </w:r>
      <w:r>
        <w:rPr>
          <w:rFonts w:ascii="Calibri" w:hAnsi="Calibri" w:eastAsia="Microsoft YaHei"/>
        </w:rPr>
        <w:t>保存需求提示词、AI任务计划、创建／修改文件、报错、人工检查和运行结果。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Coze记录：</w:t>
      </w:r>
      <w:r>
        <w:rPr>
          <w:rFonts w:ascii="Calibri" w:hAnsi="Calibri" w:eastAsia="Microsoft YaHei"/>
        </w:rPr>
        <w:t>保存工作流版本、节点目的、输入输出字段、知识材料、失败处理和试运行截图。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人工责任：</w:t>
      </w:r>
      <w:r>
        <w:rPr>
          <w:rFonts w:ascii="Calibri" w:hAnsi="Calibri" w:eastAsia="Microsoft YaHei"/>
        </w:rPr>
        <w:t>任何AI生成的代码、规则、专业结论和文字都要记录由谁检查、怎样检查、是否通过。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</w:rPr>
        <w:t>每周至少一个可运行版本、一段操作录屏和一条“AI给错—人工发现—修正成功”的完整记录。</w:t>
      </w:r>
    </w:p>
    <w:p>
      <w:pPr>
        <w:pStyle w:val="Heading2"/>
        <w:keepNext/>
      </w:pPr>
      <w:r>
        <w:t>任务7｜建立五项评审证据库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600"/>
        <w:gridCol w:w="3680"/>
        <w:gridCol w:w="4080"/>
      </w:tblGrid>
      <w:tr>
        <w:trPr>
          <w:cantSplit/>
          <w:tblHeader w:val="true"/>
        </w:trPr>
        <w:tc>
          <w:tcPr>
            <w:tcW w:type="dxa" w:w="160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评审方面</w:t>
            </w:r>
          </w:p>
        </w:tc>
        <w:tc>
          <w:tcPr>
            <w:tcW w:type="dxa" w:w="368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现在先准备什么</w:t>
            </w:r>
          </w:p>
        </w:tc>
        <w:tc>
          <w:tcPr>
            <w:tcW w:type="dxa" w:w="408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以后用什么证明</w:t>
            </w:r>
          </w:p>
        </w:tc>
      </w:tr>
      <w:tr>
        <w:trPr>
          <w:cantSplit/>
        </w:trPr>
        <w:tc>
          <w:tcPr>
            <w:tcW w:type="dxa" w:w="160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专业深度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专业规则来源格式、风险／决策卡模板、教师复核栏</w:t>
            </w:r>
          </w:p>
        </w:tc>
        <w:tc>
          <w:tcPr>
            <w:tcW w:type="dxa" w:w="40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规则、认定、计算和具体核查／决策步骤</w:t>
            </w:r>
          </w:p>
        </w:tc>
      </w:tr>
      <w:tr>
        <w:trPr>
          <w:cantSplit/>
        </w:trPr>
        <w:tc>
          <w:tcPr>
            <w:tcW w:type="dxa" w:w="160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技术创新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工作流版本表、提示词和Vibe Coding记录格式</w:t>
            </w:r>
          </w:p>
        </w:tc>
        <w:tc>
          <w:tcPr>
            <w:tcW w:type="dxa" w:w="40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节点画布、拦截案例、运行日志、开发迭代</w:t>
            </w:r>
          </w:p>
        </w:tc>
      </w:tr>
      <w:tr>
        <w:trPr>
          <w:cantSplit/>
        </w:trPr>
        <w:tc>
          <w:tcPr>
            <w:tcW w:type="dxa" w:w="160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落地可行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MVP范围模板、异常情况清单、复现检查表</w:t>
            </w:r>
          </w:p>
        </w:tc>
        <w:tc>
          <w:tcPr>
            <w:tcW w:type="dxa" w:w="40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可运行原型、操作说明、备用方案和用户试用</w:t>
            </w:r>
          </w:p>
        </w:tc>
      </w:tr>
      <w:tr>
        <w:trPr>
          <w:cantSplit/>
        </w:trPr>
        <w:tc>
          <w:tcPr>
            <w:tcW w:type="dxa" w:w="160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效果评估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案例、人工参考、基线和测试记录模板</w:t>
            </w:r>
          </w:p>
        </w:tc>
        <w:tc>
          <w:tcPr>
            <w:tcW w:type="dxa" w:w="40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对比表、指标、失败案例和修复记录</w:t>
            </w:r>
          </w:p>
        </w:tc>
      </w:tr>
      <w:tr>
        <w:trPr>
          <w:cantSplit/>
        </w:trPr>
        <w:tc>
          <w:tcPr>
            <w:tcW w:type="dxa" w:w="160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文档展示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截图命名、素材登记、PPT和视频占位结构</w:t>
            </w:r>
          </w:p>
        </w:tc>
        <w:tc>
          <w:tcPr>
            <w:tcW w:type="dxa" w:w="40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统一口径的计划书、PPT、视频和演示脚本</w:t>
            </w:r>
          </w:p>
        </w:tc>
      </w:tr>
    </w:tbl>
    <w:p>
      <w:pPr>
        <w:spacing w:before="0" w:after="60" w:line="168" w:lineRule="auto"/>
      </w:pPr>
    </w:p>
    <w:p>
      <w:pPr>
        <w:pStyle w:val="Heading2"/>
        <w:keepNext/>
      </w:pPr>
      <w:r>
        <w:t>任务8｜建立文件、周报和备份规则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文件夹建议：</w:t>
      </w:r>
      <w:r>
        <w:rPr>
          <w:rFonts w:ascii="Calibri" w:hAnsi="Calibri" w:eastAsia="Microsoft YaHei"/>
        </w:rPr>
        <w:t>00竞赛手册与通知、01选题候选、02资料来源、03案例与数据、04评测、05原型、06计划书、07视频PPT、08版本备份。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文件命名：</w:t>
      </w:r>
      <w:r>
        <w:rPr>
          <w:rFonts w:ascii="Calibri" w:hAnsi="Calibri" w:eastAsia="Microsoft YaHei"/>
        </w:rPr>
        <w:t>使用“日期_角色_内容_V1”，不用“最新版”“最终最终版”。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每周提交：</w:t>
      </w:r>
      <w:r>
        <w:rPr>
          <w:rFonts w:ascii="Calibri" w:hAnsi="Calibri" w:eastAsia="Microsoft YaHei"/>
        </w:rPr>
        <w:t>周三过程截图，周六源文件和完成说明，周日验收与共同运行。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</w:rPr>
        <w:t>关键材料至少有共享文件夹和队长备份两份；任何成果都能找到负责人、来源和最新状态。</w:t>
      </w:r>
    </w:p>
    <w:p>
      <w:pPr>
        <w:pStyle w:val="Heading1"/>
        <w:keepNext/>
      </w:pPr>
      <w:r>
        <w:t>三、七天选题前冲刺安排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900"/>
        <w:gridCol w:w="3180"/>
        <w:gridCol w:w="3180"/>
        <w:gridCol w:w="2100"/>
      </w:tblGrid>
      <w:tr>
        <w:trPr>
          <w:cantSplit/>
          <w:tblHeader w:val="true"/>
        </w:trPr>
        <w:tc>
          <w:tcPr>
            <w:tcW w:type="dxa" w:w="900"/>
            <w:shd w:fill="2E74B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3180"/>
            <w:shd w:fill="2E74B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全员任务</w:t>
            </w:r>
          </w:p>
        </w:tc>
        <w:tc>
          <w:tcPr>
            <w:tcW w:type="dxa" w:w="3180"/>
            <w:shd w:fill="2E74B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队长应收到的成果</w:t>
            </w:r>
          </w:p>
        </w:tc>
        <w:tc>
          <w:tcPr>
            <w:tcW w:type="dxa" w:w="2100"/>
            <w:shd w:fill="2E74B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通过条件</w:t>
            </w:r>
          </w:p>
        </w:tc>
      </w:tr>
      <w:tr>
        <w:trPr>
          <w:cantSplit/>
        </w:trPr>
        <w:tc>
          <w:tcPr>
            <w:tcW w:type="dxa" w:w="9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D1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复核手册硬性要求；每人提出2个候选题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硬性要求表＋至少8个候选题</w:t>
            </w:r>
          </w:p>
        </w:tc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题目不是聊天机器人，且符合赛道</w:t>
            </w:r>
          </w:p>
        </w:tc>
      </w:tr>
      <w:tr>
        <w:trPr>
          <w:cantSplit/>
        </w:trPr>
        <w:tc>
          <w:tcPr>
            <w:tcW w:type="dxa" w:w="9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D2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每人选择2个候选题查用户、输入和输出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候选题一页纸初稿</w:t>
            </w:r>
          </w:p>
        </w:tc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能用一句话说清为谁解决什么问题</w:t>
            </w:r>
          </w:p>
        </w:tc>
      </w:tr>
      <w:tr>
        <w:trPr>
          <w:cantSplit/>
        </w:trPr>
        <w:tc>
          <w:tcPr>
            <w:tcW w:type="dxa" w:w="9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D3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为候选题寻找真实样例和专业依据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每题至少3份可用样例或明确淘汰</w:t>
            </w:r>
          </w:p>
        </w:tc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资料合法、能打开、能形成输入</w:t>
            </w:r>
          </w:p>
        </w:tc>
      </w:tr>
      <w:tr>
        <w:trPr>
          <w:cantSplit/>
        </w:trPr>
        <w:tc>
          <w:tcPr>
            <w:tcW w:type="dxa" w:w="9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D4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设计3分钟演示冲突和评测办法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演示故事板＋人工参考＋比较对象</w:t>
            </w:r>
          </w:p>
        </w:tc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能说明怎样证明系统有效</w:t>
            </w:r>
          </w:p>
        </w:tc>
      </w:tr>
      <w:tr>
        <w:trPr>
          <w:cantSplit/>
        </w:trPr>
        <w:tc>
          <w:tcPr>
            <w:tcW w:type="dxa" w:w="9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D5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按五项标准评分，排除不可做题目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前三名评分、风险和证据差异</w:t>
            </w:r>
          </w:p>
        </w:tc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数据、评测和MVP均不存在一票否决</w:t>
            </w:r>
          </w:p>
        </w:tc>
      </w:tr>
      <w:tr>
        <w:trPr>
          <w:cantSplit/>
        </w:trPr>
        <w:tc>
          <w:tcPr>
            <w:tcW w:type="dxa" w:w="9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D6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把前三名发给老师，集中问专业边界和行业选择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教师问题清单与反馈记录</w:t>
            </w:r>
          </w:p>
        </w:tc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老师明确支持／调整／淘汰意见</w:t>
            </w:r>
          </w:p>
        </w:tc>
      </w:tr>
      <w:tr>
        <w:trPr>
          <w:cantSplit/>
        </w:trPr>
        <w:tc>
          <w:tcPr>
            <w:tcW w:type="dxa" w:w="9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D7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综合教师意见与团队能力，正式冻结一个题目</w:t>
            </w:r>
          </w:p>
        </w:tc>
        <w:tc>
          <w:tcPr>
            <w:tcW w:type="dxa" w:w="318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选题冻结单＋备选题＋第一版MVP范围</w:t>
            </w:r>
          </w:p>
        </w:tc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四人都能解释选择理由和各自下一步</w:t>
            </w:r>
          </w:p>
        </w:tc>
      </w:tr>
    </w:tbl>
    <w:p>
      <w:pPr>
        <w:spacing w:before="0" w:after="60" w:line="168" w:lineRule="auto"/>
      </w:pPr>
    </w:p>
    <w:p>
      <w:pPr>
        <w:pStyle w:val="Heading1"/>
        <w:keepNext/>
      </w:pPr>
      <w:r>
        <w:t>四、四个人现在分别做什么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150"/>
        <w:gridCol w:w="4530"/>
        <w:gridCol w:w="3680"/>
      </w:tblGrid>
      <w:tr>
        <w:trPr>
          <w:cantSplit/>
          <w:tblHeader w:val="true"/>
        </w:trPr>
        <w:tc>
          <w:tcPr>
            <w:tcW w:type="dxa" w:w="115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453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选题前主责</w:t>
            </w:r>
          </w:p>
        </w:tc>
        <w:tc>
          <w:tcPr>
            <w:tcW w:type="dxa" w:w="368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本周至少提交</w:t>
            </w:r>
          </w:p>
        </w:tc>
      </w:tr>
      <w:tr>
        <w:trPr>
          <w:cantSplit/>
        </w:trPr>
        <w:tc>
          <w:tcPr>
            <w:tcW w:type="dxa" w:w="11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</w:t>
            </w:r>
          </w:p>
        </w:tc>
        <w:tc>
          <w:tcPr>
            <w:tcW w:type="dxa" w:w="453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维护总表、使用AI辅助查资料和拆题、组织评分、记录教师意见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2个候选题一页纸、总评分、AI开发记录规则、每日汇总</w:t>
            </w:r>
          </w:p>
        </w:tc>
      </w:tr>
      <w:tr>
        <w:trPr>
          <w:cantSplit/>
        </w:trPr>
        <w:tc>
          <w:tcPr>
            <w:tcW w:type="dxa" w:w="11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队员A</w:t>
            </w:r>
          </w:p>
        </w:tc>
        <w:tc>
          <w:tcPr>
            <w:tcW w:type="dxa" w:w="453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判断专业问题是否真实、是否有会计审计深度、能否形成具体步骤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2个候选题、每题3条专业规则、专业风险与待问老师问题</w:t>
            </w:r>
          </w:p>
        </w:tc>
      </w:tr>
      <w:tr>
        <w:trPr>
          <w:cantSplit/>
        </w:trPr>
        <w:tc>
          <w:tcPr>
            <w:tcW w:type="dxa" w:w="11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队员B</w:t>
            </w:r>
          </w:p>
        </w:tc>
        <w:tc>
          <w:tcPr>
            <w:tcW w:type="dxa" w:w="453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检查真实资料和效果评估是否做得出来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2个候选题、样例资料、人工参考思路、指标和比较对象</w:t>
            </w:r>
          </w:p>
        </w:tc>
      </w:tr>
      <w:tr>
        <w:trPr>
          <w:cantSplit/>
        </w:trPr>
        <w:tc>
          <w:tcPr>
            <w:tcW w:type="dxa" w:w="11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队员C</w:t>
            </w:r>
          </w:p>
        </w:tc>
        <w:tc>
          <w:tcPr>
            <w:tcW w:type="dxa" w:w="453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判断现场是否好演示、第一次看是否能理解、素材是否容易制作</w:t>
            </w:r>
          </w:p>
        </w:tc>
        <w:tc>
          <w:tcPr>
            <w:tcW w:type="dxa" w:w="368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2个候选题、3分钟演示故事板、页面草图和展示风险</w:t>
            </w:r>
          </w:p>
        </w:tc>
      </w:tr>
    </w:tbl>
    <w:p>
      <w:pPr>
        <w:spacing w:before="0" w:after="60" w:line="168" w:lineRule="auto"/>
      </w:pP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避免重复劳动：</w:t>
      </w:r>
      <w:r>
        <w:rPr>
          <w:rFonts w:ascii="Calibri" w:hAnsi="Calibri" w:eastAsia="Microsoft YaHei"/>
          <w:color w:val="111827"/>
          <w:sz w:val="21"/>
        </w:rPr>
        <w:t>四个人不是各自秘密研究到最后。每人可以提出题目，但所有题目必须放入同一评分表；发现没有数据、没有参考答案或无法演示时，立即标记淘汰，不继续花时间美化名称。</w:t>
      </w:r>
    </w:p>
    <w:p>
      <w:pPr>
        <w:pStyle w:val="Heading1"/>
        <w:keepNext/>
      </w:pPr>
      <w:r>
        <w:t>五、选题冻结前的七项通过条件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一句话价值清楚：</w:t>
      </w:r>
      <w:r>
        <w:rPr>
          <w:rFonts w:ascii="Calibri" w:hAnsi="Calibri" w:eastAsia="Microsoft YaHei"/>
        </w:rPr>
        <w:t>能说清谁使用、解决哪个具体动作。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样例真实可得：</w:t>
      </w:r>
      <w:r>
        <w:rPr>
          <w:rFonts w:ascii="Calibri" w:hAnsi="Calibri" w:eastAsia="Microsoft YaHei"/>
        </w:rPr>
        <w:t>48小时内拿到至少3份可合法使用的输入材料。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专业逻辑成立：</w:t>
      </w:r>
      <w:r>
        <w:rPr>
          <w:rFonts w:ascii="Calibri" w:hAnsi="Calibri" w:eastAsia="Microsoft YaHei"/>
        </w:rPr>
        <w:t>至少有3条可引用的会计、审计或管理会计规则。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结果可以验证：</w:t>
      </w:r>
      <w:r>
        <w:rPr>
          <w:rFonts w:ascii="Calibri" w:hAnsi="Calibri" w:eastAsia="Microsoft YaHei"/>
        </w:rPr>
        <w:t>存在人工参考答案、后续真实结果或可控制的植入错误。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不是普通聊天：</w:t>
      </w:r>
      <w:r>
        <w:rPr>
          <w:rFonts w:ascii="Calibri" w:hAnsi="Calibri" w:eastAsia="Microsoft YaHei"/>
        </w:rPr>
        <w:t>输出有固定字段、证据、计算或明确行动。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现场好演示：</w:t>
      </w:r>
      <w:r>
        <w:rPr>
          <w:rFonts w:ascii="Calibri" w:hAnsi="Calibri" w:eastAsia="Microsoft YaHei"/>
        </w:rPr>
        <w:t>3分钟内能出现一个明显冲突、处理过程和改进结果。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四周能做出MVP：</w:t>
      </w:r>
      <w:r>
        <w:rPr>
          <w:rFonts w:ascii="Calibri" w:hAnsi="Calibri" w:eastAsia="Microsoft YaHei"/>
        </w:rPr>
        <w:t>范围能缩到一个行业／业务、固定输入和3—5项核心功能。</w:t>
      </w:r>
    </w:p>
    <w:p>
      <w:pPr>
        <w:keepLines/>
        <w:spacing w:before="80" w:after="160" w:line="283" w:lineRule="auto"/>
        <w:ind w:left="115" w:right="115"/>
        <w:shd w:fill="FFF8E8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B47A00"/>
          <w:sz w:val="21"/>
        </w:rPr>
        <w:t>决策原则：</w:t>
      </w:r>
      <w:r>
        <w:rPr>
          <w:rFonts w:ascii="Calibri" w:hAnsi="Calibri" w:eastAsia="Microsoft YaHei"/>
          <w:color w:val="111827"/>
          <w:sz w:val="21"/>
        </w:rPr>
        <w:t>七项条件全部满足后再冻结选题。五项评分高但拿不到数据，或者看起来新颖却没有客观评测办法，都不能成为最终首选。</w:t>
      </w:r>
    </w:p>
    <w:p>
      <w:pPr>
        <w:pStyle w:val="Heading1"/>
        <w:keepNext/>
      </w:pPr>
      <w:r>
        <w:t>六、配套Excel怎样使用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每天更新：</w:t>
      </w:r>
      <w:r>
        <w:rPr>
          <w:rFonts w:ascii="Calibri" w:hAnsi="Calibri" w:eastAsia="Microsoft YaHei"/>
        </w:rPr>
        <w:t>先在“选题评分”登记候选题，再在“选题说明”写清用户、输入、输出、演示和风险。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找到资料就登记：</w:t>
      </w:r>
      <w:r>
        <w:rPr>
          <w:rFonts w:ascii="Calibri" w:hAnsi="Calibri" w:eastAsia="Microsoft YaHei"/>
        </w:rPr>
        <w:t>任何PDF、网页、数据或规则进入“资料来源台账”，不只发到微信群。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先写预期再测试：</w:t>
      </w:r>
      <w:r>
        <w:rPr>
          <w:rFonts w:ascii="Calibri" w:hAnsi="Calibri" w:eastAsia="Microsoft YaHei"/>
        </w:rPr>
        <w:t>在“案例与测试”先填正确答案和比较对象，之后才能填写系统实际结果。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开发必须留证：</w:t>
      </w:r>
      <w:r>
        <w:rPr>
          <w:rFonts w:ascii="Calibri" w:hAnsi="Calibri" w:eastAsia="Microsoft YaHei"/>
        </w:rPr>
        <w:t>Trae和Coze的关键提示、版本、人工检查和录屏位置进入“Vibe开发记录”。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每周复盘：</w:t>
      </w:r>
      <w:r>
        <w:rPr>
          <w:rFonts w:ascii="Calibri" w:hAnsi="Calibri" w:eastAsia="Microsoft YaHei"/>
        </w:rPr>
        <w:t>用“五维证据”和“周任务”检查是否只有技术进度，却没有专业、评测或展示成果。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教师意见闭环：</w:t>
      </w:r>
      <w:r>
        <w:rPr>
          <w:rFonts w:ascii="Calibri" w:hAnsi="Calibri" w:eastAsia="Microsoft YaHei"/>
        </w:rPr>
        <w:t>所有影响选题和边界的意见进入“待确认问题”，记录决定、日期和后续动作。</w:t>
      </w:r>
    </w:p>
    <w:p>
      <w:pPr>
        <w:pStyle w:val="Heading1"/>
        <w:keepNext/>
      </w:pPr>
      <w:r>
        <w:t>七、选题确定后立即切换的工作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冻结项目名称、一句话价值、首要用户、一个行业／业务场景和明确边界。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从资料台账筛出正式数据，开始制作风险卡／决策卡和人工参考答案。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把通用评测模板填写为具体案例、指标、基线和目标值。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在Coze搭建第一条最短工作流，在Trae完成上传页和结果页，不先做非核心功能。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形成第一版“输入—分析／决策—证据—人工确认—结构化输出”端到端闭环。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完成标志：</w:t>
      </w:r>
      <w:r>
        <w:rPr>
          <w:rFonts w:ascii="Calibri" w:hAnsi="Calibri" w:eastAsia="Microsoft YaHei"/>
          <w:color w:val="111827"/>
        </w:rPr>
        <w:t>团队拿着本清单和配套台账，可以在不重新建表、不重新规定文件格式的情况下，直接开始写正式方案并制作原型。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队内执行版 V1.0  |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队内执行版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数智会计竞赛 | 选题前共通准备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before="0" w:after="80" w:line="276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Text">
    <w:name w:val="Table Text"/>
    <w:pPr>
      <w:spacing w:before="0" w:after="0" w:line="269" w:lineRule="auto"/>
    </w:pPr>
    <w:rPr>
      <w:rFonts w:ascii="Calibri" w:hAnsi="Calibri" w:eastAsia="Microsoft YaHei"/>
      <w:b w:val="0"/>
      <w:color w:val="111827"/>
      <w:sz w:val="18"/>
    </w:r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eastAsia="Microsoft YaHei"/>
      <w:b w:val="0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数智会计竞赛选题前共通任务执行清单</dc:title>
  <dc:subject>在选题尚未冻结时即可完成的团队任务、交付标准和七日推进安排</dc:subject>
  <dc:creator>审迹智链参赛团队</dc:creator>
  <cp:keywords>数智会计, 智能审计, 多智能体, RAG, AuditTrace</cp:keywords>
  <dc:description>2026年北京市大学生数智会计创新应用竞赛准备材料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