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keepNext/>
        <w:spacing w:before="0" w:after="280"/>
        <w:jc w:val="center"/>
      </w:pPr>
      <w:r>
        <w:rPr>
          <w:rFonts w:ascii="Calibri" w:hAnsi="Calibri" w:eastAsia="Microsoft YaHei"/>
          <w:b/>
          <w:color w:val="B47A00"/>
          <w:sz w:val="19"/>
        </w:rPr>
        <w:t>2026 北京市大学生数智会计创新应用竞赛</w:t>
      </w:r>
    </w:p>
    <w:p>
      <w:pPr>
        <w:keepNext/>
        <w:spacing w:before="0" w:after="160"/>
        <w:jc w:val="center"/>
      </w:pPr>
      <w:r>
        <w:rPr>
          <w:rFonts w:ascii="Calibri" w:hAnsi="Calibri" w:eastAsia="Microsoft YaHei"/>
          <w:b/>
          <w:color w:val="0B2545"/>
          <w:sz w:val="60"/>
        </w:rPr>
        <w:t>审迹智链（AuditTrace）</w:t>
      </w:r>
    </w:p>
    <w:p>
      <w:pPr>
        <w:keepNext/>
        <w:spacing w:before="0" w:after="480"/>
        <w:jc w:val="center"/>
      </w:pPr>
      <w:r>
        <w:rPr>
          <w:rFonts w:ascii="Calibri" w:hAnsi="Calibri" w:eastAsia="Microsoft YaHei"/>
          <w:color w:val="1F4D78"/>
          <w:sz w:val="30"/>
        </w:rPr>
        <w:t>基于可追溯证据链与AI审计复核工作流的</w:t>
        <w:br/>
        <w:t>上市公司年报风险识别及核查任务生成系统</w:t>
      </w:r>
    </w:p>
    <w:p>
      <w:pPr>
        <w:pStyle w:val="Metadata"/>
        <w:spacing w:before="4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参赛方向：</w:t>
      </w:r>
      <w:r>
        <w:rPr>
          <w:rFonts w:ascii="Calibri" w:hAnsi="Calibri" w:eastAsia="Microsoft YaHei"/>
          <w:color w:val="111827"/>
          <w:sz w:val="19"/>
        </w:rPr>
        <w:t>智能审计赛道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文档用途：</w:t>
      </w:r>
      <w:r>
        <w:rPr>
          <w:rFonts w:ascii="Calibri" w:hAnsi="Calibri" w:eastAsia="Microsoft YaHei"/>
          <w:color w:val="111827"/>
          <w:sz w:val="19"/>
        </w:rPr>
        <w:t>指导教师审阅与方向确认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团队规模：</w:t>
      </w:r>
      <w:r>
        <w:rPr>
          <w:rFonts w:ascii="Calibri" w:hAnsi="Calibri" w:eastAsia="Microsoft YaHei"/>
          <w:color w:val="111827"/>
          <w:sz w:val="19"/>
        </w:rPr>
        <w:t>4人（队长＋队员A／B／C）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核心路线：</w:t>
      </w:r>
      <w:r>
        <w:rPr>
          <w:rFonts w:ascii="Calibri" w:hAnsi="Calibri" w:eastAsia="Microsoft YaHei"/>
          <w:color w:val="111827"/>
          <w:sz w:val="19"/>
        </w:rPr>
        <w:t>Trae Vibe Coding＋Coze复核工作流＋可运行Web原型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拟指导教师：</w:t>
      </w:r>
      <w:r>
        <w:rPr>
          <w:rFonts w:ascii="Calibri" w:hAnsi="Calibri" w:eastAsia="Microsoft YaHei"/>
          <w:color w:val="111827"/>
          <w:sz w:val="19"/>
        </w:rPr>
        <w:t>姓名待补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版本日期：</w:t>
      </w:r>
      <w:r>
        <w:rPr>
          <w:rFonts w:ascii="Calibri" w:hAnsi="Calibri" w:eastAsia="Microsoft YaHei"/>
          <w:color w:val="111827"/>
          <w:sz w:val="19"/>
        </w:rPr>
        <w:t>V2.0 · 2026年7月13日</w:t>
      </w:r>
    </w:p>
    <w:p>
      <w:pPr>
        <w:spacing w:after="40"/>
      </w:pPr>
    </w:p>
    <w:p>
      <w:pPr>
        <w:spacing w:before="440"/>
        <w:jc w:val="center"/>
      </w:pPr>
      <w:r>
        <w:rPr>
          <w:rFonts w:ascii="Calibri" w:hAnsi="Calibri" w:eastAsia="Microsoft YaHei"/>
          <w:b/>
          <w:color w:val="1F4D78"/>
          <w:sz w:val="21"/>
        </w:rPr>
        <w:t>定位：让每条AI风险提示都能回到原文核验，并转化为可执行审计核查任务</w:t>
      </w:r>
    </w:p>
    <w:p>
      <w:r>
        <w:br w:type="page"/>
      </w:r>
    </w:p>
    <w:p>
      <w:pPr>
        <w:pStyle w:val="Heading1"/>
        <w:keepNext/>
      </w:pPr>
      <w:r>
        <w:t>一、根据教师意见作出的核心调整</w:t>
      </w:r>
    </w:p>
    <w:p>
      <w:pPr>
        <w:keepLines/>
        <w:spacing w:before="80" w:after="160" w:line="283" w:lineRule="auto"/>
        <w:ind w:left="115" w:right="115"/>
        <w:shd w:fill="E8EEF5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我们对老师意见的理解：</w:t>
      </w:r>
      <w:r>
        <w:rPr>
          <w:rFonts w:ascii="Calibri" w:hAnsi="Calibri" w:eastAsia="Microsoft YaHei"/>
          <w:color w:val="111827"/>
          <w:sz w:val="21"/>
        </w:rPr>
        <w:t>创新不能只写在技术名词中，而要在专业深度、技术创新、落地可行、效果评估和文档展示五方面都留下可验证证据；同时，作品不应呈现为普通Python脚本加一次大模型问答，而应体现AI原生开发、可观察的智能体工作流和人工复核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3350"/>
        <w:gridCol w:w="6010"/>
      </w:tblGrid>
      <w:tr>
        <w:trPr>
          <w:cantSplit/>
          <w:tblHeader w:val="true"/>
        </w:trPr>
        <w:tc>
          <w:tcPr>
            <w:tcW w:type="dxa" w:w="33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原方案可能给人的印象</w:t>
            </w:r>
          </w:p>
        </w:tc>
        <w:tc>
          <w:tcPr>
            <w:tcW w:type="dxa" w:w="60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本次修订后的处理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项目像“Python读取PDF后问一次大模型”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Trae负责自然语言驱动开发；Coze展示分步骤、可试跑、可复核的AI审计工作流；Python退居稳定运行底座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智能体数量多，但评委不易看懂差别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缩为四个清晰环节：找异常、查依据、反向检查、生成任务卡；每步固定输入输出并保存日志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创新点较多且偏学术名词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冻结三项主创新：完整证据链、分析—质疑—人工确认、时点隔离回测；其他功能作为支撑亮点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评估指标学术化、实际执行压力大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先做10—15个高质量历史案例，用覆盖、引用、无依据结论、核查步骤可执行性和时间进行直观比较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项目范围偏大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MVP聚焦1个行业、5类重点科目和8—10类风险，优先做成可演示闭环</w:t>
            </w:r>
          </w:p>
        </w:tc>
      </w:tr>
    </w:tbl>
    <w:p>
      <w:pPr>
        <w:spacing w:before="0" w:after="60" w:line="168" w:lineRule="auto"/>
      </w:pPr>
    </w:p>
    <w:p>
      <w:pPr/>
      <w:r>
        <w:rPr>
          <w:rFonts w:ascii="Calibri" w:hAnsi="Calibri" w:eastAsia="Microsoft YaHei"/>
          <w:i w:val="0"/>
          <w:color w:val="111827"/>
        </w:rPr>
        <w:t>需特别说明：Vibe Coding是一种AI主导的开发方式，不是一种新的编程语言。竞赛手册仍要求以Python 3.10+为主要运行语言，因此本项目保留Python作为PDF读取、确定性计算、Coze接口调用和结构化结果校验底座；创新重点放在审计工作流、证据门槛和可验证效果，而不是手写代码数量。</w:t>
      </w:r>
    </w:p>
    <w:p>
      <w:pPr>
        <w:pStyle w:val="Heading1"/>
        <w:keepNext/>
      </w:pPr>
      <w:r>
        <w:t>二、方案摘要与选题升级</w:t>
      </w:r>
    </w:p>
    <w:p>
      <w:pPr>
        <w:keepLines/>
        <w:spacing w:before="80" w:after="160" w:line="283" w:lineRule="auto"/>
        <w:ind w:left="115" w:right="115"/>
        <w:shd w:fill="FFF8E8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B47A00"/>
          <w:sz w:val="21"/>
        </w:rPr>
        <w:t>核心方案：</w:t>
      </w:r>
      <w:r>
        <w:rPr>
          <w:rFonts w:ascii="Calibri" w:hAnsi="Calibri" w:eastAsia="Microsoft YaHei"/>
          <w:color w:val="111827"/>
          <w:sz w:val="21"/>
        </w:rPr>
        <w:t>使用者上传上市公司年报后，系统先通过确定性计算和AI识别风险线索，再从年报、公开监管材料与审计规则中查找依据；第二个AI岗位专门质疑前一结论并拦截无页码、无来源或表述过度的结果；经人工确认后，系统生成“风险—证据—管理层认定—核查步骤”任务卡，并保留完整过程记录。</w:t>
      </w:r>
    </w:p>
    <w:p>
      <w:pPr/>
      <w:r>
        <w:rPr>
          <w:rFonts w:ascii="Calibri" w:hAnsi="Calibri" w:eastAsia="Microsoft YaHei"/>
          <w:i w:val="0"/>
          <w:color w:val="111827"/>
        </w:rPr>
        <w:t>项目拟参加智能审计赛道。它不替代注册会计师形成审计意见，也不自动认定企业存在财务造假；它的核心价值，是把通用AI容易生成的一段不可核验文字，转变为一组能回到原年报逐项核对、能交给审计人员继续执行、能量化评估质量的风险任务。</w:t>
      </w:r>
    </w:p>
    <w:p>
      <w:pPr>
        <w:pStyle w:val="Heading2"/>
        <w:keepNext/>
      </w:pPr>
      <w:r>
        <w:t>为什么这一选题比“年报智能问答”更有区分度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输出不同：</w:t>
      </w:r>
      <w:r>
        <w:rPr>
          <w:rFonts w:ascii="Calibri" w:hAnsi="Calibri" w:eastAsia="Microsoft YaHei"/>
        </w:rPr>
        <w:t>不是回答“这家公司有什么风险”，而是生成带页码、计算、认定、核查资料和人工状态的任务卡。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过程不同：</w:t>
      </w:r>
      <w:r>
        <w:rPr>
          <w:rFonts w:ascii="Calibri" w:hAnsi="Calibri" w:eastAsia="Microsoft YaHei"/>
        </w:rPr>
        <w:t>不是一次问答，而是分析、证据检索、反向质疑、人工确认的可见工作流。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验证不同：</w:t>
      </w:r>
      <w:r>
        <w:rPr>
          <w:rFonts w:ascii="Calibri" w:hAnsi="Calibri" w:eastAsia="Microsoft YaHei"/>
        </w:rPr>
        <w:t>不是挑一个成功案例展示，而是冻结历史时点，与后来监管问询和通用AI基线进行对比。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贡献不同：</w:t>
      </w:r>
      <w:r>
        <w:rPr>
          <w:rFonts w:ascii="Calibri" w:hAnsi="Calibri" w:eastAsia="Microsoft YaHei"/>
        </w:rPr>
        <w:t>形成可复用的风险—证据—认定—程序知识卡、小型评测集和AI审计协作方法。</w:t>
      </w:r>
    </w:p>
    <w:p>
      <w:pPr>
        <w:pStyle w:val="Heading1"/>
        <w:keepNext/>
      </w:pPr>
      <w:r>
        <w:t>三、五项评审标准与可验证亮点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250"/>
        <w:gridCol w:w="3150"/>
        <w:gridCol w:w="2650"/>
        <w:gridCol w:w="2310"/>
      </w:tblGrid>
      <w:tr>
        <w:trPr>
          <w:cantSplit/>
          <w:tblHeader w:val="true"/>
        </w:trPr>
        <w:tc>
          <w:tcPr>
            <w:tcW w:type="dxa" w:w="1250"/>
            <w:shd w:fill="1F4D78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评审标准</w:t>
            </w:r>
          </w:p>
        </w:tc>
        <w:tc>
          <w:tcPr>
            <w:tcW w:type="dxa" w:w="3150"/>
            <w:shd w:fill="1F4D78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突出亮点／创新</w:t>
            </w:r>
          </w:p>
        </w:tc>
        <w:tc>
          <w:tcPr>
            <w:tcW w:type="dxa" w:w="2650"/>
            <w:shd w:fill="1F4D78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验收办法</w:t>
            </w:r>
          </w:p>
        </w:tc>
        <w:tc>
          <w:tcPr>
            <w:tcW w:type="dxa" w:w="2310"/>
            <w:shd w:fill="1F4D78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最终展示证据</w:t>
            </w:r>
          </w:p>
        </w:tc>
      </w:tr>
      <w:tr>
        <w:trPr>
          <w:cantSplit/>
        </w:trPr>
        <w:tc>
          <w:tcPr>
            <w:tcW w:type="dxa" w:w="12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专业深度</w:t>
            </w:r>
          </w:p>
        </w:tc>
        <w:tc>
          <w:tcPr>
            <w:tcW w:type="dxa" w:w="3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每条风险连到报表项目、管理层认定、年报证据、可能正常解释和具体核查程序</w:t>
            </w:r>
          </w:p>
        </w:tc>
        <w:tc>
          <w:tcPr>
            <w:tcW w:type="dxa" w:w="2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教师抽查风险卡与任务卡，确认逻辑和措辞</w:t>
            </w:r>
          </w:p>
        </w:tc>
        <w:tc>
          <w:tcPr>
            <w:tcW w:type="dxa" w:w="231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风险知识库、证据详情页、核查任务卡</w:t>
            </w:r>
          </w:p>
        </w:tc>
      </w:tr>
      <w:tr>
        <w:trPr>
          <w:cantSplit/>
        </w:trPr>
        <w:tc>
          <w:tcPr>
            <w:tcW w:type="dxa" w:w="12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技术创新</w:t>
            </w:r>
          </w:p>
        </w:tc>
        <w:tc>
          <w:tcPr>
            <w:tcW w:type="dxa" w:w="3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Coze可观察复核工作流＋证据准入门槛＋Trae Vibe Coding完整记录</w:t>
            </w:r>
          </w:p>
        </w:tc>
        <w:tc>
          <w:tcPr>
            <w:tcW w:type="dxa" w:w="2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现场查看节点输入输出，并故意输入缺页码结果测试拦截</w:t>
            </w:r>
          </w:p>
        </w:tc>
        <w:tc>
          <w:tcPr>
            <w:tcW w:type="dxa" w:w="231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工作流画布、节点日志、Vibe Coding日志与录屏</w:t>
            </w:r>
          </w:p>
        </w:tc>
      </w:tr>
      <w:tr>
        <w:trPr>
          <w:cantSplit/>
        </w:trPr>
        <w:tc>
          <w:tcPr>
            <w:tcW w:type="dxa" w:w="12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落地可行</w:t>
            </w:r>
          </w:p>
        </w:tc>
        <w:tc>
          <w:tcPr>
            <w:tcW w:type="dxa" w:w="3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只做1个行业、固定风险和公开材料；Trae快速迭代，Python保证复现；具备错误提示与备份</w:t>
            </w:r>
          </w:p>
        </w:tc>
        <w:tc>
          <w:tcPr>
            <w:tcW w:type="dxa" w:w="2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在另一台Windows电脑从零运行固定案例</w:t>
            </w:r>
          </w:p>
        </w:tc>
        <w:tc>
          <w:tcPr>
            <w:tcW w:type="dxa" w:w="231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可运行Web原型、说明书、备用结果与录屏</w:t>
            </w:r>
          </w:p>
        </w:tc>
      </w:tr>
      <w:tr>
        <w:trPr>
          <w:cantSplit/>
        </w:trPr>
        <w:tc>
          <w:tcPr>
            <w:tcW w:type="dxa" w:w="12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效果评估</w:t>
            </w:r>
          </w:p>
        </w:tc>
        <w:tc>
          <w:tcPr>
            <w:tcW w:type="dxa" w:w="3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不偷看未来信息的历史回测；与通用AI直接回答进行同案例比较</w:t>
            </w:r>
          </w:p>
        </w:tc>
        <w:tc>
          <w:tcPr>
            <w:tcW w:type="dxa" w:w="2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10—15个案例，统计覆盖、引用、无依据结论、程序可执行性和时间</w:t>
            </w:r>
          </w:p>
        </w:tc>
        <w:tc>
          <w:tcPr>
            <w:tcW w:type="dxa" w:w="231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对比表、图表、失败案例和改进记录</w:t>
            </w:r>
          </w:p>
        </w:tc>
      </w:tr>
      <w:tr>
        <w:trPr>
          <w:cantSplit/>
        </w:trPr>
        <w:tc>
          <w:tcPr>
            <w:tcW w:type="dxa" w:w="12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文档展示</w:t>
            </w:r>
          </w:p>
        </w:tc>
        <w:tc>
          <w:tcPr>
            <w:tcW w:type="dxa" w:w="31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一条案例讲完整闭环，页面、计划书、PPT、视频使用同一数据与结论</w:t>
            </w:r>
          </w:p>
        </w:tc>
        <w:tc>
          <w:tcPr>
            <w:tcW w:type="dxa" w:w="265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逐项核对五方面证据及来源</w:t>
            </w:r>
          </w:p>
        </w:tc>
        <w:tc>
          <w:tcPr>
            <w:tcW w:type="dxa" w:w="231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三张主视觉：工作流、完整证据链、回测对比</w:t>
            </w:r>
          </w:p>
        </w:tc>
      </w:tr>
    </w:tbl>
    <w:p>
      <w:pPr>
        <w:spacing w:before="0" w:after="60" w:line="168" w:lineRule="auto"/>
      </w:pPr>
    </w:p>
    <w:p>
      <w:pPr>
        <w:pStyle w:val="Heading1"/>
        <w:keepNext/>
      </w:pPr>
      <w:r>
        <w:t>四、三项主创新与辅助贡献</w:t>
      </w:r>
    </w:p>
    <w:p>
      <w:pPr>
        <w:pStyle w:val="Heading2"/>
        <w:keepNext/>
      </w:pPr>
      <w:r>
        <w:t>主创新1：可回查、可拦截的完整审计证据链</w:t>
      </w:r>
    </w:p>
    <w:p>
      <w:pPr/>
      <w:r>
        <w:rPr>
          <w:rFonts w:ascii="Calibri" w:hAnsi="Calibri" w:eastAsia="Microsoft YaHei"/>
          <w:i w:val="0"/>
          <w:color w:val="111827"/>
        </w:rPr>
        <w:t>每条风险必须同时包含异常数字或原文、文件与页码、风险理由、相关报表项目和管理层认定、建议核查程序。系统设置“证据准入门槛”：缺少来源或页码、数字无法重新计算、措辞直接定性时，结果自动标为待补充，不能进入正式导出。创新价值在于把“模型说了什么”转化为“人能否复核、能否继续执行”。</w:t>
      </w:r>
    </w:p>
    <w:p>
      <w:pPr>
        <w:pStyle w:val="Heading2"/>
        <w:keepNext/>
      </w:pPr>
      <w:r>
        <w:t>主创新2：“分析—质疑—人工确认”的AI审计复核工作流</w:t>
      </w:r>
    </w:p>
    <w:p>
      <w:pPr/>
      <w:r>
        <w:rPr>
          <w:rFonts w:ascii="Calibri" w:hAnsi="Calibri" w:eastAsia="Microsoft YaHei"/>
          <w:i w:val="0"/>
          <w:color w:val="111827"/>
        </w:rPr>
        <w:t>第一个岗位发现异常并提出风险，第二个岗位从正常商业解释、证据完整性和措辞边界三个角度反向检查；只有通过检查的结果才进入任务卡，最终由人选择接受、修改或删除。现场将展示一个被复核岗位拦截的无依据结论，证明工作流并非简单给多个AI角色改名。</w:t>
      </w:r>
    </w:p>
    <w:p>
      <w:pPr>
        <w:pStyle w:val="Heading2"/>
        <w:keepNext/>
      </w:pPr>
      <w:r>
        <w:t>主创新3：不偷看答案的监管问询时点回测</w:t>
      </w:r>
    </w:p>
    <w:p>
      <w:pPr/>
      <w:r>
        <w:rPr>
          <w:rFonts w:ascii="Calibri" w:hAnsi="Calibri" w:eastAsia="Microsoft YaHei"/>
          <w:i w:val="0"/>
          <w:color w:val="111827"/>
        </w:rPr>
        <w:t>回测某年度年报时，系统只能读取当时已经公开的年报和资料，后续问询或处罚仅在输出完成后作为参照答案。这样可以判断系统当时是否有机会发现后来被监管关注的事项，避免把未来结论提前放进知识库而形成虚假高分。</w:t>
      </w:r>
    </w:p>
    <w:p>
      <w:pPr>
        <w:pStyle w:val="Heading2"/>
        <w:keepNext/>
      </w:pPr>
      <w:r>
        <w:t>辅助亮点与可形成的贡献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900"/>
        <w:gridCol w:w="3900"/>
        <w:gridCol w:w="3560"/>
      </w:tblGrid>
      <w:tr>
        <w:trPr>
          <w:cantSplit/>
          <w:tblHeader w:val="true"/>
        </w:trPr>
        <w:tc>
          <w:tcPr>
            <w:tcW w:type="dxa" w:w="190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辅助亮点</w:t>
            </w:r>
          </w:p>
        </w:tc>
        <w:tc>
          <w:tcPr>
            <w:tcW w:type="dxa" w:w="390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具体做法</w:t>
            </w:r>
          </w:p>
        </w:tc>
        <w:tc>
          <w:tcPr>
            <w:tcW w:type="dxa" w:w="356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形成的贡献</w:t>
            </w:r>
          </w:p>
        </w:tc>
      </w:tr>
      <w:tr>
        <w:trPr>
          <w:cantSplit/>
        </w:trPr>
        <w:tc>
          <w:tcPr>
            <w:tcW w:type="dxa" w:w="1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风险优先级</w:t>
            </w:r>
          </w:p>
        </w:tc>
        <w:tc>
          <w:tcPr>
            <w:tcW w:type="dxa" w:w="3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按影响大小、证据充分性和待核查紧迫程度排序</w:t>
            </w:r>
          </w:p>
        </w:tc>
        <w:tc>
          <w:tcPr>
            <w:tcW w:type="dxa" w:w="35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帮助使用者先看最重要的事项</w:t>
            </w:r>
          </w:p>
        </w:tc>
      </w:tr>
      <w:tr>
        <w:trPr>
          <w:cantSplit/>
        </w:trPr>
        <w:tc>
          <w:tcPr>
            <w:tcW w:type="dxa" w:w="1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审计核查任务卡</w:t>
            </w:r>
          </w:p>
        </w:tc>
        <w:tc>
          <w:tcPr>
            <w:tcW w:type="dxa" w:w="3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把风险转成查合同、凭证、回款、盘点或函证等具体动作</w:t>
            </w:r>
          </w:p>
        </w:tc>
        <w:tc>
          <w:tcPr>
            <w:tcW w:type="dxa" w:w="35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从“发现问题”推进到“下一步怎么做”</w:t>
            </w:r>
          </w:p>
        </w:tc>
      </w:tr>
      <w:tr>
        <w:trPr>
          <w:cantSplit/>
        </w:trPr>
        <w:tc>
          <w:tcPr>
            <w:tcW w:type="dxa" w:w="1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人工修改与版本记录</w:t>
            </w:r>
          </w:p>
        </w:tc>
        <w:tc>
          <w:tcPr>
            <w:tcW w:type="dxa" w:w="3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保存AI初稿、复核意见、人工修改和最终状态</w:t>
            </w:r>
          </w:p>
        </w:tc>
        <w:tc>
          <w:tcPr>
            <w:tcW w:type="dxa" w:w="35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明确AI与人的责任边界，支持复盘</w:t>
            </w:r>
          </w:p>
        </w:tc>
      </w:tr>
      <w:tr>
        <w:trPr>
          <w:cantSplit/>
        </w:trPr>
        <w:tc>
          <w:tcPr>
            <w:tcW w:type="dxa" w:w="1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通用AI同屏对比</w:t>
            </w:r>
          </w:p>
        </w:tc>
        <w:tc>
          <w:tcPr>
            <w:tcW w:type="dxa" w:w="3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同一资料、同一问题，比较直接回答与完整工作流</w:t>
            </w:r>
          </w:p>
        </w:tc>
        <w:tc>
          <w:tcPr>
            <w:tcW w:type="dxa" w:w="35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直观看到证据链和复核机制的增量价值</w:t>
            </w:r>
          </w:p>
        </w:tc>
      </w:tr>
      <w:tr>
        <w:trPr>
          <w:cantSplit/>
        </w:trPr>
        <w:tc>
          <w:tcPr>
            <w:tcW w:type="dxa" w:w="1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可复用专业知识资产</w:t>
            </w:r>
          </w:p>
        </w:tc>
        <w:tc>
          <w:tcPr>
            <w:tcW w:type="dxa" w:w="3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沉淀风险—证据—认定—程序知识卡与小型历史评测集</w:t>
            </w:r>
          </w:p>
        </w:tc>
        <w:tc>
          <w:tcPr>
            <w:tcW w:type="dxa" w:w="35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为后续课程、训练和行业扩展提供基础</w:t>
            </w:r>
          </w:p>
        </w:tc>
      </w:tr>
      <w:tr>
        <w:trPr>
          <w:cantSplit/>
        </w:trPr>
        <w:tc>
          <w:tcPr>
            <w:tcW w:type="dxa" w:w="1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会计学生参与AI开发方法</w:t>
            </w:r>
          </w:p>
        </w:tc>
        <w:tc>
          <w:tcPr>
            <w:tcW w:type="dxa" w:w="39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A定义专业逻辑，B验证效果，C验证易用性，队长通过Trae与Coze整合</w:t>
            </w:r>
          </w:p>
        </w:tc>
        <w:tc>
          <w:tcPr>
            <w:tcW w:type="dxa" w:w="35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证明非计算机团队也能以专业知识主导AI应用</w:t>
            </w:r>
          </w:p>
        </w:tc>
      </w:tr>
    </w:tbl>
    <w:p>
      <w:pPr>
        <w:spacing w:before="0" w:after="60" w:line="168" w:lineRule="auto"/>
      </w:pPr>
    </w:p>
    <w:p>
      <w:pPr>
        <w:keepLines/>
        <w:spacing w:before="80" w:after="160" w:line="283" w:lineRule="auto"/>
        <w:ind w:left="115" w:right="115"/>
        <w:shd w:fill="E8EEF5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创新取舍原则：</w:t>
      </w:r>
      <w:r>
        <w:rPr>
          <w:rFonts w:ascii="Calibri" w:hAnsi="Calibri" w:eastAsia="Microsoft YaHei"/>
          <w:color w:val="111827"/>
          <w:sz w:val="21"/>
        </w:rPr>
        <w:t>初赛只承诺做实三项主创新。风险排序、版本记录、同屏对比等是支撑亮点；若时间不足，宁可减少功能，也不牺牲证据准确、工作流可见和回测可信。</w:t>
      </w:r>
    </w:p>
    <w:p>
      <w:pPr>
        <w:pStyle w:val="Heading1"/>
        <w:keepNext/>
      </w:pPr>
      <w:r>
        <w:t>五、目标用户、范围与边界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主要用户：</w:t>
      </w:r>
      <w:r>
        <w:rPr>
          <w:rFonts w:ascii="Calibri" w:hAnsi="Calibri" w:eastAsia="Microsoft YaHei"/>
        </w:rPr>
        <w:t>审计项目组、高校会计审计教师与学生；内部审计人员作为可扩展用户。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首版行业：</w:t>
      </w:r>
      <w:r>
        <w:rPr>
          <w:rFonts w:ascii="Calibri" w:hAnsi="Calibri" w:eastAsia="Microsoft YaHei"/>
        </w:rPr>
        <w:t>冻结1个年报披露相对完整、收入与存货问题具有代表性的行业，由教师确认。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首版科目：</w:t>
      </w:r>
      <w:r>
        <w:rPr>
          <w:rFonts w:ascii="Calibri" w:hAnsi="Calibri" w:eastAsia="Microsoft YaHei"/>
        </w:rPr>
        <w:t>收入、应收账款、存货、利润／毛利率、经营现金流。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首版风险：</w:t>
      </w:r>
      <w:r>
        <w:rPr>
          <w:rFonts w:ascii="Calibri" w:hAnsi="Calibri" w:eastAsia="Microsoft YaHei"/>
        </w:rPr>
        <w:t>8—10类，优先保证每类都有真实案例、专业解释和可执行核查步骤。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首版样本：</w:t>
      </w:r>
      <w:r>
        <w:rPr>
          <w:rFonts w:ascii="Calibri" w:hAnsi="Calibri" w:eastAsia="Microsoft YaHei"/>
        </w:rPr>
        <w:t>3个固定演示公司＋10—15个历史回测案例，不承诺覆盖全部上市公司。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输出边界：</w:t>
      </w:r>
      <w:r>
        <w:rPr>
          <w:rFonts w:ascii="Calibri" w:hAnsi="Calibri" w:eastAsia="Microsoft YaHei"/>
        </w:rPr>
        <w:t>只给风险线索与待验证事项，不作造假定性，不构成审计意见或投资建议。</w:t>
      </w:r>
    </w:p>
    <w:p>
      <w:pPr>
        <w:pStyle w:val="Heading1"/>
        <w:keepNext/>
      </w:pPr>
      <w:r>
        <w:t>六、总体业务流程与单条输出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年报上传：</w:t>
      </w:r>
      <w:r>
        <w:rPr>
          <w:rFonts w:ascii="Calibri" w:hAnsi="Calibri" w:eastAsia="Microsoft YaHei"/>
        </w:rPr>
        <w:t>用户选择公开PDF，系统检查文件、年份和解析状态。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确定性提取：</w:t>
      </w:r>
      <w:r>
        <w:rPr>
          <w:rFonts w:ascii="Calibri" w:hAnsi="Calibri" w:eastAsia="Microsoft YaHei"/>
        </w:rPr>
        <w:t>读取关键章节、财务数字和页码，计算增减比例及基础勾稽关系。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找异常：</w:t>
      </w:r>
      <w:r>
        <w:rPr>
          <w:rFonts w:ascii="Calibri" w:hAnsi="Calibri" w:eastAsia="Microsoft YaHei"/>
        </w:rPr>
        <w:t>AI结合风险知识卡提出值得进一步关注的线索。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查依据：</w:t>
      </w:r>
      <w:r>
        <w:rPr>
          <w:rFonts w:ascii="Calibri" w:hAnsi="Calibri" w:eastAsia="Microsoft YaHei"/>
        </w:rPr>
        <w:t>回到年报、公开监管案例和审计规则查找支持材料，并记录发布日期。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反向检查：</w:t>
      </w:r>
      <w:r>
        <w:rPr>
          <w:rFonts w:ascii="Calibri" w:hAnsi="Calibri" w:eastAsia="Microsoft YaHei"/>
        </w:rPr>
        <w:t>检查正常解释、来源、页码、数字和措辞，拦截证据不足结论。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人工确认：</w:t>
      </w:r>
      <w:r>
        <w:rPr>
          <w:rFonts w:ascii="Calibri" w:hAnsi="Calibri" w:eastAsia="Microsoft YaHei"/>
        </w:rPr>
        <w:t>成员接受、修改或删除结果，记录修改理由。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生成任务卡：</w:t>
      </w:r>
      <w:r>
        <w:rPr>
          <w:rFonts w:ascii="Calibri" w:hAnsi="Calibri" w:eastAsia="Microsoft YaHei"/>
        </w:rPr>
        <w:t>形成风险说明、证据链、认定、优先级和具体核查步骤。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展示与导出：</w:t>
      </w:r>
      <w:r>
        <w:rPr>
          <w:rFonts w:ascii="Calibri" w:hAnsi="Calibri" w:eastAsia="Microsoft YaHei"/>
        </w:rPr>
        <w:t>网页展开查看原文，导出JSON、表格或PDF。</w:t>
      </w:r>
    </w:p>
    <w:p>
      <w:pPr>
        <w:pStyle w:val="Heading2"/>
        <w:keepNext/>
      </w:pPr>
      <w:r>
        <w:t>单条风险任务卡必须包含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公司、年度、报表项目、风险名称、风险等级和人工确认状态；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异常数字／原文、文件名、页码、计算过程及可回到原PDF的定位信息；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为什么值得关注、可能的正常商业解释、当前证据缺口；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相关管理层认定和需进一步获取的审计证据；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按动作—对象—数量／范围—判断标准写出的核查步骤；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AI辅助声明、模型／工作流版本和生成时间。</w:t>
      </w:r>
    </w:p>
    <w:p>
      <w:pPr>
        <w:pStyle w:val="Heading1"/>
        <w:keepNext/>
      </w:pPr>
      <w:r>
        <w:t>七、Coze可视化AI审计复核工作流</w:t>
      </w:r>
    </w:p>
    <w:p>
      <w:pPr/>
      <w:r>
        <w:rPr>
          <w:rFonts w:ascii="Calibri" w:hAnsi="Calibri" w:eastAsia="Microsoft YaHei"/>
          <w:i w:val="0"/>
          <w:color w:val="111827"/>
        </w:rPr>
        <w:t>工作流不追求智能体数量，而强调每个环节能单独测试、看见输入输出并解释失败原因。首版在Coze中保留四个通俗岗位，网页通过接口调用已发布流程。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350"/>
        <w:gridCol w:w="2250"/>
        <w:gridCol w:w="3500"/>
        <w:gridCol w:w="2260"/>
      </w:tblGrid>
      <w:tr>
        <w:trPr>
          <w:cantSplit/>
          <w:tblHeader w:val="true"/>
        </w:trPr>
        <w:tc>
          <w:tcPr>
            <w:tcW w:type="dxa" w:w="1350"/>
            <w:shd w:fill="1F4D78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2250"/>
            <w:shd w:fill="1F4D78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500"/>
            <w:shd w:fill="1F4D78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要完成的工作</w:t>
            </w:r>
          </w:p>
        </w:tc>
        <w:tc>
          <w:tcPr>
            <w:tcW w:type="dxa" w:w="2260"/>
            <w:shd w:fill="1F4D78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必须输出／拦截条件</w:t>
            </w:r>
          </w:p>
        </w:tc>
      </w:tr>
      <w:tr>
        <w:trPr>
          <w:cantSplit/>
        </w:trPr>
        <w:tc>
          <w:tcPr>
            <w:tcW w:type="dxa" w:w="13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 找异常</w:t>
            </w:r>
          </w:p>
        </w:tc>
        <w:tc>
          <w:tcPr>
            <w:tcW w:type="dxa" w:w="22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年报片段、关键数字、风险卡</w:t>
            </w:r>
          </w:p>
        </w:tc>
        <w:tc>
          <w:tcPr>
            <w:tcW w:type="dxa" w:w="35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提出异常线索和初步原因，不作造假定性</w:t>
            </w:r>
          </w:p>
        </w:tc>
        <w:tc>
          <w:tcPr>
            <w:tcW w:type="dxa" w:w="22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风险描述、数字、页码候选、待查证据</w:t>
            </w:r>
          </w:p>
        </w:tc>
      </w:tr>
      <w:tr>
        <w:trPr>
          <w:cantSplit/>
        </w:trPr>
        <w:tc>
          <w:tcPr>
            <w:tcW w:type="dxa" w:w="13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 查依据</w:t>
            </w:r>
          </w:p>
        </w:tc>
        <w:tc>
          <w:tcPr>
            <w:tcW w:type="dxa" w:w="22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异常线索、资料索引</w:t>
            </w:r>
          </w:p>
        </w:tc>
        <w:tc>
          <w:tcPr>
            <w:tcW w:type="dxa" w:w="35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寻找年报原文、监管案例和审计规则</w:t>
            </w:r>
          </w:p>
        </w:tc>
        <w:tc>
          <w:tcPr>
            <w:tcW w:type="dxa" w:w="22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文件、页码、原文、链接、发布日期；无来源则标记失败</w:t>
            </w:r>
          </w:p>
        </w:tc>
      </w:tr>
      <w:tr>
        <w:trPr>
          <w:cantSplit/>
        </w:trPr>
        <w:tc>
          <w:tcPr>
            <w:tcW w:type="dxa" w:w="13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3 反向检查</w:t>
            </w:r>
          </w:p>
        </w:tc>
        <w:tc>
          <w:tcPr>
            <w:tcW w:type="dxa" w:w="22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初步风险与证据</w:t>
            </w:r>
          </w:p>
        </w:tc>
        <w:tc>
          <w:tcPr>
            <w:tcW w:type="dxa" w:w="35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验证数字和页码，提出正常解释，检查过度表述</w:t>
            </w:r>
          </w:p>
        </w:tc>
        <w:tc>
          <w:tcPr>
            <w:tcW w:type="dxa" w:w="22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通过／退回、退回原因、需补证据；无页码或无法验证则不通过</w:t>
            </w:r>
          </w:p>
        </w:tc>
      </w:tr>
      <w:tr>
        <w:trPr>
          <w:cantSplit/>
        </w:trPr>
        <w:tc>
          <w:tcPr>
            <w:tcW w:type="dxa" w:w="13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4 生成任务卡</w:t>
            </w:r>
          </w:p>
        </w:tc>
        <w:tc>
          <w:tcPr>
            <w:tcW w:type="dxa" w:w="22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通过复核的风险、证据缺口</w:t>
            </w:r>
          </w:p>
        </w:tc>
        <w:tc>
          <w:tcPr>
            <w:tcW w:type="dxa" w:w="35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映射管理层认定，生成具体核查动作</w:t>
            </w:r>
          </w:p>
        </w:tc>
        <w:tc>
          <w:tcPr>
            <w:tcW w:type="dxa" w:w="22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结构化任务卡与人工确认提示</w:t>
            </w:r>
          </w:p>
        </w:tc>
      </w:tr>
    </w:tbl>
    <w:p>
      <w:pPr>
        <w:spacing w:before="0" w:after="60" w:line="168" w:lineRule="auto"/>
      </w:pPr>
    </w:p>
    <w:p>
      <w:pPr/>
      <w:r>
        <w:rPr>
          <w:rFonts w:ascii="Calibri" w:hAnsi="Calibri" w:eastAsia="Microsoft YaHei"/>
          <w:i w:val="0"/>
          <w:color w:val="111827"/>
        </w:rPr>
        <w:t>确定性财务计算不交给语言模型猜测，由后台工具完成；Coze接收计算结果和原文片段，负责文本理解、证据组织、反向检查和任务生成。每个节点保存提示词版本、输入输出和运行状态，防止“多个名字包装一次问答”。</w:t>
      </w:r>
    </w:p>
    <w:p>
      <w:pPr>
        <w:pStyle w:val="Heading1"/>
        <w:keepNext/>
      </w:pPr>
      <w:r>
        <w:t>八、AI原生技术路线：Trae＋Coze＋Python底座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050"/>
        <w:gridCol w:w="4450"/>
        <w:gridCol w:w="2860"/>
      </w:tblGrid>
      <w:tr>
        <w:trPr>
          <w:cantSplit/>
          <w:tblHeader w:val="true"/>
        </w:trPr>
        <w:tc>
          <w:tcPr>
            <w:tcW w:type="dxa" w:w="205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层次／工具</w:t>
            </w:r>
          </w:p>
        </w:tc>
        <w:tc>
          <w:tcPr>
            <w:tcW w:type="dxa" w:w="445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承担的工作</w:t>
            </w:r>
          </w:p>
        </w:tc>
        <w:tc>
          <w:tcPr>
            <w:tcW w:type="dxa" w:w="286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比赛中怎样证明</w:t>
            </w:r>
          </w:p>
        </w:tc>
      </w:tr>
      <w:tr>
        <w:trPr>
          <w:cantSplit/>
        </w:trPr>
        <w:tc>
          <w:tcPr>
            <w:tcW w:type="dxa" w:w="20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Trae AI IDE／SOLO Coder</w:t>
            </w:r>
          </w:p>
        </w:tc>
        <w:tc>
          <w:tcPr>
            <w:tcW w:type="dxa" w:w="44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用自然语言拆需求、生成与修改前后端、修复报错、生成测试、重构现有FINTEL基础代码</w:t>
            </w:r>
          </w:p>
        </w:tc>
        <w:tc>
          <w:tcPr>
            <w:tcW w:type="dxa" w:w="28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展示需求提示词、任务计划、一次页面迭代、一次报错修复和每周版本</w:t>
            </w:r>
          </w:p>
        </w:tc>
      </w:tr>
      <w:tr>
        <w:trPr>
          <w:cantSplit/>
        </w:trPr>
        <w:tc>
          <w:tcPr>
            <w:tcW w:type="dxa" w:w="20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Coze</w:t>
            </w:r>
          </w:p>
        </w:tc>
        <w:tc>
          <w:tcPr>
            <w:tcW w:type="dxa" w:w="44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编排找异常、查依据、反向检查和任务卡生成；管理知识材料；输出结构化字段</w:t>
            </w:r>
          </w:p>
        </w:tc>
        <w:tc>
          <w:tcPr>
            <w:tcW w:type="dxa" w:w="28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展示工作流画布、节点试运行、缺页码拦截和网页实际调用</w:t>
            </w:r>
          </w:p>
        </w:tc>
      </w:tr>
      <w:tr>
        <w:trPr>
          <w:cantSplit/>
        </w:trPr>
        <w:tc>
          <w:tcPr>
            <w:tcW w:type="dxa" w:w="20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Python 3.10+运行底座</w:t>
            </w:r>
          </w:p>
        </w:tc>
        <w:tc>
          <w:tcPr>
            <w:tcW w:type="dxa" w:w="44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PDF与表格读取、确定性财务计算、Coze接口调用、结构化校验、报告生成</w:t>
            </w:r>
          </w:p>
        </w:tc>
        <w:tc>
          <w:tcPr>
            <w:tcW w:type="dxa" w:w="28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requirements、.env.example、一键启动、另一台电脑复现；不将手写代码量当创新</w:t>
            </w:r>
          </w:p>
        </w:tc>
      </w:tr>
      <w:tr>
        <w:trPr>
          <w:cantSplit/>
        </w:trPr>
        <w:tc>
          <w:tcPr>
            <w:tcW w:type="dxa" w:w="20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Web前端</w:t>
            </w:r>
          </w:p>
        </w:tc>
        <w:tc>
          <w:tcPr>
            <w:tcW w:type="dxa" w:w="44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上传、进度、风险列表、证据展开、人工确认、报告导出</w:t>
            </w:r>
          </w:p>
        </w:tc>
        <w:tc>
          <w:tcPr>
            <w:tcW w:type="dxa" w:w="28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现场上传固定真实年报并完成一次端到端演示</w:t>
            </w:r>
          </w:p>
        </w:tc>
      </w:tr>
      <w:tr>
        <w:trPr>
          <w:cantSplit/>
        </w:trPr>
        <w:tc>
          <w:tcPr>
            <w:tcW w:type="dxa" w:w="20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日志与评测层</w:t>
            </w:r>
          </w:p>
        </w:tc>
        <w:tc>
          <w:tcPr>
            <w:tcW w:type="dxa" w:w="44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记录模型／工作流版本、来源、人工修改和评测结果</w:t>
            </w:r>
          </w:p>
        </w:tc>
        <w:tc>
          <w:tcPr>
            <w:tcW w:type="dxa" w:w="286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展示VIBE_CODING_LOG、工作流日志、测试台账和对比图</w:t>
            </w:r>
          </w:p>
        </w:tc>
      </w:tr>
    </w:tbl>
    <w:p>
      <w:pPr>
        <w:spacing w:before="0" w:after="60" w:line="168" w:lineRule="auto"/>
      </w:pPr>
    </w:p>
    <w:p>
      <w:pPr>
        <w:keepLines/>
        <w:spacing w:before="80" w:after="160" w:line="283" w:lineRule="auto"/>
        <w:ind w:left="115" w:right="115"/>
        <w:shd w:fill="E8EEF5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技术路线一句话：</w:t>
      </w:r>
      <w:r>
        <w:rPr>
          <w:rFonts w:ascii="Calibri" w:hAnsi="Calibri" w:eastAsia="Microsoft YaHei"/>
          <w:color w:val="111827"/>
          <w:sz w:val="21"/>
        </w:rPr>
        <w:t>Coze负责评委能看见的AI审计流程，Trae负责AI主导的开发与迭代，Python负责符合手册要求的可运行、可提交、可复现底座。</w:t>
      </w:r>
    </w:p>
    <w:p>
      <w:pPr>
        <w:pStyle w:val="Heading1"/>
        <w:keepNext/>
      </w:pPr>
      <w:r>
        <w:t>九、数据来源、知识资产与合规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上市公司年报：</w:t>
      </w:r>
      <w:r>
        <w:rPr>
          <w:rFonts w:ascii="Calibri" w:hAnsi="Calibri" w:eastAsia="Microsoft YaHei"/>
        </w:rPr>
        <w:t>巨潮资讯网及证券交易所公开披露文件。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监管材料：</w:t>
      </w:r>
      <w:r>
        <w:rPr>
          <w:rFonts w:ascii="Calibri" w:hAnsi="Calibri" w:eastAsia="Microsoft YaHei"/>
        </w:rPr>
        <w:t>证券交易所年报问询函、公司回复、证监会公开处罚决定和典型案例。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专业规则：</w:t>
      </w:r>
      <w:r>
        <w:rPr>
          <w:rFonts w:ascii="Calibri" w:hAnsi="Calibri" w:eastAsia="Microsoft YaHei"/>
        </w:rPr>
        <w:t>财政部公开发布的企业会计准则和注册会计师审计准则。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来源台账：</w:t>
      </w:r>
      <w:r>
        <w:rPr>
          <w:rFonts w:ascii="Calibri" w:hAnsi="Calibri" w:eastAsia="Microsoft YaHei"/>
        </w:rPr>
        <w:t>保存文件名、公司、年度、发布日期、下载日期、URL、页码和用途；不使用未公开或涉密资料。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时点标签：</w:t>
      </w:r>
      <w:r>
        <w:rPr>
          <w:rFonts w:ascii="Calibri" w:hAnsi="Calibri" w:eastAsia="Microsoft YaHei"/>
        </w:rPr>
        <w:t>回测资料按发布日期过滤，后续问询和处罚只作验证标签，不进入当时可见知识。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知识卡：</w:t>
      </w:r>
      <w:r>
        <w:rPr>
          <w:rFonts w:ascii="Calibri" w:hAnsi="Calibri" w:eastAsia="Microsoft YaHei"/>
        </w:rPr>
        <w:t>人工先做20—30张高质量风险—证据—认定—程序卡，不盲目追求上百份低质量资料。</w:t>
      </w:r>
    </w:p>
    <w:p>
      <w:pPr>
        <w:pStyle w:val="Heading1"/>
        <w:keepNext/>
      </w:pPr>
      <w:r>
        <w:t>十、效果评估：让创新有数字证据</w:t>
      </w:r>
    </w:p>
    <w:p>
      <w:pPr>
        <w:pStyle w:val="Heading2"/>
        <w:keepNext/>
      </w:pPr>
      <w:r>
        <w:t>评测设计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样本：</w:t>
      </w:r>
      <w:r>
        <w:rPr>
          <w:rFonts w:ascii="Calibri" w:hAnsi="Calibri" w:eastAsia="Microsoft YaHei"/>
        </w:rPr>
        <w:t>先做10—15个历史公司年度案例，每个案例有当年年报和后来公开的问询重点。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输入隔离：</w:t>
      </w:r>
      <w:r>
        <w:rPr>
          <w:rFonts w:ascii="Calibri" w:hAnsi="Calibri" w:eastAsia="Microsoft YaHei"/>
        </w:rPr>
        <w:t>分析时只给当年已公开资料；后续问询在系统输出锁定后才用于评分。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对比对象：</w:t>
      </w:r>
      <w:r>
        <w:rPr>
          <w:rFonts w:ascii="Calibri" w:hAnsi="Calibri" w:eastAsia="Microsoft YaHei"/>
        </w:rPr>
        <w:t>通用AI直接回答 vs. 本项目完整工作流；必要时增加只有找异常、没有反向检查的版本。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人工参考：</w:t>
      </w:r>
      <w:r>
        <w:rPr>
          <w:rFonts w:ascii="Calibri" w:hAnsi="Calibri" w:eastAsia="Microsoft YaHei"/>
        </w:rPr>
        <w:t>A与B先独立整理参考答案，再请老师抽查专业逻辑和边界。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失败透明：</w:t>
      </w:r>
      <w:r>
        <w:rPr>
          <w:rFonts w:ascii="Calibri" w:hAnsi="Calibri" w:eastAsia="Microsoft YaHei"/>
        </w:rPr>
        <w:t>同时呈现成功案例和至少1个失败案例，说明错在哪里、怎样改进。</w:t>
      </w:r>
    </w:p>
    <w:p>
      <w:pPr>
        <w:pStyle w:val="Heading2"/>
        <w:keepNext/>
      </w:pPr>
      <w:r>
        <w:t>首轮直观指标与暂定目标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750"/>
        <w:gridCol w:w="3300"/>
        <w:gridCol w:w="1700"/>
        <w:gridCol w:w="2610"/>
      </w:tblGrid>
      <w:tr>
        <w:trPr>
          <w:cantSplit/>
          <w:tblHeader w:val="true"/>
        </w:trPr>
        <w:tc>
          <w:tcPr>
            <w:tcW w:type="dxa" w:w="1750"/>
            <w:shd w:fill="1F4D78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300"/>
            <w:shd w:fill="1F4D78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怎样计算／判断</w:t>
            </w:r>
          </w:p>
        </w:tc>
        <w:tc>
          <w:tcPr>
            <w:tcW w:type="dxa" w:w="1700"/>
            <w:shd w:fill="1F4D78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首轮暂定目标</w:t>
            </w:r>
          </w:p>
        </w:tc>
        <w:tc>
          <w:tcPr>
            <w:tcW w:type="dxa" w:w="2610"/>
            <w:shd w:fill="1F4D78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价值</w:t>
            </w:r>
          </w:p>
        </w:tc>
      </w:tr>
      <w:tr>
        <w:trPr>
          <w:cantSplit/>
        </w:trPr>
        <w:tc>
          <w:tcPr>
            <w:tcW w:type="dxa" w:w="17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后续问询重点覆盖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系统前5条风险覆盖后来问询重点的比例</w:t>
            </w:r>
          </w:p>
        </w:tc>
        <w:tc>
          <w:tcPr>
            <w:tcW w:type="dxa" w:w="17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≥70%</w:t>
            </w:r>
          </w:p>
        </w:tc>
        <w:tc>
          <w:tcPr>
            <w:tcW w:type="dxa" w:w="26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证明能发现有意义线索</w:t>
            </w:r>
          </w:p>
        </w:tc>
      </w:tr>
      <w:tr>
        <w:trPr>
          <w:cantSplit/>
        </w:trPr>
        <w:tc>
          <w:tcPr>
            <w:tcW w:type="dxa" w:w="17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来源与页码准确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随机抽查可否回到原文件找到并匹配</w:t>
            </w:r>
          </w:p>
        </w:tc>
        <w:tc>
          <w:tcPr>
            <w:tcW w:type="dxa" w:w="17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≥90%，编造为0</w:t>
            </w:r>
          </w:p>
        </w:tc>
        <w:tc>
          <w:tcPr>
            <w:tcW w:type="dxa" w:w="26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证明结果可复核</w:t>
            </w:r>
          </w:p>
        </w:tc>
      </w:tr>
      <w:tr>
        <w:trPr>
          <w:cantSplit/>
        </w:trPr>
        <w:tc>
          <w:tcPr>
            <w:tcW w:type="dxa" w:w="17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有依据结论比例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正式输出中同时具备原文／数字、来源和理由的比例</w:t>
            </w:r>
          </w:p>
        </w:tc>
        <w:tc>
          <w:tcPr>
            <w:tcW w:type="dxa" w:w="17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≥90%</w:t>
            </w:r>
          </w:p>
        </w:tc>
        <w:tc>
          <w:tcPr>
            <w:tcW w:type="dxa" w:w="26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证明证据门槛有效</w:t>
            </w:r>
          </w:p>
        </w:tc>
      </w:tr>
      <w:tr>
        <w:trPr>
          <w:cantSplit/>
        </w:trPr>
        <w:tc>
          <w:tcPr>
            <w:tcW w:type="dxa" w:w="17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核查步骤可执行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教师／高年级同学按“具体、相关、可操作”评分</w:t>
            </w:r>
          </w:p>
        </w:tc>
        <w:tc>
          <w:tcPr>
            <w:tcW w:type="dxa" w:w="17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平均≥4/5</w:t>
            </w:r>
          </w:p>
        </w:tc>
        <w:tc>
          <w:tcPr>
            <w:tcW w:type="dxa" w:w="26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证明专业落地</w:t>
            </w:r>
          </w:p>
        </w:tc>
      </w:tr>
      <w:tr>
        <w:trPr>
          <w:cantSplit/>
        </w:trPr>
        <w:tc>
          <w:tcPr>
            <w:tcW w:type="dxa" w:w="17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无依据／过度结论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统计被复核节点拦截和仍漏出的数量</w:t>
            </w:r>
          </w:p>
        </w:tc>
        <w:tc>
          <w:tcPr>
            <w:tcW w:type="dxa" w:w="17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完整流程低于直接问AI</w:t>
            </w:r>
          </w:p>
        </w:tc>
        <w:tc>
          <w:tcPr>
            <w:tcW w:type="dxa" w:w="26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证明反向检查增量</w:t>
            </w:r>
          </w:p>
        </w:tc>
      </w:tr>
      <w:tr>
        <w:trPr>
          <w:cantSplit/>
        </w:trPr>
        <w:tc>
          <w:tcPr>
            <w:tcW w:type="dxa" w:w="17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完成时间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同一案例人工初筛、直接AI和完整流程耗时</w:t>
            </w:r>
          </w:p>
        </w:tc>
        <w:tc>
          <w:tcPr>
            <w:tcW w:type="dxa" w:w="17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如实报告</w:t>
            </w:r>
          </w:p>
        </w:tc>
        <w:tc>
          <w:tcPr>
            <w:tcW w:type="dxa" w:w="26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说明效率与质量取舍</w:t>
            </w:r>
          </w:p>
        </w:tc>
      </w:tr>
    </w:tbl>
    <w:p>
      <w:pPr>
        <w:spacing w:before="0" w:after="60" w:line="168" w:lineRule="auto"/>
      </w:pPr>
    </w:p>
    <w:p>
      <w:pPr/>
      <w:r>
        <w:rPr>
          <w:rFonts w:ascii="Calibri" w:hAnsi="Calibri" w:eastAsia="Microsoft YaHei"/>
          <w:i w:val="0"/>
          <w:color w:val="111827"/>
        </w:rPr>
        <w:t>上述阈值为首轮工作目标，并非提前承诺最终成绩。若样本较少，将同时报告原始分子／分母、错误类型和局限，不用复杂指标掩盖基础问题。</w:t>
      </w:r>
    </w:p>
    <w:p>
      <w:pPr>
        <w:pStyle w:val="Heading1"/>
        <w:keepNext/>
      </w:pPr>
      <w:r>
        <w:t>十一、落地可行性与MVP验收</w:t>
      </w:r>
    </w:p>
    <w:p>
      <w:pPr>
        <w:pStyle w:val="Heading2"/>
        <w:keepNext/>
      </w:pPr>
      <w:r>
        <w:t>必须完成的最小闭环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至少支持3份固定公开年报，现场任选其一上传。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至少输出3条结构化风险，每条都可展开来源、页码、理由和核查步骤。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能展示Coze完整工作流和一个被反向检查退回的结果。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能由人工接受、修改或删除，并导出JSON、表格或PDF。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能在另一台Windows电脑根据说明启动；现场网络异常时有缓存案例和明确标注的备用录屏。</w:t>
      </w:r>
    </w:p>
    <w:p>
      <w:pPr>
        <w:pStyle w:val="Heading2"/>
        <w:keepNext/>
      </w:pPr>
      <w:r>
        <w:t>暂不纳入首版</w:t>
      </w:r>
    </w:p>
    <w:p>
      <w:pPr/>
      <w:r>
        <w:rPr>
          <w:rFonts w:ascii="Calibri" w:hAnsi="Calibri" w:eastAsia="Microsoft YaHei"/>
          <w:i w:val="0"/>
          <w:color w:val="111827"/>
        </w:rPr>
        <w:t>不做账号体系、收费、复杂权限、大规模爬取、全行业覆盖、自动形成审计意见，也不堆叠大量同质智能体。先保证证据准确、流程真实、结果可评估。</w:t>
      </w:r>
    </w:p>
    <w:p>
      <w:pPr>
        <w:pStyle w:val="Heading1"/>
        <w:keepNext/>
      </w:pPr>
      <w:r>
        <w:t>十二、团队分工与各自贡献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100"/>
        <w:gridCol w:w="3300"/>
        <w:gridCol w:w="2250"/>
        <w:gridCol w:w="2710"/>
      </w:tblGrid>
      <w:tr>
        <w:trPr>
          <w:cantSplit/>
          <w:tblHeader w:val="true"/>
        </w:trPr>
        <w:tc>
          <w:tcPr>
            <w:tcW w:type="dxa" w:w="110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成员</w:t>
            </w:r>
          </w:p>
        </w:tc>
        <w:tc>
          <w:tcPr>
            <w:tcW w:type="dxa" w:w="330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主责</w:t>
            </w:r>
          </w:p>
        </w:tc>
        <w:tc>
          <w:tcPr>
            <w:tcW w:type="dxa" w:w="225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对五项标准的直接贡献</w:t>
            </w:r>
          </w:p>
        </w:tc>
        <w:tc>
          <w:tcPr>
            <w:tcW w:type="dxa" w:w="2710"/>
            <w:shd w:fill="2E74B5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核心交付</w:t>
            </w:r>
          </w:p>
        </w:tc>
      </w:tr>
      <w:tr>
        <w:trPr>
          <w:cantSplit/>
        </w:trPr>
        <w:tc>
          <w:tcPr>
            <w:tcW w:type="dxa" w:w="11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队长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Trae Vibe Coding、Coze工作流、Web整合、进度与统稿</w:t>
            </w:r>
          </w:p>
        </w:tc>
        <w:tc>
          <w:tcPr>
            <w:tcW w:type="dxa" w:w="22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技术创新＋落地可行</w:t>
            </w:r>
          </w:p>
        </w:tc>
        <w:tc>
          <w:tcPr>
            <w:tcW w:type="dxa" w:w="27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运行版本、工作流、开发日志、录屏、周报与备份</w:t>
            </w:r>
          </w:p>
        </w:tc>
      </w:tr>
      <w:tr>
        <w:trPr>
          <w:cantSplit/>
        </w:trPr>
        <w:tc>
          <w:tcPr>
            <w:tcW w:type="dxa" w:w="11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队员A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风险卡、专业依据、审计认定、核查步骤与AI复核</w:t>
            </w:r>
          </w:p>
        </w:tc>
        <w:tc>
          <w:tcPr>
            <w:tcW w:type="dxa" w:w="22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专业深度</w:t>
            </w:r>
          </w:p>
        </w:tc>
        <w:tc>
          <w:tcPr>
            <w:tcW w:type="dxa" w:w="27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8—10类风险、真实案例、专业复核与任务卡</w:t>
            </w:r>
          </w:p>
        </w:tc>
      </w:tr>
      <w:tr>
        <w:trPr>
          <w:cantSplit/>
        </w:trPr>
        <w:tc>
          <w:tcPr>
            <w:tcW w:type="dxa" w:w="11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队员B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年报样本、来源台账、人工参考答案、系统与基线测试</w:t>
            </w:r>
          </w:p>
        </w:tc>
        <w:tc>
          <w:tcPr>
            <w:tcW w:type="dxa" w:w="22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效果评估</w:t>
            </w:r>
          </w:p>
        </w:tc>
        <w:tc>
          <w:tcPr>
            <w:tcW w:type="dxa" w:w="27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10—15个回测案例、测试台账、对比结果与图表</w:t>
            </w:r>
          </w:p>
        </w:tc>
      </w:tr>
      <w:tr>
        <w:trPr>
          <w:cantSplit/>
        </w:trPr>
        <w:tc>
          <w:tcPr>
            <w:tcW w:type="dxa" w:w="11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队员C</w:t>
            </w:r>
          </w:p>
        </w:tc>
        <w:tc>
          <w:tcPr>
            <w:tcW w:type="dxa" w:w="330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页面易用性、用户试用、计划书、PPT、视频和现场展示</w:t>
            </w:r>
          </w:p>
        </w:tc>
        <w:tc>
          <w:tcPr>
            <w:tcW w:type="dxa" w:w="225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文档展示＋落地可行</w:t>
            </w:r>
          </w:p>
        </w:tc>
        <w:tc>
          <w:tcPr>
            <w:tcW w:type="dxa" w:w="2710"/>
            <w:tcMar>
              <w:top w:w="44" w:type="dxa"/>
              <w:start w:w="120" w:type="dxa"/>
              <w:bottom w:w="44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5种页面状态、试用反馈、PPT、视频和备用录屏</w:t>
            </w:r>
          </w:p>
        </w:tc>
      </w:tr>
    </w:tbl>
    <w:p>
      <w:pPr>
        <w:spacing w:before="0" w:after="60" w:line="168" w:lineRule="auto"/>
      </w:pPr>
    </w:p>
    <w:p>
      <w:pPr/>
      <w:r>
        <w:rPr>
          <w:rFonts w:ascii="Calibri" w:hAnsi="Calibri" w:eastAsia="Microsoft YaHei"/>
          <w:i w:val="0"/>
          <w:color w:val="111827"/>
        </w:rPr>
        <w:t>团队不以谁写了多少代码作为贡献标准。A负责告诉AI“专业上应该怎样判断”，B负责证明“系统做得对不对”，C负责验证“用户看不看得懂”，队长负责通过Trae和Coze把这些专业要求整合成可运行作品。</w:t>
      </w:r>
    </w:p>
    <w:p>
      <w:pPr>
        <w:pStyle w:val="Heading1"/>
        <w:keepNext/>
      </w:pPr>
      <w:r>
        <w:t>十三、进度安排与阶段闸门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650"/>
        <w:gridCol w:w="4450"/>
        <w:gridCol w:w="3260"/>
      </w:tblGrid>
      <w:tr>
        <w:trPr>
          <w:cantSplit/>
          <w:tblHeader w:val="true"/>
        </w:trPr>
        <w:tc>
          <w:tcPr>
            <w:tcW w:type="dxa" w:w="1650"/>
            <w:shd w:fill="1F4D78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450"/>
            <w:shd w:fill="1F4D78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3260"/>
            <w:shd w:fill="1F4D78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必须通过的阶段闸门</w:t>
            </w:r>
          </w:p>
        </w:tc>
      </w:tr>
      <w:tr>
        <w:trPr>
          <w:cantSplit/>
        </w:trPr>
        <w:tc>
          <w:tcPr>
            <w:tcW w:type="dxa" w:w="16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7.13—7.19</w:t>
            </w:r>
          </w:p>
        </w:tc>
        <w:tc>
          <w:tcPr>
            <w:tcW w:type="dxa" w:w="44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选题微调、行业与风险冻结、五方面亮点表</w:t>
            </w:r>
          </w:p>
        </w:tc>
        <w:tc>
          <w:tcPr>
            <w:tcW w:type="dxa" w:w="326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老师确认选题、三项主创新和MVP范围</w:t>
            </w:r>
          </w:p>
        </w:tc>
      </w:tr>
      <w:tr>
        <w:trPr>
          <w:cantSplit/>
        </w:trPr>
        <w:tc>
          <w:tcPr>
            <w:tcW w:type="dxa" w:w="16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7.20—8.02</w:t>
            </w:r>
          </w:p>
        </w:tc>
        <w:tc>
          <w:tcPr>
            <w:tcW w:type="dxa" w:w="44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风险卡、案例资料、人工参考答案、Coze首流程、Trae页面</w:t>
            </w:r>
          </w:p>
        </w:tc>
        <w:tc>
          <w:tcPr>
            <w:tcW w:type="dxa" w:w="326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一份年报得到带页码的初步任务卡</w:t>
            </w:r>
          </w:p>
        </w:tc>
      </w:tr>
      <w:tr>
        <w:trPr>
          <w:cantSplit/>
        </w:trPr>
        <w:tc>
          <w:tcPr>
            <w:tcW w:type="dxa" w:w="16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8.03—8.16</w:t>
            </w:r>
          </w:p>
        </w:tc>
        <w:tc>
          <w:tcPr>
            <w:tcW w:type="dxa" w:w="44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上传—工作流—结果—导出闭环；反向检查与人工确认</w:t>
            </w:r>
          </w:p>
        </w:tc>
        <w:tc>
          <w:tcPr>
            <w:tcW w:type="dxa" w:w="326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完整MVP可录制2分钟连续操作</w:t>
            </w:r>
          </w:p>
        </w:tc>
      </w:tr>
      <w:tr>
        <w:trPr>
          <w:cantSplit/>
        </w:trPr>
        <w:tc>
          <w:tcPr>
            <w:tcW w:type="dxa" w:w="16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8.17—8.30</w:t>
            </w:r>
          </w:p>
        </w:tc>
        <w:tc>
          <w:tcPr>
            <w:tcW w:type="dxa" w:w="44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扩充10—15个案例、通用AI对比、来源与页码修正</w:t>
            </w:r>
          </w:p>
        </w:tc>
        <w:tc>
          <w:tcPr>
            <w:tcW w:type="dxa" w:w="326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五项指标都有原始记录，编造来源／页码为0</w:t>
            </w:r>
          </w:p>
        </w:tc>
      </w:tr>
      <w:tr>
        <w:trPr>
          <w:cantSplit/>
        </w:trPr>
        <w:tc>
          <w:tcPr>
            <w:tcW w:type="dxa" w:w="16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8.31—9.10</w:t>
            </w:r>
          </w:p>
        </w:tc>
        <w:tc>
          <w:tcPr>
            <w:tcW w:type="dxa" w:w="44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用户试用、异常处理、另一台电脑复现、备用方案</w:t>
            </w:r>
          </w:p>
        </w:tc>
        <w:tc>
          <w:tcPr>
            <w:tcW w:type="dxa" w:w="326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3人试用与回归测试通过</w:t>
            </w:r>
          </w:p>
        </w:tc>
      </w:tr>
      <w:tr>
        <w:trPr>
          <w:cantSplit/>
        </w:trPr>
        <w:tc>
          <w:tcPr>
            <w:tcW w:type="dxa" w:w="16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9.11—9.20</w:t>
            </w:r>
          </w:p>
        </w:tc>
        <w:tc>
          <w:tcPr>
            <w:tcW w:type="dxa" w:w="44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计划书、视频、PPT、演示脚本和模拟答辩</w:t>
            </w:r>
          </w:p>
        </w:tc>
        <w:tc>
          <w:tcPr>
            <w:tcW w:type="dxa" w:w="326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五项评审标准逐项有可展示证据</w:t>
            </w:r>
          </w:p>
        </w:tc>
      </w:tr>
      <w:tr>
        <w:trPr>
          <w:cantSplit/>
        </w:trPr>
        <w:tc>
          <w:tcPr>
            <w:tcW w:type="dxa" w:w="16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9.21—9.25</w:t>
            </w:r>
          </w:p>
        </w:tc>
        <w:tc>
          <w:tcPr>
            <w:tcW w:type="dxa" w:w="44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教师审阅、集中修改、提交与回执</w:t>
            </w:r>
          </w:p>
        </w:tc>
        <w:tc>
          <w:tcPr>
            <w:tcW w:type="dxa" w:w="326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正式文件、运行包、密钥检查和提交回执齐全</w:t>
            </w:r>
          </w:p>
        </w:tc>
      </w:tr>
      <w:tr>
        <w:trPr>
          <w:cantSplit/>
        </w:trPr>
        <w:tc>
          <w:tcPr>
            <w:tcW w:type="dxa" w:w="16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初赛后</w:t>
            </w:r>
          </w:p>
        </w:tc>
        <w:tc>
          <w:tcPr>
            <w:tcW w:type="dxa" w:w="445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按反馈扩展案例和界面、强化现场问答</w:t>
            </w:r>
          </w:p>
        </w:tc>
        <w:tc>
          <w:tcPr>
            <w:tcW w:type="dxa" w:w="3260"/>
            <w:tcMar>
              <w:top w:w="46" w:type="dxa"/>
              <w:start w:w="120" w:type="dxa"/>
              <w:bottom w:w="46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决赛报告、PPT与展示版</w:t>
            </w:r>
          </w:p>
        </w:tc>
      </w:tr>
    </w:tbl>
    <w:p>
      <w:pPr>
        <w:spacing w:before="0" w:after="60" w:line="168" w:lineRule="auto"/>
      </w:pPr>
    </w:p>
    <w:p>
      <w:pPr>
        <w:pStyle w:val="Heading1"/>
        <w:keepNext/>
      </w:pPr>
      <w:r>
        <w:t>十四、主要风险与控制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900"/>
        <w:gridCol w:w="6460"/>
      </w:tblGrid>
      <w:tr>
        <w:trPr>
          <w:cantSplit/>
          <w:tblHeader w:val="true"/>
        </w:trPr>
        <w:tc>
          <w:tcPr>
            <w:tcW w:type="dxa" w:w="2900"/>
            <w:shd w:fill="2E74B5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6460"/>
            <w:shd w:fill="2E74B5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/>
        </w:trPr>
        <w:tc>
          <w:tcPr>
            <w:tcW w:type="dxa" w:w="290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误解为完全不用Python</w:t>
            </w:r>
          </w:p>
        </w:tc>
        <w:tc>
          <w:tcPr>
            <w:tcW w:type="dxa" w:w="64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文档统一表述“Trae AI原生开发＋Coze工作流＋Python 3.10+运行底座”，满足手册主语言要求</w:t>
            </w:r>
          </w:p>
        </w:tc>
      </w:tr>
      <w:tr>
        <w:trPr>
          <w:cantSplit/>
        </w:trPr>
        <w:tc>
          <w:tcPr>
            <w:tcW w:type="dxa" w:w="290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Coze平台、额度或网络异常</w:t>
            </w:r>
          </w:p>
        </w:tc>
        <w:tc>
          <w:tcPr>
            <w:tcW w:type="dxa" w:w="64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固定工作流版本，备份节点提示词、字段、截图和workflow ID；缓存固定案例；准备明确标注的备用录屏</w:t>
            </w:r>
          </w:p>
        </w:tc>
      </w:tr>
      <w:tr>
        <w:trPr>
          <w:cantSplit/>
        </w:trPr>
        <w:tc>
          <w:tcPr>
            <w:tcW w:type="dxa" w:w="290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工作流只是角色包装</w:t>
            </w:r>
          </w:p>
        </w:tc>
        <w:tc>
          <w:tcPr>
            <w:tcW w:type="dxa" w:w="64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每个节点固定输入、输出、工具、拦截规则和日志；现场展示节点传递与退回案例</w:t>
            </w:r>
          </w:p>
        </w:tc>
      </w:tr>
      <w:tr>
        <w:trPr>
          <w:cantSplit/>
        </w:trPr>
        <w:tc>
          <w:tcPr>
            <w:tcW w:type="dxa" w:w="290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AI编造来源、页码或数字</w:t>
            </w:r>
          </w:p>
        </w:tc>
        <w:tc>
          <w:tcPr>
            <w:tcW w:type="dxa" w:w="64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确定性计算、来源必填、无证据拒绝进入正式结果、人工抽查；目标编造数量为0</w:t>
            </w:r>
          </w:p>
        </w:tc>
      </w:tr>
      <w:tr>
        <w:trPr>
          <w:cantSplit/>
        </w:trPr>
        <w:tc>
          <w:tcPr>
            <w:tcW w:type="dxa" w:w="290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把异常写成造假</w:t>
            </w:r>
          </w:p>
        </w:tc>
        <w:tc>
          <w:tcPr>
            <w:tcW w:type="dxa" w:w="64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统一使用风险提示与待验证措辞；反向检查正常解释；最终人工确认；显著展示免责声明</w:t>
            </w:r>
          </w:p>
        </w:tc>
      </w:tr>
      <w:tr>
        <w:trPr>
          <w:cantSplit/>
        </w:trPr>
        <w:tc>
          <w:tcPr>
            <w:tcW w:type="dxa" w:w="290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回测偷看未来信息</w:t>
            </w:r>
          </w:p>
        </w:tc>
        <w:tc>
          <w:tcPr>
            <w:tcW w:type="dxa" w:w="64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按发布日期隔离资料；后续问询只在输出锁定后评分；保存样本时点表</w:t>
            </w:r>
          </w:p>
        </w:tc>
      </w:tr>
      <w:tr>
        <w:trPr>
          <w:cantSplit/>
        </w:trPr>
        <w:tc>
          <w:tcPr>
            <w:tcW w:type="dxa" w:w="290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Vibe Coding代码无法复现</w:t>
            </w:r>
          </w:p>
        </w:tc>
        <w:tc>
          <w:tcPr>
            <w:tcW w:type="dxa" w:w="64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固定依赖、保存提示词与版本，在另一台Windows电脑从零运行；AI生成后必须人工测试</w:t>
            </w:r>
          </w:p>
        </w:tc>
      </w:tr>
      <w:tr>
        <w:trPr>
          <w:cantSplit/>
        </w:trPr>
        <w:tc>
          <w:tcPr>
            <w:tcW w:type="dxa" w:w="290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API密钥泄露</w:t>
            </w:r>
          </w:p>
        </w:tc>
        <w:tc>
          <w:tcPr>
            <w:tcW w:type="dxa" w:w="64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只放服务器端.env；提供.env.example；截图、视频和仓库遮挡；提交前自动检查</w:t>
            </w:r>
          </w:p>
        </w:tc>
      </w:tr>
      <w:tr>
        <w:trPr>
          <w:cantSplit/>
        </w:trPr>
        <w:tc>
          <w:tcPr>
            <w:tcW w:type="dxa" w:w="290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范围失控</w:t>
            </w:r>
          </w:p>
        </w:tc>
        <w:tc>
          <w:tcPr>
            <w:tcW w:type="dxa" w:w="6460"/>
            <w:tcMar>
              <w:top w:w="42" w:type="dxa"/>
              <w:start w:w="120" w:type="dxa"/>
              <w:bottom w:w="42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冻结1个行业、5类科目、8—10类风险、3个演示公司和10—15个回测案例；其他功能列为后续</w:t>
            </w:r>
          </w:p>
        </w:tc>
      </w:tr>
    </w:tbl>
    <w:p>
      <w:pPr>
        <w:spacing w:before="0" w:after="60" w:line="168" w:lineRule="auto"/>
      </w:pPr>
    </w:p>
    <w:p>
      <w:pPr>
        <w:pStyle w:val="Heading1"/>
        <w:keepNext/>
      </w:pPr>
      <w:r>
        <w:t>十五、成果展示方案</w:t>
      </w:r>
    </w:p>
    <w:p>
      <w:pPr>
        <w:pStyle w:val="Heading2"/>
        <w:keepNext/>
      </w:pPr>
      <w:r>
        <w:t>五分钟视频建议结构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450"/>
        <w:gridCol w:w="5150"/>
        <w:gridCol w:w="2760"/>
      </w:tblGrid>
      <w:tr>
        <w:trPr>
          <w:cantSplit/>
          <w:tblHeader w:val="true"/>
        </w:trPr>
        <w:tc>
          <w:tcPr>
            <w:tcW w:type="dxa" w:w="1450"/>
            <w:shd w:fill="1F4D78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150"/>
            <w:shd w:fill="1F4D78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展示内容</w:t>
            </w:r>
          </w:p>
        </w:tc>
        <w:tc>
          <w:tcPr>
            <w:tcW w:type="dxa" w:w="2760"/>
            <w:shd w:fill="1F4D78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对应评分点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0:00—0:35</w:t>
            </w:r>
          </w:p>
        </w:tc>
        <w:tc>
          <w:tcPr>
            <w:tcW w:type="dxa" w:w="51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年报阅读痛点、项目定位和一句话价值</w:t>
            </w:r>
          </w:p>
        </w:tc>
        <w:tc>
          <w:tcPr>
            <w:tcW w:type="dxa" w:w="2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落地场景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0:35—1:10</w:t>
            </w:r>
          </w:p>
        </w:tc>
        <w:tc>
          <w:tcPr>
            <w:tcW w:type="dxa" w:w="51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Coze工作流画布与四个节点</w:t>
            </w:r>
          </w:p>
        </w:tc>
        <w:tc>
          <w:tcPr>
            <w:tcW w:type="dxa" w:w="2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技术创新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1:10—2:50</w:t>
            </w:r>
          </w:p>
        </w:tc>
        <w:tc>
          <w:tcPr>
            <w:tcW w:type="dxa" w:w="51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上传年报，完整演示一条证据链和核查任务卡</w:t>
            </w:r>
          </w:p>
        </w:tc>
        <w:tc>
          <w:tcPr>
            <w:tcW w:type="dxa" w:w="2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专业深度＋落地可行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2:50—3:30</w:t>
            </w:r>
          </w:p>
        </w:tc>
        <w:tc>
          <w:tcPr>
            <w:tcW w:type="dxa" w:w="51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展示无依据结果被反向检查退回、人工修改记录</w:t>
            </w:r>
          </w:p>
        </w:tc>
        <w:tc>
          <w:tcPr>
            <w:tcW w:type="dxa" w:w="2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技术创新＋可信性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3:30—4:15</w:t>
            </w:r>
          </w:p>
        </w:tc>
        <w:tc>
          <w:tcPr>
            <w:tcW w:type="dxa" w:w="51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历史回测与通用AI对比图</w:t>
            </w:r>
          </w:p>
        </w:tc>
        <w:tc>
          <w:tcPr>
            <w:tcW w:type="dxa" w:w="2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效果评估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4:15—4:45</w:t>
            </w:r>
          </w:p>
        </w:tc>
        <w:tc>
          <w:tcPr>
            <w:tcW w:type="dxa" w:w="51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Trae Vibe Coding过程和四人贡献</w:t>
            </w:r>
          </w:p>
        </w:tc>
        <w:tc>
          <w:tcPr>
            <w:tcW w:type="dxa" w:w="2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技术路线＋团队贡献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4:45—5:00</w:t>
            </w:r>
          </w:p>
        </w:tc>
        <w:tc>
          <w:tcPr>
            <w:tcW w:type="dxa" w:w="515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边界、风险控制和未来扩展</w:t>
            </w:r>
          </w:p>
        </w:tc>
        <w:tc>
          <w:tcPr>
            <w:tcW w:type="dxa" w:w="27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文档展示＋答辩准备</w:t>
            </w:r>
          </w:p>
        </w:tc>
      </w:tr>
    </w:tbl>
    <w:p>
      <w:pPr>
        <w:spacing w:before="0" w:after="60" w:line="168" w:lineRule="auto"/>
      </w:pPr>
    </w:p>
    <w:p>
      <w:pPr>
        <w:pStyle w:val="Heading2"/>
        <w:keepNext/>
      </w:pPr>
      <w:r>
        <w:t>三张必须做好的主视觉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工作流图：</w:t>
      </w:r>
      <w:r>
        <w:rPr>
          <w:rFonts w:ascii="Calibri" w:hAnsi="Calibri" w:eastAsia="Microsoft YaHei"/>
        </w:rPr>
        <w:t>看见找异常、查依据、反向检查、人工确认和任务卡生成。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完整证据链卡片：</w:t>
      </w:r>
      <w:r>
        <w:rPr>
          <w:rFonts w:ascii="Calibri" w:hAnsi="Calibri" w:eastAsia="Microsoft YaHei"/>
        </w:rPr>
        <w:t>同屏看见异常、原文页码、认定、核查步骤和人工状态。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效果对比图：</w:t>
      </w:r>
      <w:r>
        <w:rPr>
          <w:rFonts w:ascii="Calibri" w:hAnsi="Calibri" w:eastAsia="Microsoft YaHei"/>
        </w:rPr>
        <w:t>通用AI与完整工作流在覆盖、引用、无依据结论和时间上的差别。</w:t>
      </w:r>
    </w:p>
    <w:p>
      <w:pPr>
        <w:pStyle w:val="Heading1"/>
        <w:keepNext/>
      </w:pPr>
      <w:r>
        <w:t>十六、希望指导教师确认的事项</w:t>
      </w:r>
    </w:p>
    <w:p>
      <w:pPr>
        <w:spacing w:before="0" w:after="80" w:line="293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是否认可将选题升级为“可追溯证据链＋AI审计复核工作流＋核查任务卡”，而不是泛化的年报智能问答。</w:t>
      </w:r>
    </w:p>
    <w:p>
      <w:pPr>
        <w:spacing w:before="0" w:after="80" w:line="293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是否认可三项主创新及其优先级：完整证据链、分析—质疑—人工确认、监管问询时点回测。</w:t>
      </w:r>
    </w:p>
    <w:p>
      <w:pPr>
        <w:spacing w:before="0" w:after="80" w:line="293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首版聚焦1个行业、收入／应收／存货／利润／现金流及8—10类风险是否合理；建议优先哪个行业。</w:t>
      </w:r>
    </w:p>
    <w:p>
      <w:pPr>
        <w:spacing w:before="0" w:after="80" w:line="293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“风险—证据—管理层认定—核查程序”的专业映射是否准确，请老师优先抽查。</w:t>
      </w:r>
    </w:p>
    <w:p>
      <w:pPr>
        <w:spacing w:before="0" w:after="80" w:line="293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采用Coze云端工作流＋Trae AI原生开发＋本地Python运行项目的组合，是否符合学校对竞赛提交形式的理解。</w:t>
      </w:r>
    </w:p>
    <w:p>
      <w:pPr>
        <w:spacing w:before="0" w:after="80" w:line="293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10—15个历史案例和当前评价指标是否足以支撑初赛；哪些指标应当增加或删除。</w:t>
      </w:r>
    </w:p>
    <w:p>
      <w:pPr>
        <w:spacing w:before="0" w:after="80" w:line="293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是否可以在MVP完成、评测完成、视频初剪和提交前各安排一次短审阅。</w:t>
      </w:r>
    </w:p>
    <w:p>
      <w:pPr>
        <w:pStyle w:val="Metadata"/>
        <w:tabs>
          <w:tab w:pos="4781" w:val="left"/>
        </w:tabs>
        <w:spacing w:before="40" w:after="6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指导教师意见：</w:t>
      </w:r>
      <w:r>
        <w:rPr>
          <w:rFonts w:ascii="Calibri" w:hAnsi="Calibri" w:eastAsia="Microsoft YaHei"/>
          <w:color w:val="111827"/>
          <w:sz w:val="19"/>
        </w:rPr>
        <w:t>________________________________________</w:t>
      </w:r>
      <w:r>
        <w:rPr>
          <w:rFonts w:ascii="Calibri" w:hAnsi="Calibri" w:eastAsia="Microsoft YaHei"/>
          <w:sz w:val="19"/>
        </w:rPr>
        <w:tab/>
      </w:r>
      <w:r>
        <w:rPr>
          <w:rFonts w:ascii="Calibri" w:hAnsi="Calibri" w:eastAsia="Microsoft YaHei"/>
          <w:b/>
          <w:color w:val="1F4D78"/>
          <w:sz w:val="19"/>
        </w:rPr>
        <w:t>建议优先行业：</w:t>
      </w:r>
      <w:r>
        <w:rPr>
          <w:rFonts w:ascii="Calibri" w:hAnsi="Calibri" w:eastAsia="Microsoft YaHei"/>
          <w:color w:val="111827"/>
          <w:sz w:val="19"/>
        </w:rPr>
        <w:t>________________________________________</w:t>
      </w:r>
    </w:p>
    <w:p>
      <w:pPr>
        <w:pStyle w:val="Metadata"/>
        <w:tabs>
          <w:tab w:pos="4781" w:val="left"/>
        </w:tabs>
        <w:spacing w:before="0" w:after="6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三项主创新是否认可：</w:t>
      </w:r>
      <w:r>
        <w:rPr>
          <w:rFonts w:ascii="Calibri" w:hAnsi="Calibri" w:eastAsia="Microsoft YaHei"/>
          <w:color w:val="111827"/>
          <w:sz w:val="19"/>
        </w:rPr>
        <w:t>□ 认可  □ 调整后认可  □ 需重选</w:t>
      </w:r>
      <w:r>
        <w:rPr>
          <w:rFonts w:ascii="Calibri" w:hAnsi="Calibri" w:eastAsia="Microsoft YaHei"/>
          <w:sz w:val="19"/>
        </w:rPr>
        <w:tab/>
      </w:r>
      <w:r>
        <w:rPr>
          <w:rFonts w:ascii="Calibri" w:hAnsi="Calibri" w:eastAsia="Microsoft YaHei"/>
          <w:b/>
          <w:color w:val="1F4D78"/>
          <w:sz w:val="19"/>
        </w:rPr>
        <w:t>是否同意进入MVP：</w:t>
      </w:r>
      <w:r>
        <w:rPr>
          <w:rFonts w:ascii="Calibri" w:hAnsi="Calibri" w:eastAsia="Microsoft YaHei"/>
          <w:color w:val="111827"/>
          <w:sz w:val="19"/>
        </w:rPr>
        <w:t>□ 同意  □ 修改后同意  □ 暂缓</w:t>
      </w:r>
    </w:p>
    <w:p>
      <w:pPr>
        <w:pStyle w:val="Metadata"/>
        <w:tabs>
          <w:tab w:pos="4781" w:val="left"/>
        </w:tabs>
        <w:spacing w:before="0" w:after="6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审阅日期：</w:t>
      </w:r>
      <w:r>
        <w:rPr>
          <w:rFonts w:ascii="Calibri" w:hAnsi="Calibri" w:eastAsia="Microsoft YaHei"/>
          <w:color w:val="111827"/>
          <w:sz w:val="19"/>
        </w:rPr>
        <w:t>________________</w:t>
      </w:r>
    </w:p>
    <w:p>
      <w:pPr>
        <w:spacing w:after="40"/>
      </w:pPr>
    </w:p>
    <w:p>
      <w:pPr>
        <w:pStyle w:val="Heading1"/>
        <w:keepNext/>
      </w:pPr>
      <w:r>
        <w:t>参考依据与工具说明</w:t>
      </w:r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[1] 《附件1 北京市大学生数智会计创新应用竞赛手册》</w:t>
      </w:r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[2] Trae官方中文社区：产品功能与版本说明</w:t>
      </w:r>
      <w:r>
        <w:rPr>
          <w:rFonts w:ascii="Calibri" w:hAnsi="Calibri" w:eastAsia="Microsoft YaHei"/>
          <w:sz w:val="17"/>
        </w:rPr>
        <w:t xml:space="preserve"> 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[3] Trae官方中文社区：Trae IDE与Trae SOLO使用场景说明</w:t>
      </w:r>
      <w:r>
        <w:rPr>
          <w:rFonts w:ascii="Calibri" w:hAnsi="Calibri" w:eastAsia="Microsoft YaHei"/>
          <w:sz w:val="17"/>
        </w:rPr>
        <w:t xml:space="preserve"> 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[4] Coze官方产品概览：工作流与AI应用开发</w:t>
      </w:r>
      <w:r>
        <w:rPr>
          <w:rFonts w:ascii="Calibri" w:hAnsi="Calibri" w:eastAsia="Microsoft YaHei"/>
          <w:sz w:val="17"/>
        </w:rPr>
        <w:t xml:space="preserve"> 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[5] 审计准则第1211号（重大错报风险识别和评估）</w:t>
      </w:r>
      <w:r>
        <w:rPr>
          <w:rFonts w:ascii="Calibri" w:hAnsi="Calibri" w:eastAsia="Microsoft YaHei"/>
          <w:sz w:val="17"/>
        </w:rPr>
        <w:t xml:space="preserve"> 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[6] 审计准则第1231号（针对评估风险的应对措施）</w:t>
      </w:r>
      <w:r>
        <w:rPr>
          <w:rFonts w:ascii="Calibri" w:hAnsi="Calibri" w:eastAsia="Microsoft YaHei"/>
          <w:sz w:val="17"/>
        </w:rPr>
        <w:t xml:space="preserve"> 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[7] 巨潮资讯网</w:t>
      </w:r>
      <w:r>
        <w:rPr>
          <w:rFonts w:ascii="Calibri" w:hAnsi="Calibri" w:eastAsia="Microsoft YaHei"/>
          <w:sz w:val="17"/>
        </w:rPr>
        <w:t xml:space="preserve"> 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老师意见修订版 V2.0  |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老师意见修订版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审迹智链 | 项目初步方案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  <w:rPr>
        <w:rFonts w:ascii="Calibri" w:hAnsi="Calibri" w:eastAsia="Microsoft YaHei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before="0" w:after="80" w:line="276" w:lineRule="auto"/>
    </w:pPr>
    <w:rPr>
      <w:rFonts w:ascii="Calibri" w:hAnsi="Calibri" w:eastAsia="Microsoft YaHei"/>
      <w:b w:val="0"/>
      <w:color w:val="667085"/>
      <w:sz w:val="18"/>
    </w:rPr>
  </w:style>
  <w:style w:type="paragraph" w:customStyle="1" w:styleId="TableText">
    <w:name w:val="Table Text"/>
    <w:pPr>
      <w:spacing w:before="0" w:after="0" w:line="269" w:lineRule="auto"/>
    </w:pPr>
    <w:rPr>
      <w:rFonts w:ascii="Calibri" w:hAnsi="Calibri" w:eastAsia="Microsoft YaHei"/>
      <w:b w:val="0"/>
      <w:color w:val="111827"/>
      <w:sz w:val="18"/>
    </w:rPr>
  </w:style>
  <w:style w:type="paragraph" w:customStyle="1" w:styleId="Metadata">
    <w:name w:val="Metadata"/>
    <w:pPr>
      <w:spacing w:before="0" w:after="40" w:line="264" w:lineRule="auto"/>
    </w:pPr>
    <w:rPr>
      <w:rFonts w:ascii="Calibri" w:hAnsi="Calibri" w:eastAsia="Microsoft YaHei"/>
      <w:b w:val="0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forum.trae.cn/t/topic/53" TargetMode="External"/><Relationship Id="rId13" Type="http://schemas.openxmlformats.org/officeDocument/2006/relationships/hyperlink" Target="https://forum.trae.cn/t/topic/13913" TargetMode="External"/><Relationship Id="rId14" Type="http://schemas.openxmlformats.org/officeDocument/2006/relationships/hyperlink" Target="https://www.coze.cn/overview" TargetMode="External"/><Relationship Id="rId15" Type="http://schemas.openxmlformats.org/officeDocument/2006/relationships/hyperlink" Target="https://kjs.mof.gov.cn/zhengcefabu/202301/P020230103584604829925.pdf" TargetMode="External"/><Relationship Id="rId16" Type="http://schemas.openxmlformats.org/officeDocument/2006/relationships/hyperlink" Target="https://kjs.mof.gov.cn/zhengcefabu/201904/P020190409588124511765.pdf" TargetMode="External"/><Relationship Id="rId17" Type="http://schemas.openxmlformats.org/officeDocument/2006/relationships/hyperlink" Target="https://www.cninfo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审迹智链项目初步方案计划书（老师意见修订版）</dc:title>
  <dc:subject>围绕专业深度、技术创新、落地可行、效果评估和文档展示的AI原生审计方案</dc:subject>
  <dc:creator>审迹智链参赛团队</dc:creator>
  <cp:keywords>数智会计, 智能审计, 多智能体, RAG, AuditTrace</cp:keywords>
  <dc:description>2026年北京市大学生数智会计创新应用竞赛准备材料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