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Calibri" w:hAnsi="Calibri" w:eastAsia="Microsoft YaHei"/>
          <w:b/>
          <w:color w:val="B47A00"/>
          <w:sz w:val="19"/>
        </w:rPr>
        <w:t>2026 北京市大学生数智会计创新应用竞赛</w:t>
      </w:r>
    </w:p>
    <w:p>
      <w:pPr>
        <w:keepNext/>
        <w:spacing w:before="0" w:after="140"/>
        <w:jc w:val="center"/>
      </w:pPr>
      <w:r>
        <w:rPr>
          <w:rFonts w:ascii="Calibri" w:hAnsi="Calibri" w:eastAsia="Microsoft YaHei"/>
          <w:b/>
          <w:color w:val="0B2545"/>
          <w:sz w:val="58"/>
        </w:rPr>
        <w:t>审迹智链（AuditTrace）</w:t>
      </w:r>
    </w:p>
    <w:p>
      <w:pPr>
        <w:keepNext/>
        <w:spacing w:before="0" w:after="120"/>
        <w:jc w:val="center"/>
      </w:pPr>
      <w:r>
        <w:rPr>
          <w:rFonts w:ascii="Calibri" w:hAnsi="Calibri" w:eastAsia="Microsoft YaHei"/>
          <w:color w:val="1F4D78"/>
          <w:sz w:val="28"/>
        </w:rPr>
        <w:t>面向审计前置阶段的</w:t>
        <w:br/>
        <w:t>多维交叉验证与证据缺口识别智能体</w:t>
      </w:r>
    </w:p>
    <w:p>
      <w:pPr>
        <w:keepNext/>
        <w:spacing w:before="0" w:after="440"/>
        <w:jc w:val="center"/>
      </w:pPr>
      <w:r>
        <w:rPr>
          <w:rFonts w:ascii="Calibri" w:hAnsi="Calibri" w:eastAsia="Microsoft YaHei"/>
          <w:color w:val="1F4D78"/>
          <w:sz w:val="22"/>
        </w:rPr>
        <w:t>基于公开资料、证据约束与反证挑战的收入确认重大错报风险预筛查</w:t>
      </w:r>
    </w:p>
    <w:p>
      <w:pPr>
        <w:pStyle w:val="Metadata"/>
        <w:tabs>
          <w:tab w:pos="4781" w:val="left"/>
        </w:tabs>
        <w:spacing w:before="40" w:after="60"/>
        <w:ind w:left="259" w:right="259"/>
        <w:shd w:fill="F4F6F9"/>
      </w:pPr>
      <w:r>
        <w:rPr>
          <w:rFonts w:ascii="Calibri" w:hAnsi="Calibri" w:eastAsia="Microsoft YaHei"/>
          <w:b/>
          <w:color w:val="1F4D78"/>
          <w:sz w:val="19"/>
        </w:rPr>
        <w:t>核心用户：</w:t>
      </w:r>
      <w:r>
        <w:rPr>
          <w:rFonts w:ascii="Calibri" w:hAnsi="Calibri" w:eastAsia="Microsoft YaHei"/>
          <w:color w:val="111827"/>
          <w:sz w:val="19"/>
        </w:rPr>
        <w:t>会计师事务所审计项目组</w:t>
      </w:r>
      <w:r>
        <w:rPr>
          <w:rFonts w:ascii="Calibri" w:hAnsi="Calibri" w:eastAsia="Microsoft YaHei"/>
          <w:sz w:val="19"/>
        </w:rPr>
        <w:tab/>
      </w:r>
      <w:r>
        <w:rPr>
          <w:rFonts w:ascii="Calibri" w:hAnsi="Calibri" w:eastAsia="Microsoft YaHei"/>
          <w:b/>
          <w:color w:val="1F4D78"/>
          <w:sz w:val="19"/>
        </w:rPr>
        <w:t>核心阶段：</w:t>
      </w:r>
      <w:r>
        <w:rPr>
          <w:rFonts w:ascii="Calibri" w:hAnsi="Calibri" w:eastAsia="Microsoft YaHei"/>
          <w:color w:val="111827"/>
          <w:sz w:val="19"/>
        </w:rPr>
        <w:t>业务承接 / 续约 / 审计计划</w:t>
      </w:r>
    </w:p>
    <w:p>
      <w:pPr>
        <w:pStyle w:val="Metadata"/>
        <w:tabs>
          <w:tab w:pos="4781" w:val="left"/>
        </w:tabs>
        <w:spacing w:before="0" w:after="60"/>
        <w:ind w:left="259" w:right="259"/>
        <w:shd w:fill="F4F6F9"/>
      </w:pPr>
      <w:r>
        <w:rPr>
          <w:rFonts w:ascii="Calibri" w:hAnsi="Calibri" w:eastAsia="Microsoft YaHei"/>
          <w:b/>
          <w:color w:val="1F4D78"/>
          <w:sz w:val="19"/>
        </w:rPr>
        <w:t>版本：</w:t>
      </w:r>
      <w:r>
        <w:rPr>
          <w:rFonts w:ascii="Calibri" w:hAnsi="Calibri" w:eastAsia="Microsoft YaHei"/>
          <w:color w:val="111827"/>
          <w:sz w:val="19"/>
        </w:rPr>
        <w:t>V2.1·执行启动修订版</w:t>
      </w:r>
      <w:r>
        <w:rPr>
          <w:rFonts w:ascii="Calibri" w:hAnsi="Calibri" w:eastAsia="Microsoft YaHei"/>
          <w:sz w:val="19"/>
        </w:rPr>
        <w:tab/>
      </w:r>
      <w:r>
        <w:rPr>
          <w:rFonts w:ascii="Calibri" w:hAnsi="Calibri" w:eastAsia="Microsoft YaHei"/>
          <w:b/>
          <w:color w:val="1F4D78"/>
          <w:sz w:val="19"/>
        </w:rPr>
        <w:t>日期：</w:t>
      </w:r>
      <w:r>
        <w:rPr>
          <w:rFonts w:ascii="Calibri" w:hAnsi="Calibri" w:eastAsia="Microsoft YaHei"/>
          <w:color w:val="111827"/>
          <w:sz w:val="19"/>
        </w:rPr>
        <w:t>2026年7月16日</w:t>
      </w:r>
    </w:p>
    <w:p>
      <w:pPr>
        <w:spacing w:after="40"/>
      </w:pP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当前阶段：</w:t>
      </w:r>
      <w:r>
        <w:rPr>
          <w:rFonts w:ascii="Calibri" w:hAnsi="Calibri" w:eastAsia="Microsoft YaHei"/>
          <w:color w:val="111827"/>
          <w:sz w:val="21"/>
        </w:rPr>
        <w:t>指导老师已同意团队开始推进项目。当前进入执行准备与最小原型阶段；规则、案例、T0/T1、实验配置和效果结论仍待相应人工闸门。</w:t>
      </w:r>
    </w:p>
    <w:p>
      <w:pPr>
        <w:spacing w:before="440"/>
        <w:jc w:val="center"/>
      </w:pPr>
      <w:r>
        <w:rPr>
          <w:rFonts w:ascii="Calibri" w:hAnsi="Calibri" w:eastAsia="Microsoft YaHei"/>
          <w:color w:val="667085"/>
          <w:sz w:val="19"/>
        </w:rPr>
        <w:t>团队执行启动底稿 · 尚无正式原型或实验结果</w:t>
      </w:r>
      <w:r>
        <w:br w:type="page"/>
      </w:r>
    </w:p>
    <w:p>
      <w:pPr>
        <w:pStyle w:val="Heading1"/>
        <w:keepNext/>
      </w:pPr>
      <w:r>
        <w:t>一、修订结论与项目总定位</w:t>
      </w:r>
    </w:p>
    <w:p>
      <w:pPr>
        <w:pStyle w:val="Heading2"/>
        <w:keepNext/>
      </w:pPr>
      <w:r>
        <w:t>1.1 本轮修订与当前阶段结论</w:t>
      </w:r>
    </w:p>
    <w:p>
      <w:pPr/>
      <w:r>
        <w:rPr>
          <w:rFonts w:ascii="Calibri" w:hAnsi="Calibri" w:eastAsia="Microsoft YaHei"/>
          <w:color w:val="111827"/>
        </w:rPr>
        <w:t>已知人工决定是：</w:t>
      </w:r>
      <w:r>
        <w:rPr>
          <w:rFonts w:ascii="Calibri" w:hAnsi="Calibri" w:eastAsia="Microsoft YaHei"/>
          <w:b/>
          <w:color w:val="1F4D78"/>
        </w:rPr>
        <w:t>指导老师已经同意团队开始推进项目。</w:t>
      </w:r>
      <w:r>
        <w:rPr>
          <w:rFonts w:ascii="Calibri" w:hAnsi="Calibri" w:eastAsia="Microsoft YaHei"/>
          <w:color w:val="111827"/>
        </w:rPr>
        <w:t xml:space="preserve"> 本版据此从“等待启动放行的审阅稿”调整为“执行启动底稿”。启动闸门通过后，团队可以开始规则细化、案例可行性检查、数据底座和最小原型验证；案例冻结、专业规则会签、T1解锁、正式实验和最终发布仍须在相应阶段由人确认。</w:t>
      </w:r>
    </w:p>
    <w:p>
      <w:pPr/>
      <w:r>
        <w:rPr>
          <w:rFonts w:ascii="Calibri" w:hAnsi="Calibri" w:eastAsia="Microsoft YaHei"/>
          <w:color w:val="111827"/>
        </w:rPr>
        <w:t>截至本版修订，工作区仍只有计划书、评估意见、前置资料和文档生成脚本，</w:t>
      </w:r>
      <w:r>
        <w:rPr>
          <w:rFonts w:ascii="Calibri" w:hAnsi="Calibri" w:eastAsia="Microsoft YaHei"/>
          <w:b/>
          <w:color w:val="1F4D78"/>
        </w:rPr>
        <w:t>尚无经验证的正式原型、两家冻结案例、T0/T1数据包、B0—B3实验或效果结论</w:t>
      </w:r>
      <w:r>
        <w:rPr>
          <w:rFonts w:ascii="Calibri" w:hAnsi="Calibri" w:eastAsia="Microsoft YaHei"/>
          <w:color w:val="111827"/>
        </w:rPr>
        <w:t>。以下技术结构、页面、指标和进度均为拟执行方案，不能表述为已经实现。</w:t>
      </w:r>
    </w:p>
    <w:p>
      <w:pPr/>
      <w:r>
        <w:rPr>
          <w:rFonts w:ascii="Calibri" w:hAnsi="Calibri" w:eastAsia="Microsoft YaHei"/>
          <w:color w:val="111827"/>
        </w:rPr>
        <w:t>本项目的</w:t>
      </w:r>
      <w:r>
        <w:rPr>
          <w:rFonts w:ascii="Calibri" w:hAnsi="Calibri" w:eastAsia="Microsoft YaHei"/>
          <w:b/>
          <w:color w:val="1F4D78"/>
        </w:rPr>
        <w:t>唯一核心用户</w:t>
      </w:r>
      <w:r>
        <w:rPr>
          <w:rFonts w:ascii="Calibri" w:hAnsi="Calibri" w:eastAsia="Microsoft YaHei"/>
          <w:color w:val="111827"/>
        </w:rPr>
        <w:t>明确为会计师事务所审计项目组，重点服务项目合伙人、项目经理和负责初步风险评估的审计人员。产品只聚焦以下三个相邻阶段：</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新客户业务承接前的风险了解；</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保持客户关系和审计业务（续聘）时的风险复核；</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审计计划阶段的初步风险评估与资源安排。</w:t>
      </w:r>
    </w:p>
    <w:p>
      <w:pPr/>
      <w:r>
        <w:rPr>
          <w:rFonts w:ascii="Calibri" w:hAnsi="Calibri" w:eastAsia="Microsoft YaHei"/>
          <w:color w:val="111827"/>
        </w:rPr>
        <w:t>本项目</w:t>
      </w:r>
      <w:r>
        <w:rPr>
          <w:rFonts w:ascii="Calibri" w:hAnsi="Calibri" w:eastAsia="Microsoft YaHei"/>
          <w:b/>
          <w:color w:val="1F4D78"/>
        </w:rPr>
        <w:t>不做面向普通投资者的选股或投资建议工具，也不做覆盖审计全过程的综合审计平台</w:t>
      </w:r>
      <w:r>
        <w:rPr>
          <w:rFonts w:ascii="Calibri" w:hAnsi="Calibri" w:eastAsia="Microsoft YaHei"/>
          <w:color w:val="111827"/>
        </w:rPr>
        <w:t>。主页不设置“投资者/审计师”身份选择，所有页面、字段和输出均围绕审计人员的工作语言设计。</w:t>
      </w:r>
    </w:p>
    <w:p>
      <w:pPr/>
      <w:r>
        <w:rPr>
          <w:rFonts w:ascii="Calibri" w:hAnsi="Calibri" w:eastAsia="Microsoft YaHei"/>
          <w:color w:val="111827"/>
        </w:rPr>
        <w:t>项目第一版以年报、公告、审计报告、监管信息、同行公司年报和公开行业资料为核心数据。内部合同、销售明细、发货验收资料、回款资料等仅作为核心链路稳定后拟支持的授权、脱敏补充材料，该能力当前尚未实现；首版目标是在最低公开资料清单通过预检时，形成一轮公开资料层面的初步预筛输出，该能力仍须在开发案例上验收。第一版不需要兼容所有审计数据。</w:t>
      </w:r>
    </w:p>
    <w:p>
      <w:pPr>
        <w:pStyle w:val="Heading2"/>
        <w:keepNext/>
      </w:pPr>
      <w:r>
        <w:t>1.2 一句话说明项目做什么</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审迹智链拟帮助审计项目组在业务承接、保持客户关系和审计业务（续聘）以及制定审计计划前，把分散的财务、业务和行业公开信息交叉核对，形成有原文出处、有反证过程、有资料依据缺口和后续核查建议的预审风险备忘录。</w:t>
      </w:r>
    </w:p>
    <w:p>
      <w:pPr>
        <w:pStyle w:val="Heading2"/>
        <w:keepNext/>
      </w:pPr>
      <w:r>
        <w:t>1.3 为什么仍然选择审计师，而不转向普通投资者</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项目原有的管理层认定、证据硬门槛、反证挑战、待核查程序和T0/T1回测，本质上都是审计逻辑；</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审计师能理解“风险线索不是舞弊结论”，也习惯对底稿进行人工复核，产品责任边界清楚；</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在承接、保持客户关系和审计业务（续聘）以及计划阶段，公开资料可以成为了解被审计单位及其环境的来源之一；可获得的内部资料取决于授权、阶段和项目安排。本项目把公开资料设为首版最小输入，不声称审计人员在这些阶段只能使用公开资料；</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内部资料越多，意味着范围、保密和格式兼容成本越高。将其设计为“按证据缺口补充”，比一开始承诺接入全部底稿更可落地；</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如果改做普通投资者工具，就必须重新定义投资决策边界、通俗引导、责任风险和效果指标，反而会削弱现有专业积累。</w:t>
      </w:r>
    </w:p>
    <w:p>
      <w:pPr>
        <w:pStyle w:val="Heading2"/>
        <w:keepNext/>
      </w:pPr>
      <w:r>
        <w:t>1.4 正式题目不直接使用“主动刺探舞弊”</w:t>
      </w:r>
    </w:p>
    <w:p>
      <w:pPr/>
      <w:r>
        <w:rPr>
          <w:rFonts w:ascii="Calibri" w:hAnsi="Calibri" w:eastAsia="Microsoft YaHei"/>
          <w:color w:val="111827"/>
        </w:rPr>
        <w:t>“主动刺探”可作为答辩中的创意表达，但正式标题和界面统一使用“重大错报风险预筛查”“待核查风险线索”等术语。公开资料只能形成风险假设，不能替代函证、检查、访谈和银行流水核验，也不能据此认定特定公司存在舞弊。</w:t>
      </w:r>
    </w:p>
    <w:p>
      <w:pPr>
        <w:pStyle w:val="Heading2"/>
        <w:keepNext/>
      </w:pPr>
      <w:r>
        <w:t>1.5 当前状态台账</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状态</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截至2026年7月16日的内容</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已获准推进</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指导老师已同意团队开始推进项目，可进入规则细化、案例可行性检查、数据准备和最小原型阶段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团队拟执行</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审计师唯一核心用户、审计前置阶段、公开资料主流程、收入确认与销售及收款循环、多维交叉验证和证据缺口输出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待人工确认</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R1—R8专业口径与优先级、两家案例及T0、模型与提示词版本、正式实验配置、补充资料授权和最终对外表述</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尚未形成</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正式原型、冻结数据包、B0—B3或消融结果、稳定性与效率数据、可对外宣称的效果结论</w:t>
            </w:r>
          </w:p>
        </w:tc>
      </w:tr>
    </w:tbl>
    <w:p>
      <w:pPr>
        <w:spacing w:before="0" w:after="60" w:line="168" w:lineRule="auto"/>
      </w:pPr>
    </w:p>
    <w:p>
      <w:pPr>
        <w:pStyle w:val="Heading1"/>
        <w:keepNext/>
      </w:pPr>
      <w:r>
        <w:t>二、对指导老师三点意见的具体回应</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老师的关注</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本轮对接方式</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拟在原型中如何体现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使用者到底是谁</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只面向事务所审计项目组，限定承接、保持客户关系和审计业务（续聘）及计划阶段</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首页直接进入“新建预审项目”，不设置投资者模式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审计师需要业务逻辑和完整循环思考</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以销售与收款循环为主线，把异常连接到业务节点、资料依据缺口和场景化后续动作；计划场景再增加候选认定与程序</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风险卡可下钻到业务节点、风险机理、待索取资料；计划场景显示候选认定和建议程序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舞弊线索常来自业务和行业中的“不对劲”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从单纯财务比率升级为财务—业务—行业—非财务披露的多维交叉验证</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增加交叉验证矩阵，展示一条线索由哪些维度共同触发</w:t>
            </w:r>
          </w:p>
        </w:tc>
      </w:tr>
    </w:tbl>
    <w:p>
      <w:pPr>
        <w:spacing w:before="0" w:after="60" w:line="168" w:lineRule="auto"/>
      </w:pPr>
    </w:p>
    <w:p>
      <w:pPr/>
      <w:r>
        <w:rPr>
          <w:rFonts w:ascii="Calibri" w:hAnsi="Calibri" w:eastAsia="Microsoft YaHei"/>
          <w:color w:val="111827"/>
        </w:rPr>
        <w:t>老师同意团队开始推进后，上表作为本项目的</w:t>
      </w:r>
      <w:r>
        <w:rPr>
          <w:rFonts w:ascii="Calibri" w:hAnsi="Calibri" w:eastAsia="Microsoft YaHei"/>
          <w:b/>
          <w:color w:val="1F4D78"/>
        </w:rPr>
        <w:t>设计基线</w:t>
      </w:r>
      <w:r>
        <w:rPr>
          <w:rFonts w:ascii="Calibri" w:hAnsi="Calibri" w:eastAsia="Microsoft YaHei"/>
          <w:color w:val="111827"/>
        </w:rPr>
        <w:t>继续保留；它说明团队准备如何回应老师意见，不代表相应页面、规则或效果已经完成验证。</w:t>
      </w:r>
    </w:p>
    <w:p>
      <w:pPr/>
      <w:r>
        <w:rPr>
          <w:rFonts w:ascii="Calibri" w:hAnsi="Calibri" w:eastAsia="Microsoft YaHei"/>
          <w:color w:val="111827"/>
        </w:rPr>
        <w:t>这次修改不把项目扩成“万能审计系统”，而是把一个小场景做深：</w:t>
      </w:r>
      <w:r>
        <w:rPr>
          <w:rFonts w:ascii="Calibri" w:hAnsi="Calibri" w:eastAsia="Microsoft YaHei"/>
          <w:b/>
          <w:color w:val="1F4D78"/>
        </w:rPr>
        <w:t>在有限时间和有限公开资料下，帮助审计师更系统地提出高质量风险假设，并明确下一步要向客户索取什么证据。</w:t>
      </w:r>
    </w:p>
    <w:p>
      <w:pPr>
        <w:pStyle w:val="Heading1"/>
        <w:keepNext/>
      </w:pPr>
      <w:r>
        <w:t>三、竞赛评分点与本项目的对应关系</w:t>
      </w:r>
    </w:p>
    <w:p>
      <w:pPr>
        <w:pStyle w:val="Heading2"/>
        <w:keepNext/>
      </w:pPr>
      <w:r>
        <w:t>3.1 评分点映射</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评审维度</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本项目的主要设计</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计划形成的可验证成果（当前尚未完成）</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专业深度</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锁定收入确认和销售与收款循环；建立“业务节点—异常信号—风险机理—资料依据缺口—场景化后续动作”映射，计划场景再增加候选认定和程序</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8张跨维度规则卡、销售循环图、预审风险任务卡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技术创新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财务—业务—行业交叉验证、结构化质疑与反证、规则硬校验与大模型语义复核</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交叉验证矩阵、反证前后对比、缺证据自动拦截</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落地可行</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公开资料为必需输入；内部资料仅按缺口可选补充；首版只做2个历史案例和3年数据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可运行Web原型、标准资料模板、固定案例和导出报告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效果评估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T0/T1时点隔离回测；比较财务单维与多维交叉验证的增量；与通用大模型比较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日期台账、基线对照、Top 5覆盖、引用准确率和稳定性</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文档展示</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一条线索从异常、业务解释、同行对照展开到证据缺口和核查动作</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5分钟端到端演示、方案书、数据字典和备用录屏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伦理合规</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只输出风险线索；案例脱敏；禁用定性词；人工确认后导出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合规提示、来源台账、禁用词测试和人工确认记录</w:t>
            </w:r>
          </w:p>
        </w:tc>
      </w:tr>
    </w:tbl>
    <w:p>
      <w:pPr>
        <w:spacing w:before="0" w:after="60" w:line="168" w:lineRule="auto"/>
      </w:pPr>
    </w:p>
    <w:p>
      <w:pPr>
        <w:pStyle w:val="Heading2"/>
        <w:keepNext/>
      </w:pPr>
      <w:r>
        <w:t>3.2 评委可能质询与拟验证回应</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评委可能质询</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本项目的拟回应与验证方式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“公开资料不够，怎么服务审计？”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承接、保持客户关系和审计业务（续聘）及计划阶段可以先用公开资料形成风险假设；目标输出是资料依据缺口、待核查事项和待索取资料，不是审计结论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“大模型会编造页码、原文和数字。”</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页码和候选原文由解析程序提供，数字由程序计算；模型输出须经JSON Schema、原文反查、字段和禁用词校验，未通过只能留在草稿区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“如何检查模型是否受历史案例记忆影响？”</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在正式回测前冻结T0/T1，隔离T1后验材料，并安排公司名称与证券代码去标识化敏感性对照；保留输入清单、版本和运行日志。该方法只能降低和检查风险，不能单独作出不存在记忆影响的证明</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“只有2个案例能说明什么？”</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第一版只验证方法论的专业严谨性与工程可行性，报告覆盖、引用、稳定和失败情况，不宣传泛化准确率或普适舞弊识别能力</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“10周能否完成8条规则？”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先跑通R1、R2的端到端链路；R3—R8按资料可得性和阶段验收逐条接入，未通过的规则保留为规则卡，不包装成已实现功能</w:t>
            </w:r>
          </w:p>
        </w:tc>
      </w:tr>
    </w:tbl>
    <w:p>
      <w:pPr>
        <w:spacing w:before="0" w:after="60" w:line="168" w:lineRule="auto"/>
      </w:pPr>
    </w:p>
    <w:p>
      <w:pPr>
        <w:pStyle w:val="Heading1"/>
        <w:keepNext/>
      </w:pPr>
      <w:r>
        <w:t>四、目标用户、使用场景与产品价值</w:t>
      </w:r>
    </w:p>
    <w:p>
      <w:pPr>
        <w:pStyle w:val="Heading2"/>
        <w:keepNext/>
      </w:pPr>
      <w:r>
        <w:t>4.1 唯一核心用户</w:t>
      </w:r>
    </w:p>
    <w:p>
      <w:pPr/>
      <w:r>
        <w:rPr>
          <w:rFonts w:ascii="Calibri" w:hAnsi="Calibri" w:eastAsia="Microsoft YaHei"/>
          <w:color w:val="111827"/>
        </w:rPr>
        <w:t>核心用户是会计师事务所审计项目组中的项目合伙人、项目经理和计划阶段审计人员。其他人员可以观看演示或用于教学，但不作为产品需求的来源，也不另设操作模式。</w:t>
      </w:r>
    </w:p>
    <w:p>
      <w:pPr>
        <w:pStyle w:val="Heading2"/>
        <w:keepNext/>
      </w:pPr>
      <w:r>
        <w:t>4.2 目标用户故事（待原型和可用性测试验证）</w:t>
      </w:r>
    </w:p>
    <w:p>
      <w:pPr/>
      <w:r>
        <w:rPr>
          <w:rFonts w:ascii="Calibri" w:hAnsi="Calibri" w:eastAsia="Microsoft YaHei"/>
          <w:color w:val="111827"/>
        </w:rPr>
        <w:t>某事务所项目经理需要在首次客户风险讨论前整理一家拟承接上市公司的多年度年报、收入政策、应收与现金流变化及同行信息。现有工作需要在多份长篇披露中反复检索、摘录和复算，还要把每个异常转成后续资料需求。项目拟让他新建一个预审项目，先看到资料可得性和来源，再查看不超过5项的待核查线索；每项线索均能下钻到原文、计算、正常解释候选、资料依据缺口和场景化后续动作。只有选择审计计划场景时才显示候选认定和建议程序。系统节省多少时间、是否改善首次风险画像质量，须在后续人工对照测试后报告，本版不预设“几分钟完成”等效果数字。</w:t>
      </w:r>
    </w:p>
    <w:p>
      <w:pPr>
        <w:pStyle w:val="Heading2"/>
        <w:keepNext/>
      </w:pPr>
      <w:r>
        <w:t>4.3 具体使用场景</w:t>
      </w:r>
    </w:p>
    <w:p>
      <w:pPr/>
      <w:r>
        <w:rPr>
          <w:rFonts w:ascii="Calibri" w:hAnsi="Calibri" w:eastAsia="Microsoft YaHei"/>
          <w:b/>
          <w:color w:val="1F4D78"/>
        </w:rPr>
        <w:t>场景A：新客户承接。</w:t>
      </w:r>
      <w:r>
        <w:rPr>
          <w:rFonts w:ascii="Calibri" w:hAnsi="Calibri" w:eastAsia="Microsoft YaHei"/>
          <w:color w:val="111827"/>
        </w:rPr>
        <w:t xml:space="preserve"> 项目组需要在有限时间内了解潜在客户的收入模式、历年变化、同行差异和已有公开监管事项。系统拟提供需要追加了解的风险线索和证据缺口，作为项目组决定是否承接、如何定价及配置团队的输入，不替项目组作出决定。</w:t>
      </w:r>
    </w:p>
    <w:p>
      <w:pPr/>
      <w:r>
        <w:rPr>
          <w:rFonts w:ascii="Calibri" w:hAnsi="Calibri" w:eastAsia="Microsoft YaHei"/>
          <w:b/>
          <w:color w:val="1F4D78"/>
        </w:rPr>
        <w:t>场景B：保持客户关系和审计业务（续聘）。</w:t>
      </w:r>
      <w:r>
        <w:rPr>
          <w:rFonts w:ascii="Calibri" w:hAnsi="Calibri" w:eastAsia="Microsoft YaHei"/>
          <w:color w:val="111827"/>
        </w:rPr>
        <w:t xml:space="preserve"> 项目组需要发现本年相较以前年度出现的新变化，例如收入增速与回款脱节、业务模式措辞改变、毛利率逆行业上升等，作为保持关系复核和项目风险讨论的输入。</w:t>
      </w:r>
    </w:p>
    <w:p>
      <w:pPr/>
      <w:r>
        <w:rPr>
          <w:rFonts w:ascii="Calibri" w:hAnsi="Calibri" w:eastAsia="Microsoft YaHei"/>
          <w:b/>
          <w:color w:val="1F4D78"/>
        </w:rPr>
        <w:t>场景C：审计计划。</w:t>
      </w:r>
      <w:r>
        <w:rPr>
          <w:rFonts w:ascii="Calibri" w:hAnsi="Calibri" w:eastAsia="Microsoft YaHei"/>
          <w:color w:val="111827"/>
        </w:rPr>
        <w:t xml:space="preserve"> 项目组已决定承接后，系统拟把公开资料中的风险假设转换为计划阶段待核查事项，提示重点管理层认定、需要向客户索取的资料以及可考虑的审计程序，作为项目组确定资源投入方向的输入。</w:t>
      </w:r>
    </w:p>
    <w:p>
      <w:pPr/>
      <w:r>
        <w:rPr>
          <w:rFonts w:ascii="Calibri" w:hAnsi="Calibri" w:eastAsia="Microsoft YaHei"/>
          <w:color w:val="111827"/>
        </w:rPr>
        <w:t>承接及保持客户关系和审计业务阶段，只输出客户与业务风险的初步了解事项、资料依据缺口和需要进一步了解的问题；只有在业务已经承接并进入审计计划阶段后，才把相关线索映射为候选管理层认定和供项目组考虑的进一步审计程序。</w:t>
      </w:r>
    </w:p>
    <w:p>
      <w:pPr>
        <w:pStyle w:val="Heading2"/>
        <w:keepNext/>
      </w:pPr>
      <w:r>
        <w:t>4.4 用户痛点</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财务、业务和行业信息分散在多年度年报、附注、管理层讨论、公告和同行材料中，人工交叉阅读耗时；</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普通比率分析只能说“数字异常”，很难解释异常对应销售循环的哪个节点；</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审计师容易先看到支持风险的材料，而忽略正常商业解释，形成确认偏误；</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通用大模型若缺乏来源与结构约束，可能缺少可核对的页码、公式和原文，难以进入可复核的工作记录；</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公开资料无法回答全部问题，因此分析不能停在异常提示，还要继续说明“目前缺什么、下一步应取得什么资料”。</w:t>
      </w:r>
    </w:p>
    <w:p>
      <w:pPr>
        <w:pStyle w:val="Heading2"/>
        <w:keepNext/>
      </w:pPr>
      <w:r>
        <w:t>4.5 产品价值边界</w:t>
      </w:r>
    </w:p>
    <w:p>
      <w:pPr/>
      <w:r>
        <w:rPr>
          <w:rFonts w:ascii="Calibri" w:hAnsi="Calibri" w:eastAsia="Microsoft YaHei"/>
          <w:color w:val="111827"/>
        </w:rPr>
        <w:t>系统的目标价值不是代替审计师作出承接决定、舞弊认定或审计意见，而是形成一份</w:t>
      </w:r>
      <w:r>
        <w:rPr>
          <w:rFonts w:ascii="Calibri" w:hAnsi="Calibri" w:eastAsia="Microsoft YaHei"/>
          <w:b/>
          <w:color w:val="1F4D78"/>
        </w:rPr>
        <w:t>结构化、可追溯、可复核的预审风险备忘录和分场景待核查清单</w:t>
      </w:r>
      <w:r>
        <w:rPr>
          <w:rFonts w:ascii="Calibri" w:hAnsi="Calibri" w:eastAsia="Microsoft YaHei"/>
          <w:color w:val="111827"/>
        </w:rPr>
        <w:t>。文中“建议程序”只在审计计划场景出现，均指供项目组考虑的候选程序，不构成必须执行的自动指令；最终判断、资料授权、程序选择和审计结论始终由审计人员负责。</w:t>
      </w:r>
    </w:p>
    <w:p>
      <w:pPr/>
      <w:r>
        <w:rPr>
          <w:rFonts w:ascii="Calibri" w:hAnsi="Calibri" w:eastAsia="Microsoft YaHei"/>
          <w:color w:val="111827"/>
        </w:rPr>
        <w:t>本文“证据/证据缺口”是产品内部简称，指支持或反驳风险线索的可追溯资料依据及其缺失，不等同于为形成审计意见所需的充分、适当的审计证据。正式界面优先使用“资料依据/资料依据缺口”，避免混淆。</w:t>
      </w:r>
    </w:p>
    <w:p>
      <w:pPr>
        <w:pStyle w:val="Heading1"/>
        <w:keepNext/>
      </w:pPr>
      <w:r>
        <w:t>五、第一版范围与明确不做的内容</w:t>
      </w:r>
    </w:p>
    <w:p>
      <w:pPr>
        <w:pStyle w:val="Heading2"/>
        <w:keepNext/>
      </w:pPr>
      <w:r>
        <w:t>5.1 第一版拟定范围（待逐项冻结）</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范围项目</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第一版内容</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审计阶段</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业务承接、保持客户关系和审计业务（续聘）、审计计划阶段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业务主题</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上市公司收入确认重大错报风险预筛查</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业务循环</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销售与收款循环，不扩展到采购、薪酬、资金等完整审计循环</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重点旁证</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应收账款/合同资产、存货/营业成本、经营活动现金流、销售模式、产能产量、客户集中度、同行毛利率</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风险类型</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收入确认时点需核查、交易商业实质需核查、总额法/净额法判断依据需核查，以及与上述事项相关的公开资料风险线索；不对交易是否具有商业实质或收入列报是否错误作结论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建立8张候选规则卡；R1、R2为首批端到端实现对象，R3—R8须按资料可得性和阶段验收逐条接入</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案例规模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拟从已有正式监管结论的候选中人工冻结2家公司及各自T0；每家连续3年；界面显示“案例A/案例B”</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截止分析日已经公开的年报、审计报告、公告、监管材料、同行年报和公开行业资料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可选资料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规定模板的合同摘要、销售明细、发货验收摘要、期后回款/退货摘要；只用于补充已识别的证据缺口</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正式输出</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目标为每个案例最多5张预审风险任务卡、一份预审风险备忘录和一份待索取资料清单；承接/保持阶段不输出审计程序，计划阶段才增加候选认定与建议程序；当前尚未生成或验收</w:t>
            </w:r>
          </w:p>
        </w:tc>
      </w:tr>
    </w:tbl>
    <w:p>
      <w:pPr>
        <w:spacing w:before="0" w:after="60" w:line="168" w:lineRule="auto"/>
      </w:pPr>
    </w:p>
    <w:p>
      <w:pPr>
        <w:pStyle w:val="Heading2"/>
        <w:keepNext/>
      </w:pPr>
      <w:r>
        <w:t>5.2 第一版明确不做</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不做普通投资者选股、买卖建议或公司估值；</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不做全市场实时扫描；</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不覆盖所有舞弊类型和全部审计循环；</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不承诺读取事务所全部底稿或兼容任意合同、发票、流水格式；</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不鉴定合同、发票、银行流水的真实性；</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不做客户和供应商的全网关系图谱；</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不输出“舞弊概率”、舞弊定性、审计意见或监管结论；</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不在现场临时分析未经资料预检和合规确认的真实公司；</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不依赖企查查、天眼查等付费数据才能运行，付费来源只能作为未来可选增强。</w:t>
      </w:r>
    </w:p>
    <w:p>
      <w:pPr>
        <w:pStyle w:val="Heading2"/>
        <w:keepNext/>
      </w:pPr>
      <w:r>
        <w:t>5.3 两类资料的边界</w:t>
      </w:r>
    </w:p>
    <w:p>
      <w:pPr/>
      <w:r>
        <w:rPr>
          <w:rFonts w:ascii="Calibri" w:hAnsi="Calibri" w:eastAsia="Microsoft YaHei"/>
          <w:b/>
          <w:color w:val="1F4D78"/>
        </w:rPr>
        <w:t>核心层：公开资料。</w:t>
      </w:r>
      <w:r>
        <w:rPr>
          <w:rFonts w:ascii="Calibri" w:hAnsi="Calibri" w:eastAsia="Microsoft YaHei"/>
          <w:color w:val="111827"/>
        </w:rPr>
        <w:t xml:space="preserve"> 首版目标是在最低公开资料清单通过预检时，不依赖内部资料完成多年度数字整理、财务—披露对照、同行比较、风险假设、反证挑战和证据缺口输出；该能力须在开发案例上验收，当前尚未实现。</w:t>
      </w:r>
    </w:p>
    <w:p>
      <w:pPr/>
      <w:r>
        <w:rPr>
          <w:rFonts w:ascii="Calibri" w:hAnsi="Calibri" w:eastAsia="Microsoft YaHei"/>
          <w:b/>
          <w:color w:val="1F4D78"/>
        </w:rPr>
        <w:t>补充层：授权且脱敏的内部资料。</w:t>
      </w:r>
      <w:r>
        <w:rPr>
          <w:rFonts w:ascii="Calibri" w:hAnsi="Calibri" w:eastAsia="Microsoft YaHei"/>
          <w:color w:val="111827"/>
        </w:rPr>
        <w:t xml:space="preserve"> 首版拟在核心链路稳定、取得授权并完成脱敏后，支持审计师针对某条资料依据缺口上传规定模板或少量PDF/Excel；目标是只重新检查相关风险卡，不建立面向全部底稿的通用数据平台。该能力当前尚未实现。竞赛演示只使用公开资料、模拟资料或已经脱敏的样例，不接触真实客户机密。</w:t>
      </w:r>
    </w:p>
    <w:p>
      <w:pPr>
        <w:pStyle w:val="Heading2"/>
        <w:keepNext/>
      </w:pPr>
      <w:r>
        <w:t>5.4 分阶段实现门槛</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阶段</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最小范围</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进入下一阶段的验收条件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M0 技术探路</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空白Web骨架、核心数据Schema、一个年报PDF解析POC及人工录入兜底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能记录文件、披露日期、页码、单位和解析状态；失败时可转人工结构化录入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M1 单规则最小链路</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一家候选公司的开发数据切片＋R1，从资料预检到一张风险卡草稿</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计算可复算、原文可反查、字段完整；无证据时只能输出缺口或暂缓</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M2 双规则MVP</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在M1基础上加入R2，并跑通质疑、反证、复核、硬校验和人工确认</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R1、R2均通过固定样例回归；失败模式和重试/降级日志可查看</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M3 规则扩展</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R3—R8按资料可得性和业务价值逐条接入</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每增加一条规则，都须有版本化规则卡、测试样例、正常解释、失败样例和人工复核；否则只保留为文档规则</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M4 正式评估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冻结案例、T0、基线、模型、提示词、指标和预算后运行回测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简化Research Contract经人工确认；T1保持锁定直至全部预登记T0运行完成且预测与日志固定</w:t>
            </w:r>
          </w:p>
        </w:tc>
      </w:tr>
    </w:tbl>
    <w:p>
      <w:pPr>
        <w:spacing w:before="0" w:after="60" w:line="168" w:lineRule="auto"/>
      </w:pPr>
    </w:p>
    <w:p>
      <w:pPr/>
      <w:r>
        <w:rPr>
          <w:rFonts w:ascii="Calibri" w:hAnsi="Calibri" w:eastAsia="Microsoft YaHei"/>
          <w:color w:val="111827"/>
        </w:rPr>
        <w:t>“8张规则卡”是专业规则库目标，不等于第一版必须同时完成8条代码链路。执行优先级始终是</w:t>
      </w:r>
      <w:r>
        <w:rPr>
          <w:rFonts w:ascii="Calibri" w:hAnsi="Calibri" w:eastAsia="Microsoft YaHei"/>
          <w:b/>
          <w:color w:val="1F4D78"/>
        </w:rPr>
        <w:t>一条完整、可复核的链路优于多条半成品规则</w:t>
      </w:r>
      <w:r>
        <w:rPr>
          <w:rFonts w:ascii="Calibri" w:hAnsi="Calibri" w:eastAsia="Microsoft YaHei"/>
          <w:color w:val="111827"/>
        </w:rPr>
        <w:t>。</w:t>
      </w:r>
    </w:p>
    <w:p>
      <w:pPr>
        <w:pStyle w:val="Heading1"/>
        <w:keepNext/>
      </w:pPr>
      <w:r>
        <w:t>六、专业主线：销售与收款循环的初步风险评估</w:t>
      </w:r>
    </w:p>
    <w:p>
      <w:pPr>
        <w:pStyle w:val="Heading2"/>
        <w:keepNext/>
      </w:pPr>
      <w:r>
        <w:t>6.1 业务循环不是“把所有资料都接进来”</w:t>
      </w:r>
    </w:p>
    <w:p>
      <w:pPr/>
      <w:r>
        <w:rPr>
          <w:rFonts w:ascii="Calibri" w:hAnsi="Calibri" w:eastAsia="Microsoft YaHei"/>
          <w:color w:val="111827"/>
        </w:rPr>
        <w:t>系统拟用销售与收款循环帮助审计师定位问题，但只做到计划阶段需要的深度：</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客户与信用政策 → 合同/订单 → 发货或提供服务 → 验收/控制权转移 → 开票与收入确认 → 应收账款 → 回款、退货和折让</w:t>
      </w:r>
    </w:p>
    <w:p>
      <w:pPr/>
      <w:r>
        <w:rPr>
          <w:rFonts w:ascii="Calibri" w:hAnsi="Calibri" w:eastAsia="Microsoft YaHei"/>
          <w:color w:val="111827"/>
        </w:rPr>
        <w:t>公开资料通常不能证明每笔交易是否真实，因此系统不作交易级结论。规则库内部可以保留业务节点、报表项目、候选管理层认定和程序的完整映射；承接及保持客户关系和审计业务场景只向用户输出初步了解事项、资料依据缺口和进一步了解问题，只有审计计划场景才展示候选管理层认定、待索取资料和建议程序。</w:t>
      </w:r>
    </w:p>
    <w:p>
      <w:pPr>
        <w:pStyle w:val="Heading2"/>
        <w:keepNext/>
      </w:pPr>
      <w:r>
        <w:t>6.2 八条候选交叉验证规则（分阶段实现）</w:t>
      </w:r>
    </w:p>
    <w:p>
      <w:pPr/>
      <w:r>
        <w:rPr>
          <w:rFonts w:ascii="Calibri" w:hAnsi="Calibri" w:eastAsia="Microsoft YaHei"/>
          <w:color w:val="111827"/>
        </w:rPr>
        <w:t>下列R1—R8目前是团队拟定的专业规则库v0.1，尚待逐条专业复核和工程验证。R1、R2优先进入M1/M2；R3—R8只有在所需资料可得、不会挤占核心链路且通过单条验收时才进入原型。</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700"/>
        <w:gridCol w:w="3800"/>
        <w:gridCol w:w="2310"/>
        <w:gridCol w:w="2550"/>
      </w:tblGrid>
      <w:tr>
        <w:trPr>
          <w:cantSplit/>
          <w:tblHeader w:val="true"/>
        </w:trPr>
        <w:tc>
          <w:tcPr>
            <w:tcW w:type="dxa" w:w="7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编号</w:t>
            </w:r>
          </w:p>
        </w:tc>
        <w:tc>
          <w:tcPr>
            <w:tcW w:type="dxa" w:w="38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交叉验证规则与通俗解释</w:t>
            </w:r>
          </w:p>
        </w:tc>
        <w:tc>
          <w:tcPr>
            <w:tcW w:type="dxa" w:w="23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主要公开资料</w:t>
            </w:r>
          </w:p>
        </w:tc>
        <w:tc>
          <w:tcPr>
            <w:tcW w:type="dxa" w:w="25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关联认定与下一步</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应收账款增长持续快于收入且应收账款周转天数上升，或合同资产/收入占比持续上升：收入增长与结算、回款或履约条件之间存在需核查的不一致</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三张主表、附注、信用政策披露</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候选认定包括收入发生及应收/合同资产存在、权利和义务、计价和分摊，须按具体信号选择；索取账龄、期后回款和主要合同摘要</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R2</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收入增长与经营活动现金流表现持续背离，且结合经营性应收应付、存货、税费和结算周期后，T0公开资料仍未提供可核验解释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现金流量表、利润表、资产负债表、管理层讨论</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仅作为收入发生/截止及相关资产计价的辅助线索；索取销售明细、期后回款和大额异常交易清单</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R3</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在产品、期间、单位、合并范围及产销存口径可比的前提下，产品销量或收入规模与公开披露的设计产能、产量存在需进一步解释的差异</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年报产能产量、募投/扩产公告、业务分部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候选认定为收入发生、准确性；核对产销存、委外生产、产能利用及口径差异说明</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R4</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前五大客户集中度发生明显变化，或主要交易对手公开登记特征与披露交易规模存在需进一步解释的差异</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前五大客户披露、公司公告、官方企业公示信息</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收入发生；关联方关系及交易的完整性和列报；登记特征不能单独证明交易无商业实质或存在关联关系，须索取客户清单、合同、验收和函证资料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R5</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针对具体交易，以转让前是否控制特定商品或服务为核心，结合合同权利义务、履约责任、定价和存货风险等事实；披露不足或可比同行口径不同只触发“总额法/净额法判断依据待核查”</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收入政策附注、同行年报/招股书、业务模式</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候选认定为准确性、分类和列报；检查合同权利义务并先确认交易是否可比，不据单一事实自动判定列报错误；正式用语须回收入准则原件核验</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R6</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在产品结构、成本范围、会计政策和期间口径可比的前提下，公司毛利率逆行业趋势明显上升，但公开资料没有给出可核验的产品、技术、品牌或成本解释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分部毛利率、同行年报、行业公开统计</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候选认定为收入准确性及存货/成本计价和分摊；索取产品毛利表、成本结转和价格变动资料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R7</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管理层讨论称竞争加剧、价格承压或需求下降，但相关分部收入/毛利率反而显著改善且公开资料未解释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管理层讨论与分析、分部附注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首先作为披露一致性线索；再由人工判断是否涉及准确性或列报，并检查价格、销量和成本资料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R8</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在T0前已公开且口径一致的资料中，第四季度或年末收入占比显著高于历史/可比同行，同时截至T0可观察的应收、合同资产、退货折让或减值信息出现需共同解释的异常</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分季度经营数据、应收/合同资产附注、T0前退货折让或减值披露</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候选认定为截止、发生；索取年末前后销售明细、发运验收、退货和期后回款资料。T0后首次公开的信息只能进入T1后验对照区</w:t>
            </w:r>
          </w:p>
        </w:tc>
      </w:tr>
    </w:tbl>
    <w:p>
      <w:pPr>
        <w:spacing w:before="0" w:after="60" w:line="168" w:lineRule="auto"/>
      </w:pPr>
    </w:p>
    <w:p>
      <w:pPr/>
      <w:r>
        <w:rPr>
          <w:rFonts w:ascii="Calibri" w:hAnsi="Calibri" w:eastAsia="Microsoft YaHei"/>
          <w:color w:val="111827"/>
        </w:rPr>
        <w:t>每条规则都设置“资料可得性”字段，并在界面醒目标记“可得、部分可得、不可得”。若公开资料没有披露产能、客户身份或交易细节，系统不得臆测，只能把该项标记为“不可评价/资料依据缺口”，并生成待索取资料。尤其对R4，只有客户名称已公开且官方登记信息可以回到原始页面时才作交叉核对；名称未披露或官方信息不可核验时，不得以搜索摘要、付费平台片段或模型记忆补齐。规则是风险筛查工具，不是自动定罪标准。</w:t>
      </w:r>
    </w:p>
    <w:p>
      <w:pPr/>
      <w:r>
        <w:rPr>
          <w:rFonts w:ascii="Calibri" w:hAnsi="Calibri" w:eastAsia="Microsoft YaHei"/>
          <w:color w:val="111827"/>
        </w:rPr>
        <w:t>表中管理层认定均为候选映射，不表示异常已经导致错报。规则卡须区分交易类别、期末账户余额和列报层面的认定，由人工按具体风险选择，不机械全选。</w:t>
      </w:r>
    </w:p>
    <w:p>
      <w:pPr/>
      <w:r>
        <w:rPr>
          <w:rFonts w:ascii="Calibri" w:hAnsi="Calibri" w:eastAsia="Microsoft YaHei"/>
          <w:color w:val="111827"/>
        </w:rPr>
        <w:t>规则卡拟采用独立JSON/YAML文件管理，最低包含规则编号、版本号、最后修改日期、适用条件、触发逻辑、所需资料、资料可得性、正常解释、证据缺口、建议程序、来源、复核人和状态（草拟/已复核/已实现/已测试）。任何状态升级均保留修改原因和人工复核记录，避免把文档中的候选规则误认为已上线功能。</w:t>
      </w:r>
    </w:p>
    <w:p>
      <w:pPr>
        <w:pStyle w:val="Heading2"/>
        <w:keepNext/>
      </w:pPr>
      <w:r>
        <w:t>6.3 专业映射矩阵</w:t>
      </w:r>
    </w:p>
    <w:p>
      <w:pPr/>
      <w:r>
        <w:rPr>
          <w:rFonts w:ascii="Calibri" w:hAnsi="Calibri" w:eastAsia="Microsoft YaHei"/>
          <w:color w:val="111827"/>
        </w:rPr>
        <w:t>每条风险的共同字段按以下结构展开：</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业务循环节点 → 异常信号 → 风险机理 → 受影响报表项目 → 正常解释候选 → 资料依据缺口 → 场景化后续动作</w:t>
      </w:r>
    </w:p>
    <w:p>
      <w:pPr/>
      <w:r>
        <w:rPr>
          <w:rFonts w:ascii="Calibri" w:hAnsi="Calibri" w:eastAsia="Microsoft YaHei"/>
          <w:color w:val="111827"/>
        </w:rPr>
        <w:t>规则卡内部可追加“候选管理层认定—待索取资料—建议程序”完整映射，但承接/保持场景不向用户展示认定和程序；仅在审计计划场景中，经人工选择后展示候选管理层认定、待索取资料和建议程序。</w:t>
      </w:r>
    </w:p>
    <w:p>
      <w:pPr/>
      <w:r>
        <w:rPr>
          <w:rFonts w:ascii="Calibri" w:hAnsi="Calibri" w:eastAsia="Microsoft YaHei"/>
          <w:color w:val="111827"/>
        </w:rPr>
        <w:t>例如，“应收增长快于收入”本身不是结论。目标流程还要检查是否由新增大客户、结算周期改变、季节性或行业账期普遍拉长导致；如果公开资料不能区分风险解释与正常解释，则标记“资料依据不足—待补充”或“暂缓”，并列示资料需求。只有存在可追溯支持且经人工复核时，才可进入Top 5待核查事项。</w:t>
      </w:r>
    </w:p>
    <w:p>
      <w:pPr>
        <w:pStyle w:val="Heading1"/>
        <w:keepNext/>
      </w:pPr>
      <w:r>
        <w:t>七、拟验证的五项核心创新</w:t>
      </w:r>
    </w:p>
    <w:p>
      <w:pPr>
        <w:pStyle w:val="Heading2"/>
        <w:keepNext/>
      </w:pPr>
      <w:r>
        <w:t>7.1 创新一：财务—业务—行业—披露多维交叉验证</w:t>
      </w:r>
    </w:p>
    <w:p>
      <w:pPr/>
      <w:r>
        <w:rPr>
          <w:rFonts w:ascii="Calibri" w:hAnsi="Calibri" w:eastAsia="Microsoft YaHei"/>
          <w:color w:val="111827"/>
        </w:rPr>
        <w:t>系统拟不只看比率，而是把四个维度放进同一条质疑链：财务数字是否勾稽、业务规模是否合理、行业惯例是否一致、管理层文字与报表结果是否一致。界面拟用“交叉验证矩阵”展示一条风险由哪些维度触发。多维触发只增加待核查信息量，不自动提高风险等级；待核查优先级还须结合潜在金额影响、发生可能性、资料质量、正常解释和人工判断。</w:t>
      </w:r>
    </w:p>
    <w:p>
      <w:pPr>
        <w:pStyle w:val="Heading2"/>
        <w:keepNext/>
      </w:pPr>
      <w:r>
        <w:t>7.2 创新二：业务循环驱动的证据缺口与资料索取</w:t>
      </w:r>
    </w:p>
    <w:p>
      <w:pPr/>
      <w:r>
        <w:rPr>
          <w:rFonts w:ascii="Calibri" w:hAnsi="Calibri" w:eastAsia="Microsoft YaHei"/>
          <w:color w:val="111827"/>
        </w:rPr>
        <w:t>系统目标不是发现异常后停在一句提示，而是把风险落到销售与收款循环节点并生成对应的资料需求。规则库内部保留候选认定与程序映射；承接/保持场景输出进一步了解问题，只有审计计划场景才展示候选认定和建议程序。这样把公开资料的局限转化为“知道下一步需要取得什么资料依据”的拟验证产品价值。</w:t>
      </w:r>
    </w:p>
    <w:p>
      <w:pPr>
        <w:pStyle w:val="Heading2"/>
        <w:keepNext/>
      </w:pPr>
      <w:r>
        <w:t>7.3 创新三：证据硬准入门槛</w:t>
      </w:r>
    </w:p>
    <w:p>
      <w:pPr/>
      <w:r>
        <w:rPr>
          <w:rFonts w:ascii="Calibri" w:hAnsi="Calibri" w:eastAsia="Microsoft YaHei"/>
          <w:color w:val="111827"/>
        </w:rPr>
        <w:t>目标架构要求每张正式风险卡必须包含来源、披露日期、原文、财务数字、公式、资料依据缺口和场景化后续动作。PDF来源须记录文件名、PDF页码和印刷页码；网页来源须记录URL、页面标题、查询/抓取日期及可复核存档哈希或定位信息。候选管理层认定和建议程序只在审计计划场景出现。大模型拟负责语义判断，程序拟负责来源定位、原文、公式、必填项和禁用词硬校验；任何关键项缺失，该线索只能保留在草稿区，不能进入正式报告。</w:t>
      </w:r>
    </w:p>
    <w:p>
      <w:pPr>
        <w:pStyle w:val="Heading2"/>
        <w:keepNext/>
      </w:pPr>
      <w:r>
        <w:t>7.4 创新四：一次结构化强制反证挑战</w:t>
      </w:r>
    </w:p>
    <w:p>
      <w:pPr/>
      <w:r>
        <w:rPr>
          <w:rFonts w:ascii="Calibri" w:hAnsi="Calibri" w:eastAsia="Microsoft YaHei"/>
          <w:color w:val="111827"/>
        </w:rPr>
        <w:t>目标流程中，质疑模块提出风险假设后，反证模块必须在允许使用的资料中检索并记录正常解释候选及其支持或缺失资料；未检索到时明确写“未检索到可核验支持/待补充资料”，不得为了满足格式补造解释。语义复核模块只能作“保留、降级、暂缓”判断，不能自由发挥形成无休止辩论。最终仍由程序硬校验和审计师人工确认把关。</w:t>
      </w:r>
    </w:p>
    <w:p>
      <w:pPr>
        <w:pStyle w:val="Heading2"/>
        <w:keepNext/>
      </w:pPr>
      <w:r>
        <w:t>7.5 创新五：降低并检查后验信息泄漏风险的时点隔离回测</w:t>
      </w:r>
    </w:p>
    <w:p>
      <w:pPr/>
      <w:r>
        <w:rPr>
          <w:rFonts w:ascii="Calibri" w:hAnsi="Calibri" w:eastAsia="Microsoft YaHei"/>
          <w:color w:val="111827"/>
        </w:rPr>
        <w:t>系统拟以T0为分析截止日，只允许使用T0前已公开的资料；后续问询关注、公司回复、更正和最终监管结论按类型放在隔离的T1后验对照区，全部T0运行及日志锁定且获得人工授权后才解锁。同时比较“只看财务数据”与“财务—业务—行业交叉验证”的结果，评估新增维度在冻结历史案例上是否提供增量线索，而不把有限案例结果外推为普适能力。该设计只能降低和检查泄漏风险，不能证明研究者或模型完全没有历史记忆。</w:t>
      </w:r>
    </w:p>
    <w:p>
      <w:pPr>
        <w:pStyle w:val="Heading1"/>
        <w:keepNext/>
      </w:pPr>
      <w:r>
        <w:t>八、拟实现的完整工作流程与稳定化设计</w:t>
      </w:r>
    </w:p>
    <w:p>
      <w:pPr>
        <w:pStyle w:val="Heading2"/>
        <w:keepNext/>
      </w:pPr>
      <w:r>
        <w:t>8.1 主流程</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审计师新建预审项目，选择案例、分析截止日和所属行业；</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系统读取T0前公开资料并完成来源、日期、页码、单位和可读性预检；</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程序计算确定性财务指标，建立多年度趋势；</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交叉验证引擎按“已实现且通过验收”的规则连接财务、业务、行业和披露信息，首批仅为R1、R2；</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质疑智能体生成结构化风险假设；</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反证智能体寻找正常解释和反对证据；</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语义复核智能体判断保留、降级或暂缓；</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程序硬校验引用、页码、公式、必填字段和禁用词；</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审计师人工确认；承接/保持阶段生成初步了解事项和资料清单，计划阶段才增加候选认定与建议程序；</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如有授权补充资料，系统只重跑对应风险卡；历史评估时须先完成并锁定全部T0运行和日志，再由授权人解锁T1后验对照材料。</w:t>
      </w:r>
    </w:p>
    <w:p>
      <w:pPr>
        <w:pStyle w:val="Heading2"/>
        <w:keepNext/>
      </w:pPr>
      <w:r>
        <w:t>8.2 三类AI角色不是自由辩论</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角色</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只能做什么</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不能做什么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按专业规则提出风险假设并引用证据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无证据猜测主体动机或直接认定舞弊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检索正常解释候选、相反资料和缺失资料；未找到时明确记录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为了“辩护”或满足字段而编造事实</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语义复核角色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检查证据是否支持措辞并给出保留/降级/暂缓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绕过程序硬门槛直接批准导出</w:t>
            </w:r>
          </w:p>
        </w:tc>
      </w:tr>
    </w:tbl>
    <w:p>
      <w:pPr>
        <w:spacing w:before="0" w:after="60" w:line="168" w:lineRule="auto"/>
      </w:pPr>
    </w:p>
    <w:p>
      <w:pPr/>
      <w:r>
        <w:rPr>
          <w:rFonts w:ascii="Calibri" w:hAnsi="Calibri" w:eastAsia="Microsoft YaHei"/>
          <w:color w:val="111827"/>
        </w:rPr>
        <w:t>在目标架构中，确定性计算、日期过滤、字段完整性、禁用词和引用定位将由程序完成。AI只处理语义和专业推理，人工拥有最终确认权。</w:t>
      </w:r>
    </w:p>
    <w:p>
      <w:pPr>
        <w:pStyle w:val="Heading2"/>
        <w:keepNext/>
      </w:pPr>
      <w:r>
        <w:t>8.3 结构化输出、证据绑定与失败关闭</w:t>
      </w:r>
    </w:p>
    <w:p>
      <w:pPr/>
      <w:r>
        <w:rPr>
          <w:rFonts w:ascii="Calibri" w:hAnsi="Calibri" w:eastAsia="Microsoft YaHei"/>
          <w:color w:val="111827"/>
        </w:rPr>
        <w:t>模型拟只返回“schema_version、run_id、rule_id、风险假设、evidence_id、正常解释候选、资料依据缺口、建议状态和场景化后续动作”等结构化字段。披露日期、T0标签和原文由程序依据evidence_id回填；PDF来源回填文件名、PDF页码和印刷页码，网页来源回填URL、页面标题、查询/抓取日期及存档哈希或定位信息。模型不得自由生成定位信息或改写后冒充原文。</w:t>
      </w:r>
    </w:p>
    <w:p>
      <w:pPr/>
      <w:r>
        <w:rPr>
          <w:rFonts w:ascii="Calibri" w:hAnsi="Calibri" w:eastAsia="Microsoft YaHei"/>
          <w:color w:val="111827"/>
        </w:rPr>
        <w:t>拟定校验顺序为：</w:t>
      </w:r>
      <w:r>
        <w:rPr>
          <w:rFonts w:ascii="Calibri" w:hAnsi="Calibri" w:eastAsia="Microsoft YaHei"/>
          <w:b/>
          <w:color w:val="1F4D78"/>
        </w:rPr>
        <w:t>JSON解析与Schema校验 → 证据ID存在性 → T0日期白名单 → 规范化原文反查 → 数字来源与公式复算 → 必填字段与禁用词 → 人工确认</w:t>
      </w:r>
      <w:r>
        <w:rPr>
          <w:rFonts w:ascii="Calibri" w:hAnsi="Calibri" w:eastAsia="Microsoft YaHei"/>
          <w:color w:val="111827"/>
        </w:rPr>
        <w:t>。解析或Schema失败最多自动重试2次；仍失败则记录“MODEL_OUTPUT_INVALID”并停止导出。PDF解析不稳定时，允许转为人工结构化录入并由另一名成员复核，但来源、页码和原文仍须经过程序反查。上述机制均需在原型阶段用有效和故意错误的样例验收后，才能表述为已实现。</w:t>
      </w:r>
    </w:p>
    <w:p>
      <w:pPr>
        <w:pStyle w:val="Heading1"/>
        <w:keepNext/>
      </w:pPr>
      <w:r>
        <w:t>九、数据与资料方案</w:t>
      </w:r>
    </w:p>
    <w:p>
      <w:pPr>
        <w:pStyle w:val="Heading2"/>
        <w:keepNext/>
      </w:pPr>
      <w:r>
        <w:t>9.1 必需的公开资料白名单</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交易所、上市公司官网、巨潮资讯等正式披露渠道中的年报、审计报告和公告；</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T0前公开的监管问询、风险提示和更正文件；</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同行业上市公司年报、招股说明书以及公司公开披露的经营数据；</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政府部门、行业协会或可说明口径的公开行业统计；</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国家企业信用信息公示系统等公开官方登记信息，仅在可核验时使用。</w:t>
      </w:r>
    </w:p>
    <w:p>
      <w:pPr/>
      <w:r>
        <w:rPr>
          <w:rFonts w:ascii="Calibri" w:hAnsi="Calibri" w:eastAsia="Microsoft YaHei"/>
          <w:color w:val="111827"/>
        </w:rPr>
        <w:t>新闻、自媒体、论坛和模型记忆不能直接作为正式证据。付费商业数据库不是第一版运行前提。</w:t>
      </w:r>
    </w:p>
    <w:p>
      <w:pPr>
        <w:pStyle w:val="Heading2"/>
        <w:keepNext/>
      </w:pPr>
      <w:r>
        <w:t>9.2 可选补充资料</w:t>
      </w:r>
    </w:p>
    <w:p>
      <w:pPr/>
      <w:r>
        <w:rPr>
          <w:rFonts w:ascii="Calibri" w:hAnsi="Calibri" w:eastAsia="Microsoft YaHei"/>
          <w:color w:val="111827"/>
        </w:rPr>
        <w:t>第一版拟在核心链路稳定后，最多支持四类标准化补充资料：合同关键条款摘要、销售明细摘要、发货/验收摘要、期后回款及退货摘要。资料必须获得授权并脱敏，格式为规定Excel模板或少量可读PDF。上传前进行公司、期间、单位、字段完整性和来源授权预检；不通过的资料不得进入分析。若G6前核心链路未稳定，本项顺延，不影响公开资料预筛和待索取资料清单主交付。</w:t>
      </w:r>
    </w:p>
    <w:p>
      <w:pPr>
        <w:pStyle w:val="Heading2"/>
        <w:keepNext/>
      </w:pPr>
      <w:r>
        <w:t>9.3 每个案例的最小字段</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类别</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主要字段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收入、应收账款、合同资产、存货、营业成本、毛利、经营现金流、信用减值、周转天数</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主营产品、销售模式、收入政策、产能产量、客户集中度、结算方式、主要责任人判断</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行业</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同行收入/毛利率/周转变化、行业景气和价格趋势、常见收入列报方式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文本披露</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管理层讨论、重大变化原因、关键审计事项、分部信息及前后年度措辞变化</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元数据</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scene_at_T0、analysis_date、target_period、文件名或网页URL、页面标题、披露/查询/下载日期、PDF页码、印刷页码、文件或存档哈希、T0/T1标签</w:t>
            </w:r>
          </w:p>
        </w:tc>
      </w:tr>
    </w:tbl>
    <w:p>
      <w:pPr>
        <w:spacing w:before="0" w:after="60" w:line="168" w:lineRule="auto"/>
      </w:pPr>
    </w:p>
    <w:p>
      <w:pPr>
        <w:pStyle w:val="Heading2"/>
        <w:keepNext/>
      </w:pPr>
      <w:r>
        <w:t>9.4 案例、场景与后验对照隔离</w:t>
      </w:r>
    </w:p>
    <w:p>
      <w:pPr/>
      <w:r>
        <w:rPr>
          <w:rFonts w:ascii="Calibri" w:hAnsi="Calibri" w:eastAsia="Microsoft YaHei"/>
          <w:color w:val="111827"/>
        </w:rPr>
        <w:t>拟从已有正式监管结论的历史案例候选中，经人工确认并在Research Contract中冻结2家公司及各自T0。选择标准、纳入排除过程和“一难一易”的判断依据须预先登记。T0资料区与T1后验对照区拟分目录、分权限保存；只有完成全部预登记T0运行、锁定输入清单与运行日志并获得人工授权后才能解锁T1。</w:t>
      </w:r>
    </w:p>
    <w:p>
      <w:pPr/>
      <w:r>
        <w:rPr>
          <w:rFonts w:ascii="Calibri" w:hAnsi="Calibri" w:eastAsia="Microsoft YaHei"/>
          <w:color w:val="111827"/>
        </w:rPr>
        <w:t>每个案例必须同时冻结scene_at_T0（当时拟模拟的使用场景）、analysis_date（分析截止日）和target_period（目标期间），并且只使用analysis_date前已公开资料。若某年度年报或审计报告在analysis_date时已经发布，不得声称系统支持该已结束年度的审计计划；只能定位为承接、保持客户关系和审计业务，或下一期审计计划的历史模拟。</w:t>
      </w:r>
    </w:p>
    <w:p>
      <w:pPr/>
      <w:r>
        <w:rPr>
          <w:rFonts w:ascii="Calibri" w:hAnsi="Calibri" w:eastAsia="Microsoft YaHei"/>
          <w:color w:val="111827"/>
        </w:rPr>
        <w:t>T1后验材料须分为“监管问询关注、公司回复、更正披露、最终监管结论”等类型分别标记。问询关注和公司回复不等同于事实认定，最终监管结论也不构成所有风险事项的完整真值；T1只用于有限历史案例中的后验对照，不能反写为T0时已经知道的事实。</w:t>
      </w:r>
    </w:p>
    <w:p>
      <w:pPr/>
      <w:r>
        <w:rPr>
          <w:rFonts w:ascii="Calibri" w:hAnsi="Calibri" w:eastAsia="Microsoft YaHei"/>
          <w:color w:val="111827"/>
        </w:rPr>
        <w:t>开发期使用的候选资料统一标记为DEV_T0，不自动等同于正式实验T0。Research Contract须登记每个案例和期间是否已被用于规则、提示词或界面调试；只有在首次模型运行前已封存且未参与调试的案例，才可以谨慎称为“有限留出案例”。如果两家案例都已参与开发，则必须如实报告为开发案例，不作留出测试或独立泛化评价。</w:t>
      </w:r>
    </w:p>
    <w:p>
      <w:pPr/>
      <w:r>
        <w:rPr>
          <w:rFonts w:ascii="Calibri" w:hAnsi="Calibri" w:eastAsia="Microsoft YaHei"/>
          <w:color w:val="111827"/>
        </w:rPr>
        <w:t>两个历史案例采用目的抽样，只用于验证既定规则、证据约束和端到端工程可行性，不构成统计代表性，也不能支持普适的舞弊识别准确率或“无风险”保证。增加第三家公司会扩大首版范围，暂不列为承诺；如核心链路提前稳定，可在正式冻结后把一个对照公司或期间作为可选敏感性检查，并如实限定结论。</w:t>
      </w:r>
    </w:p>
    <w:p>
      <w:pPr>
        <w:pStyle w:val="Heading1"/>
        <w:keepNext/>
      </w:pPr>
      <w:r>
        <w:t>十、原型页面与专业化交互</w:t>
      </w:r>
    </w:p>
    <w:p>
      <w:pPr/>
      <w:r>
        <w:rPr>
          <w:rFonts w:ascii="Calibri" w:hAnsi="Calibri" w:eastAsia="Microsoft YaHei"/>
          <w:color w:val="111827"/>
        </w:rPr>
        <w:t>第一版拟设计8个核心页面：</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新建预审项目：</w:t>
      </w:r>
      <w:r>
        <w:rPr>
          <w:rFonts w:ascii="Calibri" w:hAnsi="Calibri" w:eastAsia="Microsoft YaHei"/>
          <w:color w:val="111827"/>
        </w:rPr>
        <w:t>选择案例、T0、行业和分析目的；</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资料清单与预检：</w:t>
      </w:r>
      <w:r>
        <w:rPr>
          <w:rFonts w:ascii="Calibri" w:hAnsi="Calibri" w:eastAsia="Microsoft YaHei"/>
          <w:color w:val="111827"/>
        </w:rPr>
        <w:t>显示公开来源、日期、页码、单位、缺失项以及“可得/部分可得/不可得”的资料可得性状态；</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预审风险总览：</w:t>
      </w:r>
      <w:r>
        <w:rPr>
          <w:rFonts w:ascii="Calibri" w:hAnsi="Calibri" w:eastAsia="Microsoft YaHei"/>
          <w:color w:val="111827"/>
        </w:rPr>
        <w:t>按规则评分并经人工复核后的待核查优先级展示Top 5任务卡，不用投资者式“买卖信号”；</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交叉验证矩阵：</w:t>
      </w:r>
      <w:r>
        <w:rPr>
          <w:rFonts w:ascii="Calibri" w:hAnsi="Calibri" w:eastAsia="Microsoft YaHei"/>
          <w:color w:val="111827"/>
        </w:rPr>
        <w:t>展示财务、业务、行业、披露四个维度的触发情况；</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风险卡下钻：</w:t>
      </w:r>
      <w:r>
        <w:rPr>
          <w:rFonts w:ascii="Calibri" w:hAnsi="Calibri" w:eastAsia="Microsoft YaHei"/>
          <w:color w:val="111827"/>
        </w:rPr>
        <w:t>显示规则、业务节点、原文、公式、正常解释候选和反证状态；仅在计划场景显示候选管理层认定和建议程序；</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资料依据缺口与待索取资料：</w:t>
      </w:r>
      <w:r>
        <w:rPr>
          <w:rFonts w:ascii="Calibri" w:hAnsi="Calibri" w:eastAsia="Microsoft YaHei"/>
          <w:color w:val="111827"/>
        </w:rPr>
        <w:t>把缺口转换为分场景进一步了解或计划阶段核查清单；</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可选资料补充与重跑：</w:t>
      </w:r>
      <w:r>
        <w:rPr>
          <w:rFonts w:ascii="Calibri" w:hAnsi="Calibri" w:eastAsia="Microsoft YaHei"/>
          <w:color w:val="111827"/>
        </w:rPr>
        <w:t>只更新对应风险卡，并保留前后变化；</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人工确认、报告与回测：</w:t>
      </w:r>
      <w:r>
        <w:rPr>
          <w:rFonts w:ascii="Calibri" w:hAnsi="Calibri" w:eastAsia="Microsoft YaHei"/>
          <w:color w:val="111827"/>
        </w:rPr>
        <w:t>拟在人工确认后导出预审风险备忘录；评估模式须显示实时/缓存状态，并只在全部T0运行和日志锁定、人工授权后解锁T1后验对照。</w:t>
      </w:r>
    </w:p>
    <w:p>
      <w:pPr/>
      <w:r>
        <w:rPr>
          <w:rFonts w:ascii="Calibri" w:hAnsi="Calibri" w:eastAsia="Microsoft YaHei"/>
          <w:color w:val="111827"/>
        </w:rPr>
        <w:t>页面统一使用“重大错报风险信号、待核查事项、反证状态、资料依据缺口”等术语；“管理层认定、建议程序”仅在审计计划场景出现。可在术语旁提供一句短解释，便于评委理解，但不另建普通投资者模式。</w:t>
      </w:r>
    </w:p>
    <w:p>
      <w:pPr>
        <w:pStyle w:val="Heading1"/>
        <w:keepNext/>
      </w:pPr>
      <w:r>
        <w:t>十一、技术方案与Vibe Coding实施</w:t>
      </w:r>
    </w:p>
    <w:p>
      <w:pPr/>
      <w:r>
        <w:rPr>
          <w:rFonts w:ascii="Calibri" w:hAnsi="Calibri" w:eastAsia="Microsoft YaHei"/>
          <w:color w:val="111827"/>
        </w:rPr>
        <w:t>以下为拟实现架构，当前尚无经验证的AuditTrace产品原型。</w:t>
      </w:r>
    </w:p>
    <w:p>
      <w:pPr>
        <w:pStyle w:val="Heading2"/>
        <w:keepNext/>
      </w:pPr>
      <w:r>
        <w:t>11.1 技术结构</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前端与交互：Streamlit或同类低代码Web界面；</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数据处理：Python、pandas、PyMuPDF/pdfplumber和SQLite；</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大模型：候选为国产大语言模型，统一要求JSON结构化输出；具体模型、版本、参数和预算在原型及Research Contract阶段冻结；</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工作流：质疑、反证、语义复核三个固定角色，加程序硬校验和人工确认；</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规则与校验：规则卡使用独立JSON/YAML和版本状态；输出依次经过Schema、证据ID、日期、原文、公式、字段和禁用词校验；</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开发方式：队长使用Trae/Codex等进行Vibe Coding，队员提供规则、数据和验收标准；</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演示保障：固定案例、缓存结果、本地数据、模型失败降级和备用录屏。</w:t>
      </w:r>
    </w:p>
    <w:p>
      <w:pPr>
        <w:pStyle w:val="Heading2"/>
        <w:keepNext/>
      </w:pPr>
      <w:r>
        <w:t>11.2 Vibe Coding不是“只让AI写代码”</w:t>
      </w:r>
    </w:p>
    <w:p>
      <w:pPr/>
      <w:r>
        <w:rPr>
          <w:rFonts w:ascii="Calibri" w:hAnsi="Calibri" w:eastAsia="Microsoft YaHei"/>
          <w:color w:val="111827"/>
        </w:rPr>
        <w:t>团队将持续保存需求说明、提示词与模型版本、AI生成方案、人工修改、测试记录、失败样例和版本差异，记录“自然语言提出需求—AI生成—人工运行—发现问题—继续修订”的完整开发过程。队长维护统一迭代日志；每条记录至少包含日期、需求、输入文件/版本、AI建议、人工修改、验证结果、复核人和未解决问题。专业规则、数据口径和验收结果必须由团队人工确认，不能把模型输出直接当作完成品。</w:t>
      </w:r>
    </w:p>
    <w:p>
      <w:pPr>
        <w:pStyle w:val="Heading2"/>
        <w:keepNext/>
      </w:pPr>
      <w:r>
        <w:t>11.3 演示稳定与三级降级</w:t>
      </w:r>
    </w:p>
    <w:p>
      <w:pPr/>
      <w:r>
        <w:rPr>
          <w:rFonts w:ascii="Calibri" w:hAnsi="Calibri" w:eastAsia="Microsoft YaHei"/>
          <w:color w:val="111827"/>
        </w:rPr>
        <w:t>演示拟按“实时运行 → 经核验缓存 → 同版本备用录屏”三级降级。缓存必须来自冻结输入的一次真实成功运行，并保存模型、提示词、规则版本、输入哈希、运行时间和人工复核状态；界面始终醒目标注“实时”或“缓存回放”，缓存不得冒充本次实时调用，也不得计入正式实验结果。核心公开资料、结构化数据和已核验缓存保存在本地SQLite或等效本地存储中，断网时仍可展示既有核验链路。备用录屏与正式材料的时长、格式以主办方已核验要求为准，不在未核验前写入额外时长承诺。</w:t>
      </w:r>
    </w:p>
    <w:p>
      <w:pPr>
        <w:pStyle w:val="Heading1"/>
        <w:keepNext/>
      </w:pPr>
      <w:r>
        <w:t>十二、效果评估方案</w:t>
      </w:r>
    </w:p>
    <w:p>
      <w:pPr/>
      <w:r>
        <w:rPr>
          <w:rFonts w:ascii="Calibri" w:hAnsi="Calibri" w:eastAsia="Microsoft YaHei"/>
          <w:color w:val="111827"/>
        </w:rPr>
        <w:t>以下均为拟定评估方案，当前没有实验结果。案例、T0、baseline、模型、提示词、规则版本、指标和预算将在正式实验前通过简化Research Contract冻结；任一关键项未冻结或未获人工确认，不启动B0—B3、消融或T1对照。</w:t>
      </w:r>
    </w:p>
    <w:p>
      <w:pPr>
        <w:pStyle w:val="Heading2"/>
        <w:keepNext/>
      </w:pPr>
      <w:r>
        <w:t>12.1 四组基线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组别</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方法</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目的</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固定财务阈值规则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检验简单比率能做到什么</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B1</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通用大模型直接阅读材料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检验无专业流程时的引用和稳定性问题</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B2</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专业规则+结构化输出，但无反证和硬门槛</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检验约束机制的增量</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B3</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完整系统：多维交叉验证+反证+硬校验+未接触T1的人工确认</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评估完整方案，并记录人工环节可能带来的残余偏倚</w:t>
            </w:r>
          </w:p>
        </w:tc>
      </w:tr>
    </w:tbl>
    <w:p>
      <w:pPr>
        <w:spacing w:before="0" w:after="60" w:line="168" w:lineRule="auto"/>
      </w:pPr>
    </w:p>
    <w:p>
      <w:pPr/>
      <w:r>
        <w:rPr>
          <w:rFonts w:ascii="Calibri" w:hAnsi="Calibri" w:eastAsia="Microsoft YaHei"/>
          <w:color w:val="111827"/>
        </w:rPr>
        <w:t>另做一组消融对比：仅使用财务维度，与加入业务、行业和披露维度后的结果比较，重点观察预先定义的T1监管关注事项覆盖和“无可追溯资料依据高优先级线索率”是否改善。</w:t>
      </w:r>
    </w:p>
    <w:p>
      <w:pPr>
        <w:pStyle w:val="Heading2"/>
        <w:keepNext/>
      </w:pPr>
      <w:r>
        <w:t>12.2 关键指标</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Top 5事项覆盖：</w:t>
      </w:r>
      <w:r>
        <w:rPr>
          <w:rFonts w:ascii="Calibri" w:hAnsi="Calibri" w:eastAsia="Microsoft YaHei"/>
          <w:color w:val="111827"/>
        </w:rPr>
        <w:t>T0输出的Top 5是否覆盖T1后续监管关注的主要收入问题；</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引用准确率：</w:t>
      </w:r>
      <w:r>
        <w:rPr>
          <w:rFonts w:ascii="Calibri" w:hAnsi="Calibri" w:eastAsia="Microsoft YaHei"/>
          <w:color w:val="111827"/>
        </w:rPr>
        <w:t>文件、页码、原文和数字是否可以复核；</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公式复算一致率：</w:t>
      </w:r>
      <w:r>
        <w:rPr>
          <w:rFonts w:ascii="Calibri" w:hAnsi="Calibri" w:eastAsia="Microsoft YaHei"/>
          <w:color w:val="111827"/>
        </w:rPr>
        <w:t>程序结果与人工Excel复算是否一致；</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证据完整率：</w:t>
      </w:r>
      <w:r>
        <w:rPr>
          <w:rFonts w:ascii="Calibri" w:hAnsi="Calibri" w:eastAsia="Microsoft YaHei"/>
          <w:color w:val="111827"/>
        </w:rPr>
        <w:t>正式风险卡必填字段是否完整；</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无可追溯资料依据高优先级线索率：</w:t>
      </w:r>
      <w:r>
        <w:rPr>
          <w:rFonts w:ascii="Calibri" w:hAnsi="Calibri" w:eastAsia="Microsoft YaHei"/>
          <w:color w:val="111827"/>
        </w:rPr>
        <w:t>缺少可回查资料依据却被输出为高优先级的比例，正式版目标为0；</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反证有效性：</w:t>
      </w:r>
      <w:r>
        <w:rPr>
          <w:rFonts w:ascii="Calibri" w:hAnsi="Calibri" w:eastAsia="Microsoft YaHei"/>
          <w:color w:val="111827"/>
        </w:rPr>
        <w:t>反证后合理降级、暂缓或补充证据的线索数量；</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多维信息增量：</w:t>
      </w:r>
      <w:r>
        <w:rPr>
          <w:rFonts w:ascii="Calibri" w:hAnsi="Calibri" w:eastAsia="Microsoft YaHei"/>
          <w:color w:val="111827"/>
        </w:rPr>
        <w:t>业务/行业维度新增覆盖了哪些财务规则未发现的事项；</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稳定性：</w:t>
      </w:r>
      <w:r>
        <w:rPr>
          <w:rFonts w:ascii="Calibri" w:hAnsi="Calibri" w:eastAsia="Microsoft YaHei"/>
          <w:color w:val="111827"/>
        </w:rPr>
        <w:t>同一输入重复运行5次，核心风险类型和Top 3排序的一致程度；</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人工效率：</w:t>
      </w:r>
      <w:r>
        <w:rPr>
          <w:rFonts w:ascii="Calibri" w:hAnsi="Calibri" w:eastAsia="Microsoft YaHei"/>
          <w:color w:val="111827"/>
        </w:rPr>
        <w:t>如能招募到具有相关经验且独立于开发的参与者，则比较其在统一任务下使用与不使用原型的耗时和完整性；否则只报告学生或团队试用耗时，不称“审计人员效率”。</w:t>
      </w:r>
    </w:p>
    <w:p>
      <w:pPr/>
      <w:r>
        <w:rPr>
          <w:rFonts w:ascii="Calibri" w:hAnsi="Calibri" w:eastAsia="Microsoft YaHei"/>
          <w:color w:val="111827"/>
        </w:rPr>
        <w:t>两个案例不具统计代表性，不能宣传普适“舞弊识别准确率”。正式结论只说明冻结案例、T0资料、规则版本和模型配置范围内的覆盖、引用、稳定和失败情况。系统没有形成正式风险卡时，只能表述为“在本次公开资料和已实现规则范围内，未形成可进入Top 5的待核查事项”，不得写“公司不存在舞弊”或“未发现风险”。</w:t>
      </w:r>
    </w:p>
    <w:p>
      <w:pPr>
        <w:pStyle w:val="Heading2"/>
        <w:keepNext/>
      </w:pPr>
      <w:r>
        <w:t>12.3 降低并检查模型使用后验信息的风险</w:t>
      </w:r>
    </w:p>
    <w:p>
      <w:pPr/>
      <w:r>
        <w:rPr>
          <w:rFonts w:ascii="Calibri" w:hAnsi="Calibri" w:eastAsia="Microsoft YaHei"/>
          <w:color w:val="111827"/>
        </w:rPr>
        <w:t>正式实验前将物理隔离T1后验材料，记录每份资料的公开日期和哈希，并保留输入清单、运行日志及模型/提示词版本。去标识化同时服务展示合规和模型记忆敏感性检查：在T1解锁前，对公司全称、简称、证券代码和其他直接标识作一致替换，保留转换表与源页映射但不提供给模型，再比较去标识前后的风险类型、引用覆盖和状态变化。该测试只能降低和检查已知案例记忆泄漏风险，不能单独证明模型完全未利用既有记忆。第一版不对财务数字做任意比例的随意扰动，以免破坏报表勾稽关系。</w:t>
      </w:r>
    </w:p>
    <w:p>
      <w:pPr>
        <w:pStyle w:val="Heading2"/>
        <w:keepNext/>
      </w:pPr>
      <w:r>
        <w:t>12.4 正式实验准入与停止条件</w:t>
      </w:r>
    </w:p>
    <w:p>
      <w:pPr/>
      <w:r>
        <w:rPr>
          <w:rFonts w:ascii="Calibri" w:hAnsi="Calibri" w:eastAsia="Microsoft YaHei"/>
          <w:color w:val="111827"/>
        </w:rPr>
        <w:t>Research Contract至少记录案例与纳入标准、开发暴露情况及“开发/有限留出”角色、scene_at_T0、analysis_date、target_period、T0/T1边界、数据清单及哈希、B0—B3定义、规则/模型/提示词版本、参数、指标口径、重复次数、预算、T1解锁人和异常处理方式。合同由团队人工确认后锁定；若案例角色、T0、基线、指标、预算或授权任何一项缺失，则停止正式评估，只继续修复原型或补齐资料，不生成试验性“效果结论”。</w:t>
      </w:r>
    </w:p>
    <w:p>
      <w:pPr/>
      <w:r>
        <w:rPr>
          <w:rFonts w:ascii="Calibri" w:hAnsi="Calibri" w:eastAsia="Microsoft YaHei"/>
          <w:color w:val="111827"/>
        </w:rPr>
        <w:t>T1保管者和已经接触T1的案例筛选者，不参与T0规则/提示词调整、正式主运行或人工确认；T0人工复核者不得接触T1后验材料。若团队条件限制导致无法完全盲法，须记录谁在何时接触了哪些后验信息，并在结果中披露残余偏倚，不把B3人工确认结果包装成独立盲评。</w:t>
      </w:r>
    </w:p>
    <w:p>
      <w:pPr>
        <w:pStyle w:val="Heading1"/>
        <w:keepNext/>
      </w:pPr>
      <w:r>
        <w:t>十三、伦理、技术与项目风险控制</w:t>
      </w:r>
    </w:p>
    <w:p>
      <w:pPr/>
      <w:r>
        <w:rPr>
          <w:rFonts w:ascii="Calibri" w:hAnsi="Calibri" w:eastAsia="Microsoft YaHei"/>
          <w:color w:val="111827"/>
        </w:rPr>
        <w:t>下表均为拟实施控制。只有相应测试通过并保留记录后，团队才能对外表述该项控制“已实现”或“已验证”。</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风险</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可能后果</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规避措施</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产品又被看成投资者工具</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用户和价值边界不清</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只设审计师工作流；承接/保持场景输出初步了解事项和资料需求，计划场景才展示候选认定与建议程序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审计师需要的内部资料过多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团队无法兼容全部数据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首版目标是在最低公开资料清单通过预检时形成核心输出；内部资料仅在核心链路稳定后按资料依据缺口、授权脱敏和规定模板条件性补充</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业务或行业数据缺失</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规则无法触发或模型猜测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每条规则显示资料可得性；缺失即输出证据缺口，不作推断</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AI对公司作负面定性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伦理和声誉风险</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案例脱敏、禁用词、证据硬门槛、人工确认和免责声明</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PDF解析或表格抽取不稳定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引用、数字或页码错误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W1先做可读性POC；失败时转人工结构化录入＋交叉复核，仍由程序核对来源和原文，不开发通用解析器拖延主链路</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多智能体输出不稳定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演示失败或结论漂移</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固定一轮结构化流程；JSON Schema、证据ID、原文、公式和禁用词逐层校验；有限重试后显式失败，不静默导出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实时与缓存结果混淆</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误导评委或污染实验记录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界面标明“实时/缓存回放”；缓存只来自冻结输入的经核验成功运行，保留元数据且不计入本次实时结果或正式实验</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T1后验信息泄漏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回测失真</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文件隔离、日期白名单、哈希、角色分离、全部T0运行和日志锁定、人工授权解锁及去标识化敏感性检查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外部公开口径不一致</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错误比较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保存口径、单位、期间和来源；不可比时不计算或转人工复核</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依赖付费数据</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现场无法复现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官方公开来源构成最小闭环，付费数据只列为未来增强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8条规则同时工程化</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多条半成品挤占核心闭环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先验收R1、R2；R3—R8按资料可得性逐条接入，未通过只保留为规则卡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两案例结果被过度外推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形成不可靠的准确率或“无风险”宣称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明确目的抽样和有限案例边界；只报告实际覆盖、失败与适用条件，不宣传泛化能力</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项目范围继续扩大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无法完成可靠原型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新功能必须直接服务收入风险、两周内完成且有验收指标，否则延期；补充资料重跑和额外案例均为条件项</w:t>
            </w:r>
          </w:p>
        </w:tc>
      </w:tr>
    </w:tbl>
    <w:p>
      <w:pPr>
        <w:spacing w:before="0" w:after="60" w:line="168" w:lineRule="auto"/>
      </w:pPr>
    </w:p>
    <w:p>
      <w:pPr/>
      <w:r>
        <w:rPr>
          <w:rFonts w:ascii="Calibri" w:hAnsi="Calibri" w:eastAsia="Microsoft YaHei"/>
          <w:color w:val="111827"/>
        </w:rPr>
        <w:t>正式页面和T0输出只允许“待核查风险线索”“公开资料不足以排除正常解释”“建议取得进一步证据”等表述，一律不得以系统口吻作出舞弊、主观故意、审计意见或承接决定。T1监管结论只能在运行日志锁定并由人工授权后，于独立评估区按原文和来源呈现，不得反写为T0系统结论。</w:t>
      </w:r>
    </w:p>
    <w:p>
      <w:pPr>
        <w:pStyle w:val="Heading1"/>
        <w:keepNext/>
      </w:pPr>
      <w:r>
        <w:t>十四、四人团队任务分工</w:t>
      </w:r>
    </w:p>
    <w:p>
      <w:pPr>
        <w:pStyle w:val="Heading2"/>
        <w:keepNext/>
      </w:pPr>
      <w:r>
        <w:t>14.1 队长：AI工作流、Vibe Coding与系统整合</w:t>
      </w:r>
    </w:p>
    <w:p>
      <w:pPr/>
      <w:r>
        <w:rPr>
          <w:rFonts w:ascii="Calibri" w:hAnsi="Calibri" w:eastAsia="Microsoft YaHei"/>
          <w:b/>
          <w:color w:val="1F4D78"/>
        </w:rPr>
        <w:t>主要工作：</w:t>
      </w:r>
      <w:r>
        <w:rPr>
          <w:rFonts w:ascii="Calibri" w:hAnsi="Calibri" w:eastAsia="Microsoft YaHei"/>
          <w:color w:val="111827"/>
        </w:rPr>
        <w:t>搭建Web原型；先实现R1、R2所需的财务计算、固定AI流程和证据硬门槛，再按阶段门扩展其他规则；报告导出属于核心交付，可选资料上传与局部重跑属于核心闭环稳定后的条件项；维护提示词、版本、密钥、缓存和演示备份；每周整合并验收三名队员成果。</w:t>
      </w:r>
    </w:p>
    <w:p>
      <w:pPr/>
      <w:r>
        <w:rPr>
          <w:rFonts w:ascii="Calibri" w:hAnsi="Calibri" w:eastAsia="Microsoft YaHei"/>
          <w:b/>
          <w:color w:val="1F4D78"/>
        </w:rPr>
        <w:t>每周交付：</w:t>
      </w:r>
      <w:r>
        <w:rPr>
          <w:rFonts w:ascii="Calibri" w:hAnsi="Calibri" w:eastAsia="Microsoft YaHei"/>
          <w:color w:val="111827"/>
        </w:rPr>
        <w:t>与当周阶段门对应的可运行POC或版本、1—2分钟录屏、本周修改清单、失败样例和下周接口需求；不能运行时须提交可复现错误和明确降级决定，不用截图冒充完成。</w:t>
      </w:r>
    </w:p>
    <w:p>
      <w:pPr/>
      <w:r>
        <w:rPr>
          <w:rFonts w:ascii="Calibri" w:hAnsi="Calibri" w:eastAsia="Microsoft YaHei"/>
          <w:b/>
          <w:color w:val="1F4D78"/>
        </w:rPr>
        <w:t>软件与最低技能：</w:t>
      </w:r>
      <w:r>
        <w:rPr>
          <w:rFonts w:ascii="Calibri" w:hAnsi="Calibri" w:eastAsia="Microsoft YaHei"/>
          <w:color w:val="111827"/>
        </w:rPr>
        <w:t>Trae/Codex、国产大模型平台、Python、Streamlit、Git、Office/WPS；会描述需求、运行程序、复制报错、测试修改和保护密钥，不要求完全手写代码。</w:t>
      </w:r>
    </w:p>
    <w:p>
      <w:pPr>
        <w:pStyle w:val="Heading2"/>
        <w:keepNext/>
      </w:pPr>
      <w:r>
        <w:t>14.2 队员A：审计业务逻辑与专业规则</w:t>
      </w:r>
    </w:p>
    <w:p>
      <w:pPr/>
      <w:r>
        <w:rPr>
          <w:rFonts w:ascii="Calibri" w:hAnsi="Calibri" w:eastAsia="Microsoft YaHei"/>
          <w:b/>
          <w:color w:val="1F4D78"/>
        </w:rPr>
        <w:t>主要工作：</w:t>
      </w:r>
      <w:r>
        <w:rPr>
          <w:rFonts w:ascii="Calibri" w:hAnsi="Calibri" w:eastAsia="Microsoft YaHei"/>
          <w:color w:val="111827"/>
        </w:rPr>
        <w:t>画出销售与收款循环；完成8张版本化候选规则卡，优先会签R1、R2；为每条规则填写风险机理、报表项目、管理层认定、正常解释、待索取资料和建议审计程序；维护版本、来源、复核人和状态，逐条复核AI措辞和数字。</w:t>
      </w:r>
    </w:p>
    <w:p>
      <w:pPr/>
      <w:r>
        <w:rPr>
          <w:rFonts w:ascii="Calibri" w:hAnsi="Calibri" w:eastAsia="Microsoft YaHei"/>
          <w:b/>
          <w:color w:val="1F4D78"/>
        </w:rPr>
        <w:t>每周交付：</w:t>
      </w:r>
      <w:r>
        <w:rPr>
          <w:rFonts w:ascii="Calibri" w:hAnsi="Calibri" w:eastAsia="Microsoft YaHei"/>
          <w:color w:val="111827"/>
        </w:rPr>
        <w:t>至少1张新增或修订规则卡；系统输出形成后，再提交约定数量的专业复核、对应原文页码及修改意见。不得为满足数量要求虚构输出。</w:t>
      </w:r>
    </w:p>
    <w:p>
      <w:pPr/>
      <w:r>
        <w:rPr>
          <w:rFonts w:ascii="Calibri" w:hAnsi="Calibri" w:eastAsia="Microsoft YaHei"/>
          <w:b/>
          <w:color w:val="1F4D78"/>
        </w:rPr>
        <w:t>软件与最低技能：</w:t>
      </w:r>
      <w:r>
        <w:rPr>
          <w:rFonts w:ascii="Calibri" w:hAnsi="Calibri" w:eastAsia="Microsoft YaHei"/>
          <w:color w:val="111827"/>
        </w:rPr>
        <w:t>Excel/WPS、Word/WPS、PDF阅读器和浏览器；能理解收入、应收、存货、现金流和发生/截止/准确性等认定，会查原文和计算基础指标，不要求写代码。</w:t>
      </w:r>
    </w:p>
    <w:p>
      <w:pPr>
        <w:pStyle w:val="Heading2"/>
        <w:keepNext/>
      </w:pPr>
      <w:r>
        <w:t>14.3 队员B：公开数据、行业对比与回测评估</w:t>
      </w:r>
    </w:p>
    <w:p>
      <w:pPr/>
      <w:r>
        <w:rPr>
          <w:rFonts w:ascii="Calibri" w:hAnsi="Calibri" w:eastAsia="Microsoft YaHei"/>
          <w:b/>
          <w:color w:val="1F4D78"/>
        </w:rPr>
        <w:t>主要工作：</w:t>
      </w:r>
      <w:r>
        <w:rPr>
          <w:rFonts w:ascii="Calibri" w:hAnsi="Calibri" w:eastAsia="Microsoft YaHei"/>
          <w:color w:val="111827"/>
        </w:rPr>
        <w:t>冻结前检查候选案例资料可得性、整理DEV_T0和候选资料并记录开发暴露，建立财务、业务、同行和行业数据表，维护来源日期和哈希；Research Contract确认后形成正式T0包和隔离的T1后验材料包。若队员B担任T1保管者或已接触T1，则不参加T0规则/提示词调整、正式主运行或人工确认，改由未接触T1的指定成员运行B0—B3和消融；T1解锁后再统计实际指标与失败样例。</w:t>
      </w:r>
    </w:p>
    <w:p>
      <w:pPr/>
      <w:r>
        <w:rPr>
          <w:rFonts w:ascii="Calibri" w:hAnsi="Calibri" w:eastAsia="Microsoft YaHei"/>
          <w:b/>
          <w:color w:val="1F4D78"/>
        </w:rPr>
        <w:t>每周交付：</w:t>
      </w:r>
      <w:r>
        <w:rPr>
          <w:rFonts w:ascii="Calibri" w:hAnsi="Calibri" w:eastAsia="Microsoft YaHei"/>
          <w:color w:val="111827"/>
        </w:rPr>
        <w:t>与当周阶段门对应的候选资料/DEV_T0切片或正式数据包、来源台账、暴露状态、T0/T1隔离检查、测试结果和失败记录；正式T0包只能在Research Contract确认后形成。</w:t>
      </w:r>
    </w:p>
    <w:p>
      <w:pPr/>
      <w:r>
        <w:rPr>
          <w:rFonts w:ascii="Calibri" w:hAnsi="Calibri" w:eastAsia="Microsoft YaHei"/>
          <w:b/>
          <w:color w:val="1F4D78"/>
        </w:rPr>
        <w:t>软件与最低技能：</w:t>
      </w:r>
      <w:r>
        <w:rPr>
          <w:rFonts w:ascii="Calibri" w:hAnsi="Calibri" w:eastAsia="Microsoft YaHei"/>
          <w:color w:val="111827"/>
        </w:rPr>
        <w:t>Excel/WPS、PDF阅读器、浏览器和压缩工具；会统一单位、做同比和同行比较、整理时间线并按步骤复现测试，不要求开发算法。</w:t>
      </w:r>
    </w:p>
    <w:p>
      <w:pPr>
        <w:pStyle w:val="Heading2"/>
        <w:keepNext/>
      </w:pPr>
      <w:r>
        <w:t>14.4 队员C：专业产品表达、合规与竞赛材料</w:t>
      </w:r>
    </w:p>
    <w:p>
      <w:pPr/>
      <w:r>
        <w:rPr>
          <w:rFonts w:ascii="Calibri" w:hAnsi="Calibri" w:eastAsia="Microsoft YaHei"/>
          <w:b/>
          <w:color w:val="1F4D78"/>
        </w:rPr>
        <w:t>主要工作：</w:t>
      </w:r>
      <w:r>
        <w:rPr>
          <w:rFonts w:ascii="Calibri" w:hAnsi="Calibri" w:eastAsia="Microsoft YaHei"/>
          <w:color w:val="111827"/>
        </w:rPr>
        <w:t>设计8个页面和操作顺序；把界面统一为审计语言；维护数据来源、免责声明、禁用词及“实时/缓存”标识；组织非项目成员试用；负责计划书、PPT、符合已核验竞赛时长要求的视频和断网备用录屏。</w:t>
      </w:r>
    </w:p>
    <w:p>
      <w:pPr/>
      <w:r>
        <w:rPr>
          <w:rFonts w:ascii="Calibri" w:hAnsi="Calibri" w:eastAsia="Microsoft YaHei"/>
          <w:b/>
          <w:color w:val="1F4D78"/>
        </w:rPr>
        <w:t>每周交付：</w:t>
      </w:r>
      <w:r>
        <w:rPr>
          <w:rFonts w:ascii="Calibri" w:hAnsi="Calibri" w:eastAsia="Microsoft YaHei"/>
          <w:color w:val="111827"/>
        </w:rPr>
        <w:t>最新页面草图/截图、合规检查表、计划书或PPT更新、至少3条试用反馈；中期后每周提交1—2分钟试讲或录屏。</w:t>
      </w:r>
    </w:p>
    <w:p>
      <w:pPr/>
      <w:r>
        <w:rPr>
          <w:rFonts w:ascii="Calibri" w:hAnsi="Calibri" w:eastAsia="Microsoft YaHei"/>
          <w:b/>
          <w:color w:val="1F4D78"/>
        </w:rPr>
        <w:t>软件与最低技能：</w:t>
      </w:r>
      <w:r>
        <w:rPr>
          <w:rFonts w:ascii="Calibri" w:hAnsi="Calibri" w:eastAsia="Microsoft YaHei"/>
          <w:color w:val="111827"/>
        </w:rPr>
        <w:t>PowerPoint/WPS、Word/WPS、剪映、浏览器和截图工具；会画简单页面草图、统一排版、录屏剪辑、压缩表达和核对口径，不要求独立编程。</w:t>
      </w:r>
    </w:p>
    <w:p>
      <w:pPr>
        <w:pStyle w:val="Heading2"/>
        <w:keepNext/>
      </w:pPr>
      <w:r>
        <w:t>14.5 责任矩阵</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600"/>
        <w:gridCol w:w="1690"/>
        <w:gridCol w:w="1690"/>
        <w:gridCol w:w="1690"/>
        <w:gridCol w:w="1690"/>
      </w:tblGrid>
      <w:tr>
        <w:trPr>
          <w:cantSplit/>
          <w:tblHeader w:val="true"/>
        </w:trPr>
        <w:tc>
          <w:tcPr>
            <w:tcW w:type="dxa" w:w="26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工作</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队长</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A</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B</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C</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用户、阶段与范围冻结</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销售循环和8张规则卡</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R1/R2首批实现、其余分阶段</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数据可得性验证</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通俗展示</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公开财务/业务/行业资料</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接入</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专业复核</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来源呈现</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T0/T1和效果评估</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T0运行技术实现</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盲T1专业复核</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数据保管主责；接触T1时退出T0确认</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解锁后图表呈现</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AI工作流与Web原型</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内容复核</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测试</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页面验收</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合规、计划书、PPT和视频</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总审</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专业章节</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评估章节</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r>
    </w:tbl>
    <w:p>
      <w:pPr>
        <w:spacing w:before="0" w:after="60" w:line="168" w:lineRule="auto"/>
      </w:pPr>
    </w:p>
    <w:p>
      <w:pPr>
        <w:pStyle w:val="Heading2"/>
        <w:keepNext/>
      </w:pPr>
      <w:r>
        <w:t>14.6 交接与备份机制</w:t>
      </w:r>
    </w:p>
    <w:p>
      <w:pPr/>
      <w:r>
        <w:rPr>
          <w:rFonts w:ascii="Calibri" w:hAnsi="Calibri" w:eastAsia="Microsoft YaHei"/>
          <w:color w:val="111827"/>
        </w:rPr>
        <w:t>队长与队员C互备演示、版本和竞赛材料，队员A与队员B互备规则来源、数据口径和页码台账。所有当周成果必须保存在团队统一目录并带状态说明、来源和未决问题；成员临时缺席时，备份人只接管已写清验收条件的必要任务，优先缩减条件性功能，不通过补造数据或降低证据门槛赶进度。</w:t>
      </w:r>
    </w:p>
    <w:p>
      <w:pPr>
        <w:pStyle w:val="Heading1"/>
        <w:keepNext/>
      </w:pPr>
      <w:r>
        <w:t>十五、十周执行计划与阶段门</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周次与阶段门</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本周最小交付</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通过条件与未通过时的处理</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 7.16—7.20（G0启动与可解析性门）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记录“老师同意开始推进”的启动决定；复核用户、阶段和首版边界工作稿；在团队确认未来原型子目录后搭建空白Web骨架与数据Schema；用1份候选年报做PDF可读性和来源定位POC</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抽样字段能回到文件、披露日期、PDF页码/印刷页码和原文；网页来源能回到URL、标题、查询日期和存档哈希/定位信息，且未读取T1。解析不稳定时立即采用人工结构化录入＋交叉复核，不开发通用年报解析器拖延主链路</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 7.21—7.27（G1规则—数据接口门）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完成销售循环图；形成R1工程版、R2工程草案及R3—R8候选卡；建立一家公司满足R1/R2的DEV_T0数据切片、来源台账和JSON Schema v0.1</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R1/R2写清公式、业务节点、认定、正常解释、证据缺口、资料清单和程序；确定性计算可人工复算；每个证据ID可回指白名单来源。R1未通过，不扩其他规则代码</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W3 7.28—8.3（G2最小纵向链路门）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跑通“一家公司×R1×锁定DEV_T0数据切片”：预检→计算→质疑→一次反证→复核→JSON/引用硬校验→人工确认→1张风险卡草稿</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合法输出可完整复核；缺字段、错页码、原文不存在、公式不一致或禁用词命中时均被拦截。DEV_T0锁定只服务开发复现，不冒充正式实验冻结。未过门则W4继续修R1，不接第二案例、R3—R8或补充资料上传</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W4 8.4—8.10（G3首批规则MVP门）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R1、R2在候选案例A的开发数据上运行，形成交叉验证矩阵、风险卡草稿和待索取资料清单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两条规则的公式、引用和状态转换通过固定样例；无效JSON显式失败。首批规则未稳定前，其余6条只保留规则卡，不宣称已实现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W5 8.11—8.17（G4证据硬门槛与演示兜底门）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完成Schema、证据ID、T0日期、页码/原文、公式、必填字段和禁用词校验；建立实时/缓存双轨及离线本地数据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对故意构造的关键字段缺失、错引和公式错误样例全部拦截；缓存保留冻结输入和运行元数据，界面显式标注模式。未通过时只演示草稿区，不导出正式风险卡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W6 8.18—8.24（G5反证有效性门）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在R1/R2上完成固定一轮质疑—反证—复核；按资料可得性至多选择1—2条候选规则进入开发</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如DEV_T0中截止日前公开资料支持合理降级/暂缓，则保留该开发实例；如没有，须如实记录，不人为编排“反证成功”，另用标注测试夹具验收状态转换。反证仍是套话时不扩规则</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W7 8.25—8.31（G6第二案例与MVP边界门）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完成候选案例B的资料可得性、Schema和来源预检；如决定把B作为有限留出案例，首次模型运行前即封存，不用于调参；否则可接入开发，但须记录暴露状态。标准补充资料上传与局部重跑仅作条件性加分项</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案例A主链可复现；案例B的“开发/留出”状态明确且有记录。新增规则只有在资料可得且测试通过时标“已实现”。核心链路未稳则取消首版补充资料重跑</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W8 9.1—9.7（G7正式评估T0运行与锁定门）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人工确认Research Contract，冻结案例角色、T0/T1、规则、模型、提示词、baseline、指标、预算和输入哈希；按预登记方式完成B0—B3、消融、去标识化对照、计划的5次重复运行及至少20个确定性/异常输入回归用例；随后锁定全部T0输入、预测和日志，本周不解锁T1</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任一冻结项缺失即不启动正式运行；全部预登记T0运行未完成或日志未锁定时不得解锁T1。开发案例与有限留出案例分开标记，若不存在留出案例则明确说明；不提前声称B3优于baseline</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W9 9.8—9.14（G8 T1授权解锁、结果分析与材料门）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仅在G7通过后由授权人解锁T1后验材料，按“问询关注/公司回复/更正/最终监管结论”分类对照，计算预登记指标并记录失败；3名非项目成员完成轻量试用；形成方案书/PPT/视频脚本初稿</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T1不得反向修改已锁定的T0输出；问询或回复不当作事实认定；参与者身份和残余偏倚如实标注。模型不稳时采用“缓存主演示＋实时短片段”，不临时加功能</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W10 9.15—9.20（G9成果冻结门）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冻结可运行版、10—15页方案书、符合已核验要求的视频、PPT、同版本备用录屏和提交清单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现场、离线和录屏使用同一冻结数据与规则版本，页面显示数据模式和版本；来源抽查通过。冻结后只修严重错误</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缓冲 9.21—9.25</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最终来源抽查、回归测试、格式与提交清单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不增加新规则、新案例或新资料类型；发现无法修复的问题时缩减功能并如实更新材料</w:t>
            </w:r>
          </w:p>
        </w:tc>
      </w:tr>
    </w:tbl>
    <w:p>
      <w:pPr>
        <w:spacing w:before="0" w:after="60" w:line="168" w:lineRule="auto"/>
      </w:pPr>
    </w:p>
    <w:p>
      <w:pPr/>
      <w:r>
        <w:rPr>
          <w:rFonts w:ascii="Calibri" w:hAnsi="Calibri" w:eastAsia="Microsoft YaHei"/>
          <w:color w:val="111827"/>
        </w:rPr>
        <w:t>项目启动后，每个阶段在首日发布任务、中点报告进度、倒数第二日提交正式成果、末日由队长验收，以适配本表实际日期。任何交付都必须包含可修改源文件、来源与定位信息、人工核对说明和未解决问题，只有截图或只有AI生成文字一律退回。</w:t>
      </w:r>
    </w:p>
    <w:p>
      <w:pPr>
        <w:pStyle w:val="Heading1"/>
        <w:keepNext/>
      </w:pPr>
      <w:r>
        <w:t>十六、拟定5分钟演示主线（以主办方最终核验要求为准）</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时间</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演示内容</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主要评分点</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0:00—0:30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说明审计师在承接或计划阶段面对分散公开资料的痛点，以及系统不替代审计的边界</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场景、伦理</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0:30—1:00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选择案例A、审计计划场景和T0，展示资料清单、资料可得性、实时/缓存状态及T1后验对照区锁定</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可行性、评估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1:00—1:45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展示一条“产销量—收入—行业趋势”或“应收—收入—现金流”的跨维度矛盾</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专业深度</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1:45—2:30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质疑提出风险，反证主动寻找正常解释，语义复核依据真实证据作保留、降级或暂缓</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技术创新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2:30—3:00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故意展示缺来源定位、缺反证检索记录，或未记录“未检索到可核验支持”的线索被硬门槛拦截</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可靠性、伦理</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3:00—3:45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在审计计划场景展开完整风险卡：业务节点、候选认定、资料依据缺口、待索取资料和建议程序</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落地价值</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3:45—4:30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在全部预登记T0运行、预测和日志锁定后，由授权人解锁T1后验材料并分类对照，展示财务单维与多维方案的实际差异</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效果评估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4:30—5:00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展示导出的预审风险备忘录、团队贡献和未来扩展</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文档展示</w:t>
            </w:r>
          </w:p>
        </w:tc>
      </w:tr>
    </w:tbl>
    <w:p>
      <w:pPr>
        <w:spacing w:before="0" w:after="60" w:line="168" w:lineRule="auto"/>
      </w:pPr>
    </w:p>
    <w:p>
      <w:pPr/>
      <w:r>
        <w:rPr>
          <w:rFonts w:ascii="Calibri" w:hAnsi="Calibri" w:eastAsia="Microsoft YaHei"/>
          <w:color w:val="111827"/>
        </w:rPr>
        <w:t>现场只演示一条最完整的风险链，第二个案例用于有限案例评估和答辩备用。若缓存回放或备用录屏被启用，必须在界面和口头说明中明确。团队将优先寻找由冻结T0可追溯资料依据支持、经反证后合理降级或暂缓的实例；若冻结案例没有这种实例，则如实说明，不人为编排“反证成功”。建议开场表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作为审计师，在承接新客户或制定计划前，困难之一是从分散的公开资料中识别需要进一步解释的业务差异。审迹智链拟将财务、业务、行业和披露信息交叉验证，并把每个待核查线索转成有来源、有反证、有证据缺口和待索取资料的预审任务。”</w:t>
      </w:r>
    </w:p>
    <w:p>
      <w:pPr>
        <w:pStyle w:val="Heading1"/>
        <w:keepNext/>
      </w:pPr>
      <w:r>
        <w:t>十七、项目启动状态与后续人工闸门</w:t>
      </w:r>
    </w:p>
    <w:p>
      <w:pPr/>
      <w:r>
        <w:rPr>
          <w:rFonts w:ascii="Calibri" w:hAnsi="Calibri" w:eastAsia="Microsoft YaHei"/>
          <w:color w:val="111827"/>
        </w:rPr>
        <w:t>指导老师同意团队开始推进项目，已通过“可以开工”的启动闸门。除非另有会议记录或书面确认，该决定不自动等于下列细项已经逐项批准或冻结。</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事项</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当前状态</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下一人工闸门</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项目开始推进</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已确认（据团队本轮说明）</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团队可开展规则细化、案例可行性检查、数据底座和M1/M2最小原型工作</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正式题目、唯一核心用户、三个阶段及首版边界</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已形成V2.1执行工作稿，未见逐项会签记录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如老师或团队另有明确决定，记录日期、原话和决定人后更新状态</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R1—R8专业口径与工程优先级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候选规则库v0.1；R1/R2拟优先</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队员A专业复核、数据可得性验证和老师/团队必要会签后升级状态</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两家案例、各自T0及T0/T1目录</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未冻结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按预先标准检查资料完整性，由人选择并在Research Contract中冻结；T0运行与日志锁定前不得查看T1后验材料</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模型、提示词、规则版本、baseline、指标、重复次数和预算</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未冻结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正式实验前由团队人工确认Research Contract；缺一项不运行B0—B3</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补充资料授权和脱敏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未发生</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仅在有合法授权、脱敏和资料预检记录时使用；竞赛演示默认不接触真实客户机密</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T1解锁、专业判断、报告导出和最终对外发布</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保留给人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全部预登记T0运行、预测与日志锁定后由授权人解锁T1；审计人员确认专业判断；团队负责人审核最终材料</w:t>
            </w:r>
          </w:p>
        </w:tc>
      </w:tr>
    </w:tbl>
    <w:p>
      <w:pPr>
        <w:spacing w:before="0" w:after="60" w:line="168" w:lineRule="auto"/>
      </w:pPr>
    </w:p>
    <w:p>
      <w:pPr/>
      <w:r>
        <w:rPr>
          <w:rFonts w:ascii="Calibri" w:hAnsi="Calibri" w:eastAsia="Microsoft YaHei"/>
          <w:color w:val="111827"/>
        </w:rPr>
        <w:t>下一项目门槛不是继续扩写愿景，而是完成G0—G2：确认未来原型目录、验证一份候选年报的可读性、完成R1工程规则卡，并跑通一家公司锁定DEV_T0数据切片上的最小纵向链路。DEV_T0只是开发复现输入，不代表正式实验案例已冻结。</w:t>
      </w:r>
    </w:p>
    <w:p>
      <w:pPr>
        <w:pStyle w:val="Heading1"/>
        <w:keepNext/>
      </w:pPr>
      <w:r>
        <w:t>参考依据</w:t>
      </w:r>
    </w:p>
    <w:p>
      <w:pPr/>
      <w:r>
        <w:rPr>
          <w:rFonts w:ascii="Calibri" w:hAnsi="Calibri" w:eastAsia="Microsoft YaHei"/>
          <w:color w:val="111827"/>
        </w:rPr>
        <w:t>以下为正式方案书前须逐项回到原件、核对版本、日期及相关章节/页码的依据清单；本轮计划书修订没有据此生成实验或效果结论。</w:t>
      </w:r>
    </w:p>
    <w:p>
      <w:pPr>
        <w:spacing w:before="0" w:after="80" w:line="300" w:lineRule="auto"/>
        <w:numPr>
          <w:ilvl w:val="0"/>
          <w:numId w:val="15"/>
        </w:numPr>
      </w:pPr>
      <w:r>
        <w:rPr>
          <w:rFonts w:ascii="Calibri" w:hAnsi="Calibri" w:eastAsia="Microsoft YaHei"/>
        </w:rPr>
      </w:r>
      <w:r>
        <w:rPr>
          <w:rFonts w:ascii="Calibri" w:hAnsi="Calibri" w:eastAsia="Microsoft YaHei"/>
          <w:color w:val="1F4D78"/>
        </w:rPr>
        <w:t>《附件1 北京市大学生数智会计创新应用竞赛手册》</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中国注册会计师审计准则第1201号《计划审计工作》</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中国注册会计师审计准则第1211号《重大错报风险的识别和评估》</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中国注册会计师协会《运用信息技术识别与应对舞弊风险相关问题解答》</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上市公司公开年报、交易所问询函及监管处罚决定等历史案例资料</w:t>
      </w:r>
    </w:p>
    <w:p>
      <w:pPr/>
      <w:r>
        <w:rPr>
          <w:rFonts w:ascii="Calibri" w:hAnsi="Calibri" w:eastAsia="Microsoft YaHei"/>
          <w:color w:val="111827"/>
        </w:rPr>
        <w:t>《05_审迹智链_老师意见深度解析与对策.md》和《06_V2计划书独立评估与建议_张宏博.md》仅作为本轮内部修订输入；其中的AI评价、工期估计、错误率、评分和市场判断不构成正式专业证据，未写入项目效果结论。</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7"/>
      </w:rPr>
      <w:t xml:space="preserve">详细项目计划书 V2.1  |  </w:t>
    </w:r>
    <w:r>
      <w:rPr>
        <w:rFonts w:ascii="Calibri" w:hAnsi="Calibri" w:eastAsia="Microsoft YaHe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7"/>
      </w:rPr>
      <w:t>详细项目计划书 V2.1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审迹智链 | 审计前置阶段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1">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2">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3">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4">
    <w:multiLevelType w:val="singleLevel"/>
    <w:lvl w:ilvl="0">
      <w:start w:val="1"/>
      <w:numFmt w:val="decimal"/>
      <w:lvlText w:val="%1."/>
      <w:lvlJc w:val="left"/>
      <w:pPr>
        <w:tabs>
          <w:tab w:val="num" w:pos="540"/>
        </w:tabs>
        <w:ind w:left="540" w:hanging="271"/>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before="0" w:after="80" w:line="276" w:lineRule="auto"/>
    </w:pPr>
    <w:rPr>
      <w:rFonts w:ascii="Calibri" w:hAnsi="Calibri" w:eastAsia="Microsoft YaHei"/>
      <w:b w:val="0"/>
      <w:color w:val="667085"/>
      <w:sz w:val="18"/>
    </w:rPr>
  </w:style>
  <w:style w:type="paragraph" w:customStyle="1" w:styleId="TableText">
    <w:name w:val="Table Text"/>
    <w:pPr>
      <w:spacing w:before="0" w:after="0" w:line="269" w:lineRule="auto"/>
    </w:pPr>
    <w:rPr>
      <w:rFonts w:ascii="Calibri" w:hAnsi="Calibri" w:eastAsia="Microsoft YaHei"/>
      <w:b w:val="0"/>
      <w:color w:val="111827"/>
      <w:sz w:val="18"/>
    </w:rPr>
  </w:style>
  <w:style w:type="paragraph" w:customStyle="1" w:styleId="Metadata">
    <w:name w:val="Metadata"/>
    <w:pPr>
      <w:spacing w:before="0" w:after="40" w:line="264" w:lineRule="auto"/>
    </w:pPr>
    <w:rPr>
      <w:rFonts w:ascii="Calibri" w:hAnsi="Calibri" w:eastAsia="Microsoft YaHei"/>
      <w:b w:val="0"/>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审迹智链详细项目计划书（V2.1执行启动修订版）</dc:title>
  <dc:subject>面向审计业务承接、续约和计划阶段的收入确认重大错报风险预筛查方案</dc:subject>
  <dc:creator>审迹智链参赛团队</dc:creator>
  <cp:keywords>数智会计, 审计计划, 业务承接, 收入确认, 交叉验证, 反证挑战, AuditTrace</cp:keywords>
  <dc:description>2026年北京市大学生数智会计创新应用竞赛准备材料</dc:description>
  <cp:lastModifiedBy/>
  <cp:revision>1</cp:revision>
  <dcterms:created xsi:type="dcterms:W3CDTF">2013-12-23T23:15:00Z</dcterms:created>
  <dcterms:modified xsi:type="dcterms:W3CDTF">2013-12-23T23:15:00Z</dcterms:modified>
  <cp:category/>
</cp:coreProperties>
</file>