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jc w:val="center"/>
      </w:pPr>
      <w:r>
        <w:rPr>
          <w:rFonts w:ascii="Calibri" w:hAnsi="Calibri" w:eastAsia="Microsoft YaHei"/>
          <w:b/>
          <w:color w:val="B47A00"/>
          <w:sz w:val="19"/>
        </w:rPr>
        <w:t>2026 北京市大学生数智会计创新应用竞赛</w:t>
      </w:r>
    </w:p>
    <w:p>
      <w:pPr>
        <w:keepNext/>
        <w:spacing w:before="0" w:after="140"/>
        <w:jc w:val="center"/>
      </w:pPr>
      <w:r>
        <w:rPr>
          <w:rFonts w:ascii="Calibri" w:hAnsi="Calibri" w:eastAsia="Microsoft YaHei"/>
          <w:b/>
          <w:color w:val="0B2545"/>
          <w:sz w:val="58"/>
        </w:rPr>
        <w:t>审迹智链（AuditTrace）</w:t>
      </w:r>
    </w:p>
    <w:p>
      <w:pPr>
        <w:keepNext/>
        <w:spacing w:before="0" w:after="120"/>
        <w:jc w:val="center"/>
      </w:pPr>
      <w:r>
        <w:rPr>
          <w:rFonts w:ascii="Calibri" w:hAnsi="Calibri" w:eastAsia="Microsoft YaHei"/>
          <w:color w:val="1F4D78"/>
          <w:sz w:val="28"/>
        </w:rPr>
        <w:t>面向审计业务承接与计划阶段的</w:t>
        <w:br/>
        <w:t>财务—业务—行业交叉验证智能体</w:t>
      </w:r>
    </w:p>
    <w:p>
      <w:pPr>
        <w:keepNext/>
        <w:spacing w:before="0" w:after="440"/>
        <w:jc w:val="center"/>
      </w:pPr>
      <w:r>
        <w:rPr>
          <w:rFonts w:ascii="Calibri" w:hAnsi="Calibri" w:eastAsia="Microsoft YaHei"/>
          <w:color w:val="1F4D78"/>
          <w:sz w:val="22"/>
        </w:rPr>
        <w:t>基于公开资料、证据约束与反证挑战的收入确认重大错报风险预筛查</w:t>
      </w:r>
    </w:p>
    <w:p>
      <w:pPr>
        <w:pStyle w:val="Metadata"/>
        <w:tabs>
          <w:tab w:pos="4781" w:val="left"/>
        </w:tabs>
        <w:spacing w:before="40" w:after="60"/>
        <w:ind w:left="259" w:right="259"/>
        <w:shd w:fill="F4F6F9"/>
      </w:pPr>
      <w:r>
        <w:rPr>
          <w:rFonts w:ascii="Calibri" w:hAnsi="Calibri" w:eastAsia="Microsoft YaHei"/>
          <w:b/>
          <w:color w:val="1F4D78"/>
          <w:sz w:val="19"/>
        </w:rPr>
        <w:t>核心用户：</w:t>
      </w:r>
      <w:r>
        <w:rPr>
          <w:rFonts w:ascii="Calibri" w:hAnsi="Calibri" w:eastAsia="Microsoft YaHei"/>
          <w:color w:val="111827"/>
          <w:sz w:val="19"/>
        </w:rPr>
        <w:t>会计师事务所审计项目组</w:t>
      </w:r>
      <w:r>
        <w:rPr>
          <w:rFonts w:ascii="Calibri" w:hAnsi="Calibri" w:eastAsia="Microsoft YaHei"/>
          <w:sz w:val="19"/>
        </w:rPr>
        <w:tab/>
      </w:r>
      <w:r>
        <w:rPr>
          <w:rFonts w:ascii="Calibri" w:hAnsi="Calibri" w:eastAsia="Microsoft YaHei"/>
          <w:b/>
          <w:color w:val="1F4D78"/>
          <w:sz w:val="19"/>
        </w:rPr>
        <w:t>核心阶段：</w:t>
      </w:r>
      <w:r>
        <w:rPr>
          <w:rFonts w:ascii="Calibri" w:hAnsi="Calibri" w:eastAsia="Microsoft YaHei"/>
          <w:color w:val="111827"/>
          <w:sz w:val="19"/>
        </w:rPr>
        <w:t>业务承接 / 续约 / 审计计划</w:t>
      </w:r>
    </w:p>
    <w:p>
      <w:pPr>
        <w:pStyle w:val="Metadata"/>
        <w:tabs>
          <w:tab w:pos="4781" w:val="left"/>
        </w:tabs>
        <w:spacing w:before="0" w:after="60"/>
        <w:ind w:left="259" w:right="259"/>
        <w:shd w:fill="F4F6F9"/>
      </w:pPr>
      <w:r>
        <w:rPr>
          <w:rFonts w:ascii="Calibri" w:hAnsi="Calibri" w:eastAsia="Microsoft YaHei"/>
          <w:b/>
          <w:color w:val="1F4D78"/>
          <w:sz w:val="19"/>
        </w:rPr>
        <w:t>版本：</w:t>
      </w:r>
      <w:r>
        <w:rPr>
          <w:rFonts w:ascii="Calibri" w:hAnsi="Calibri" w:eastAsia="Microsoft YaHei"/>
          <w:color w:val="111827"/>
          <w:sz w:val="19"/>
        </w:rPr>
        <w:t>V2.0·指导老师意见修订版</w:t>
      </w:r>
      <w:r>
        <w:rPr>
          <w:rFonts w:ascii="Calibri" w:hAnsi="Calibri" w:eastAsia="Microsoft YaHei"/>
          <w:sz w:val="19"/>
        </w:rPr>
        <w:tab/>
      </w:r>
      <w:r>
        <w:rPr>
          <w:rFonts w:ascii="Calibri" w:hAnsi="Calibri" w:eastAsia="Microsoft YaHei"/>
          <w:b/>
          <w:color w:val="1F4D78"/>
          <w:sz w:val="19"/>
        </w:rPr>
        <w:t>日期：</w:t>
      </w:r>
      <w:r>
        <w:rPr>
          <w:rFonts w:ascii="Calibri" w:hAnsi="Calibri" w:eastAsia="Microsoft YaHei"/>
          <w:color w:val="111827"/>
          <w:sz w:val="19"/>
        </w:rPr>
        <w:t>2026年7月16日</w:t>
      </w:r>
    </w:p>
    <w:p>
      <w:pPr>
        <w:spacing w:after="40"/>
      </w:pP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本轮定位：</w:t>
      </w:r>
      <w:r>
        <w:rPr>
          <w:rFonts w:ascii="Calibri" w:hAnsi="Calibri" w:eastAsia="Microsoft YaHei"/>
          <w:color w:val="111827"/>
          <w:sz w:val="21"/>
        </w:rPr>
        <w:t>不做普通投资者工具，不做完整审计平台。以公开年报、公告及行业资料形成初步风险画像；内部合同、流水等只作为按证据缺口上传的可选补充。</w:t>
      </w:r>
    </w:p>
    <w:p>
      <w:pPr>
        <w:spacing w:before="440"/>
        <w:jc w:val="center"/>
      </w:pPr>
      <w:r>
        <w:rPr>
          <w:rFonts w:ascii="Calibri" w:hAnsi="Calibri" w:eastAsia="Microsoft YaHei"/>
          <w:color w:val="667085"/>
          <w:sz w:val="19"/>
        </w:rPr>
        <w:t>指导老师审阅稿 · 团队执行底稿</w:t>
      </w:r>
      <w:r>
        <w:br w:type="page"/>
      </w:r>
    </w:p>
    <w:p>
      <w:pPr>
        <w:pStyle w:val="Heading1"/>
        <w:keepNext/>
      </w:pPr>
      <w:r>
        <w:t>一、修订结论与项目总定位</w:t>
      </w:r>
    </w:p>
    <w:p>
      <w:pPr>
        <w:pStyle w:val="Heading2"/>
        <w:keepNext/>
      </w:pPr>
      <w:r>
        <w:t>1.1 本轮修订的核心结论</w:t>
      </w:r>
    </w:p>
    <w:p>
      <w:pPr/>
      <w:r>
        <w:rPr>
          <w:rFonts w:ascii="Calibri" w:hAnsi="Calibri" w:eastAsia="Microsoft YaHei"/>
          <w:color w:val="111827"/>
        </w:rPr>
        <w:t>本项目的</w:t>
      </w:r>
      <w:r>
        <w:rPr>
          <w:rFonts w:ascii="Calibri" w:hAnsi="Calibri" w:eastAsia="Microsoft YaHei"/>
          <w:b/>
          <w:color w:val="1F4D78"/>
        </w:rPr>
        <w:t>唯一核心用户</w:t>
      </w:r>
      <w:r>
        <w:rPr>
          <w:rFonts w:ascii="Calibri" w:hAnsi="Calibri" w:eastAsia="Microsoft YaHei"/>
          <w:color w:val="111827"/>
        </w:rPr>
        <w:t>明确为会计师事务所审计项目组，重点服务项目合伙人、项目经理和负责初步风险评估的审计人员。产品只聚焦以下三个相邻阶段：</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新客户业务承接前的风险了解；</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老客户续约或保持客户关系时的风险复核；</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审计计划阶段的初步风险评估与资源安排。</w:t>
      </w:r>
    </w:p>
    <w:p>
      <w:pPr/>
      <w:r>
        <w:rPr>
          <w:rFonts w:ascii="Calibri" w:hAnsi="Calibri" w:eastAsia="Microsoft YaHei"/>
          <w:color w:val="111827"/>
        </w:rPr>
        <w:t>本项目</w:t>
      </w:r>
      <w:r>
        <w:rPr>
          <w:rFonts w:ascii="Calibri" w:hAnsi="Calibri" w:eastAsia="Microsoft YaHei"/>
          <w:b/>
          <w:color w:val="1F4D78"/>
        </w:rPr>
        <w:t>不做面向普通投资者的选股或投资建议工具，也不做覆盖审计全过程的综合审计平台</w:t>
      </w:r>
      <w:r>
        <w:rPr>
          <w:rFonts w:ascii="Calibri" w:hAnsi="Calibri" w:eastAsia="Microsoft YaHei"/>
          <w:color w:val="111827"/>
        </w:rPr>
        <w:t>。主页不设置“投资者/审计师”身份选择，所有页面、字段和输出均围绕审计人员的工作语言设计。</w:t>
      </w:r>
    </w:p>
    <w:p>
      <w:pPr/>
      <w:r>
        <w:rPr>
          <w:rFonts w:ascii="Calibri" w:hAnsi="Calibri" w:eastAsia="Microsoft YaHei"/>
          <w:color w:val="111827"/>
        </w:rPr>
        <w:t>项目第一版以年报、公告、审计报告、监管信息、同行公司年报和公开行业资料为核心数据。内部合同、销售明细、发货验收资料、回款资料等只作为审计师在识别出证据缺口后可以选择上传的补充材料；不上传也能完成公开资料预筛查，第一版不需要兼容所有审计数据。</w:t>
      </w:r>
    </w:p>
    <w:p>
      <w:pPr>
        <w:pStyle w:val="Heading2"/>
        <w:keepNext/>
      </w:pPr>
      <w:r>
        <w:t>1.2 一句话说明项目做什么</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审迹智链帮助审计项目组在业务承接、续约和制定审计计划前，把分散的财务、业务和行业公开信息交叉核对，形成有原文出处、有反证过程、有证据缺口和后续核查建议的预审风险备忘录。</w:t>
      </w:r>
    </w:p>
    <w:p>
      <w:pPr>
        <w:pStyle w:val="Heading2"/>
        <w:keepNext/>
      </w:pPr>
      <w:r>
        <w:t>1.3 为什么仍然选择审计师，而不转向普通投资者</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项目原有的管理层认定、证据硬门槛、反证挑战、待核查程序和T0/T1回测，本质上都是审计逻辑；</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审计师能理解“风险线索不是舞弊结论”，也习惯对底稿进行人工复核，产品责任边界清楚；</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在承接和计划阶段，审计师本来就需要先使用公开资料形成客户风险画像，公开资料并非“数据不够”，而是这个阶段合理的第一层资料；</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内部资料越多，意味着范围、保密和格式兼容成本越高。将其设计为“按证据缺口补充”，比一开始承诺接入全部底稿更可落地；</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如果改做普通投资者工具，就必须重新定义投资决策边界、通俗引导、责任风险和效果指标，反而会削弱现有专业积累。</w:t>
      </w:r>
    </w:p>
    <w:p>
      <w:pPr>
        <w:pStyle w:val="Heading2"/>
        <w:keepNext/>
      </w:pPr>
      <w:r>
        <w:t>1.4 正式题目不直接使用“主动刺探舞弊”</w:t>
      </w:r>
    </w:p>
    <w:p>
      <w:pPr/>
      <w:r>
        <w:rPr>
          <w:rFonts w:ascii="Calibri" w:hAnsi="Calibri" w:eastAsia="Microsoft YaHei"/>
          <w:color w:val="111827"/>
        </w:rPr>
        <w:t>“主动刺探”可作为答辩中的创意表达，但正式标题和界面统一使用“重大错报风险预筛查”“待核查风险线索”等术语。公开资料只能形成风险假设，不能替代函证、检查、访谈和银行流水核验，也不能据此认定特定公司存在舞弊。</w:t>
      </w:r>
    </w:p>
    <w:p>
      <w:pPr>
        <w:pStyle w:val="Heading1"/>
        <w:keepNext/>
      </w:pPr>
      <w:r>
        <w:t>二、对指导老师三点意见的具体回应</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老师的关注</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本轮对接方式</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在原型中如何体现</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使用者到底是谁</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只面向事务所审计项目组，限定承接、续约和计划阶段</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首页直接进入“新建预审项目”，不设置投资者模式</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审计师需要业务逻辑和完整循环思考</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以销售与收款循环为主线，把异常连接到业务节点、管理层认定、证据缺口和审计程序</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风险卡可下钻到“业务节点—风险机理—认定—待索取资料—建议程序”</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舞弊线索常来自业务和行业中的“不对劲”</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从单纯财务比率升级为财务—业务—行业—非财务披露的多维交叉验证</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增加交叉验证矩阵，展示一条线索由哪些维度共同触发</w:t>
            </w:r>
          </w:p>
        </w:tc>
      </w:tr>
    </w:tbl>
    <w:p>
      <w:pPr>
        <w:spacing w:before="0" w:after="60" w:line="168" w:lineRule="auto"/>
      </w:pPr>
    </w:p>
    <w:p>
      <w:pPr/>
      <w:r>
        <w:rPr>
          <w:rFonts w:ascii="Calibri" w:hAnsi="Calibri" w:eastAsia="Microsoft YaHei"/>
          <w:color w:val="111827"/>
        </w:rPr>
        <w:t>这次修改不把项目扩成“万能审计系统”，而是把一个小场景做深：</w:t>
      </w:r>
      <w:r>
        <w:rPr>
          <w:rFonts w:ascii="Calibri" w:hAnsi="Calibri" w:eastAsia="Microsoft YaHei"/>
          <w:b/>
          <w:color w:val="1F4D78"/>
        </w:rPr>
        <w:t>在有限时间和有限公开资料下，帮助审计师更系统地提出高质量风险假设，并明确下一步要向客户索取什么证据。</w:t>
      </w:r>
    </w:p>
    <w:p>
      <w:pPr>
        <w:pStyle w:val="Heading1"/>
        <w:keepNext/>
      </w:pPr>
      <w:r>
        <w:t>三、竞赛评分点与本项目的对应关系</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评审维度</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本项目的主要设计</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给评委看的可验证成果</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专业深度</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锁定收入确认和销售与收款循环；建立“业务节点—异常信号—风险机理—管理层认定—证据缺口—审计程序”映射</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8张跨维度规则卡、销售循环图、预审风险任务卡</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技术创新</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财务—业务—行业交叉验证、结构化质疑与反证、规则硬校验与大模型语义复核</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交叉验证矩阵、反证前后对比、缺证据自动拦截</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落地可行</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公开资料为必需输入；内部资料仅按缺口可选补充；首版只做2个历史案例和3年数据</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可运行Web原型、标准资料模板、固定案例和导出报告</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效果评估</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T0/T1时点隔离回测；比较财务单维与多维交叉验证的增量；与通用大模型比较</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日期台账、基线对照、Top 5覆盖、引用准确率和稳定性</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文档展示</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一条线索从异常、业务解释、同行对照展开到证据缺口和核查动作</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5分钟端到端演示、方案书、数据字典和备用录屏</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伦理合规</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只输出风险线索；案例脱敏；禁用定性词；人工确认后导出</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合规提示、来源台账、禁用词测试和人工确认记录</w:t>
            </w:r>
          </w:p>
        </w:tc>
      </w:tr>
    </w:tbl>
    <w:p>
      <w:pPr>
        <w:spacing w:before="0" w:after="60" w:line="168" w:lineRule="auto"/>
      </w:pPr>
    </w:p>
    <w:p>
      <w:pPr>
        <w:pStyle w:val="Heading1"/>
        <w:keepNext/>
      </w:pPr>
      <w:r>
        <w:t>四、目标用户、使用场景与产品价值</w:t>
      </w:r>
    </w:p>
    <w:p>
      <w:pPr>
        <w:pStyle w:val="Heading2"/>
        <w:keepNext/>
      </w:pPr>
      <w:r>
        <w:t>4.1 唯一核心用户</w:t>
      </w:r>
    </w:p>
    <w:p>
      <w:pPr/>
      <w:r>
        <w:rPr>
          <w:rFonts w:ascii="Calibri" w:hAnsi="Calibri" w:eastAsia="Microsoft YaHei"/>
          <w:color w:val="111827"/>
        </w:rPr>
        <w:t>核心用户是会计师事务所审计项目组中的项目合伙人、项目经理和计划阶段审计人员。其他人员可以观看演示或用于教学，但不作为产品需求的来源，也不另设操作模式。</w:t>
      </w:r>
    </w:p>
    <w:p>
      <w:pPr>
        <w:pStyle w:val="Heading2"/>
        <w:keepNext/>
      </w:pPr>
      <w:r>
        <w:t>4.2 具体使用场景</w:t>
      </w:r>
    </w:p>
    <w:p>
      <w:pPr/>
      <w:r>
        <w:rPr>
          <w:rFonts w:ascii="Calibri" w:hAnsi="Calibri" w:eastAsia="Microsoft YaHei"/>
          <w:b/>
          <w:color w:val="1F4D78"/>
        </w:rPr>
        <w:t>场景A：新客户承接。</w:t>
      </w:r>
      <w:r>
        <w:rPr>
          <w:rFonts w:ascii="Calibri" w:hAnsi="Calibri" w:eastAsia="Microsoft YaHei"/>
          <w:color w:val="111827"/>
        </w:rPr>
        <w:t xml:space="preserve"> 项目组需要在有限时间内了解潜在客户的收入模式、历年变化、同行差异和已有公开监管事项，判断是否需要追加了解、提高项目风险等级或调整团队配置。</w:t>
      </w:r>
    </w:p>
    <w:p>
      <w:pPr/>
      <w:r>
        <w:rPr>
          <w:rFonts w:ascii="Calibri" w:hAnsi="Calibri" w:eastAsia="Microsoft YaHei"/>
          <w:b/>
          <w:color w:val="1F4D78"/>
        </w:rPr>
        <w:t>场景B：客户续约。</w:t>
      </w:r>
      <w:r>
        <w:rPr>
          <w:rFonts w:ascii="Calibri" w:hAnsi="Calibri" w:eastAsia="Microsoft YaHei"/>
          <w:color w:val="111827"/>
        </w:rPr>
        <w:t xml:space="preserve"> 项目组需要快速发现本年相较以前年度出现的新变化，例如收入增速与回款脱节、业务模式措辞改变、毛利率逆行业上升等，作为续约复核和项目风险讨论的输入。</w:t>
      </w:r>
    </w:p>
    <w:p>
      <w:pPr/>
      <w:r>
        <w:rPr>
          <w:rFonts w:ascii="Calibri" w:hAnsi="Calibri" w:eastAsia="Microsoft YaHei"/>
          <w:b/>
          <w:color w:val="1F4D78"/>
        </w:rPr>
        <w:t>场景C：审计计划。</w:t>
      </w:r>
      <w:r>
        <w:rPr>
          <w:rFonts w:ascii="Calibri" w:hAnsi="Calibri" w:eastAsia="Microsoft YaHei"/>
          <w:color w:val="111827"/>
        </w:rPr>
        <w:t xml:space="preserve"> 项目组已决定承接后，系统把公开资料中的风险假设转换为计划阶段待核查事项，提示重点管理层认定、需要向客户索取的资料以及可考虑的审计程序，帮助确定资源投入方向。</w:t>
      </w:r>
    </w:p>
    <w:p>
      <w:pPr>
        <w:pStyle w:val="Heading2"/>
        <w:keepNext/>
      </w:pPr>
      <w:r>
        <w:t>4.3 用户痛点</w:t>
      </w:r>
    </w:p>
    <w:p>
      <w:pPr>
        <w:spacing w:before="0" w:after="80" w:line="300" w:lineRule="auto"/>
        <w:numPr>
          <w:ilvl w:val="0"/>
          <w:numId w:val="12"/>
        </w:numPr>
      </w:pPr>
      <w:r>
        <w:rPr>
          <w:rFonts w:ascii="Calibri" w:hAnsi="Calibri" w:eastAsia="Microsoft YaHei"/>
        </w:rPr>
      </w:r>
      <w:r>
        <w:rPr>
          <w:rFonts w:ascii="Calibri" w:hAnsi="Calibri" w:eastAsia="Microsoft YaHei"/>
          <w:color w:val="111827"/>
        </w:rPr>
        <w:t>财务、业务和行业信息分散在多年度年报、附注、管理层讨论、公告和同行材料中，人工交叉阅读耗时；</w:t>
      </w:r>
    </w:p>
    <w:p>
      <w:pPr>
        <w:spacing w:before="0" w:after="80" w:line="300" w:lineRule="auto"/>
        <w:numPr>
          <w:ilvl w:val="0"/>
          <w:numId w:val="12"/>
        </w:numPr>
      </w:pPr>
      <w:r>
        <w:rPr>
          <w:rFonts w:ascii="Calibri" w:hAnsi="Calibri" w:eastAsia="Microsoft YaHei"/>
        </w:rPr>
      </w:r>
      <w:r>
        <w:rPr>
          <w:rFonts w:ascii="Calibri" w:hAnsi="Calibri" w:eastAsia="Microsoft YaHei"/>
          <w:color w:val="111827"/>
        </w:rPr>
        <w:t>普通比率分析只能说“数字异常”，很难解释异常对应销售循环的哪个节点；</w:t>
      </w:r>
    </w:p>
    <w:p>
      <w:pPr>
        <w:spacing w:before="0" w:after="80" w:line="300" w:lineRule="auto"/>
        <w:numPr>
          <w:ilvl w:val="0"/>
          <w:numId w:val="12"/>
        </w:numPr>
      </w:pPr>
      <w:r>
        <w:rPr>
          <w:rFonts w:ascii="Calibri" w:hAnsi="Calibri" w:eastAsia="Microsoft YaHei"/>
        </w:rPr>
      </w:r>
      <w:r>
        <w:rPr>
          <w:rFonts w:ascii="Calibri" w:hAnsi="Calibri" w:eastAsia="Microsoft YaHei"/>
          <w:color w:val="111827"/>
        </w:rPr>
        <w:t>审计师容易先看到支持风险的材料，而忽略正常商业解释，形成确认偏误；</w:t>
      </w:r>
    </w:p>
    <w:p>
      <w:pPr>
        <w:spacing w:before="0" w:after="80" w:line="300" w:lineRule="auto"/>
        <w:numPr>
          <w:ilvl w:val="0"/>
          <w:numId w:val="12"/>
        </w:numPr>
      </w:pPr>
      <w:r>
        <w:rPr>
          <w:rFonts w:ascii="Calibri" w:hAnsi="Calibri" w:eastAsia="Microsoft YaHei"/>
        </w:rPr>
      </w:r>
      <w:r>
        <w:rPr>
          <w:rFonts w:ascii="Calibri" w:hAnsi="Calibri" w:eastAsia="Microsoft YaHei"/>
          <w:color w:val="111827"/>
        </w:rPr>
        <w:t>通用大模型的答案常缺页码、公式和来源，难以进入可复核的工作记录；</w:t>
      </w:r>
    </w:p>
    <w:p>
      <w:pPr>
        <w:spacing w:before="0" w:after="80" w:line="300" w:lineRule="auto"/>
        <w:numPr>
          <w:ilvl w:val="0"/>
          <w:numId w:val="12"/>
        </w:numPr>
      </w:pPr>
      <w:r>
        <w:rPr>
          <w:rFonts w:ascii="Calibri" w:hAnsi="Calibri" w:eastAsia="Microsoft YaHei"/>
        </w:rPr>
      </w:r>
      <w:r>
        <w:rPr>
          <w:rFonts w:ascii="Calibri" w:hAnsi="Calibri" w:eastAsia="Microsoft YaHei"/>
          <w:color w:val="111827"/>
        </w:rPr>
        <w:t>公开资料无法回答全部问题，但现有工具很少继续告诉审计师“还缺什么、应当向客户要什么”。</w:t>
      </w:r>
    </w:p>
    <w:p>
      <w:pPr>
        <w:pStyle w:val="Heading2"/>
        <w:keepNext/>
      </w:pPr>
      <w:r>
        <w:t>4.4 产品价值边界</w:t>
      </w:r>
    </w:p>
    <w:p>
      <w:pPr/>
      <w:r>
        <w:rPr>
          <w:rFonts w:ascii="Calibri" w:hAnsi="Calibri" w:eastAsia="Microsoft YaHei"/>
          <w:color w:val="111827"/>
        </w:rPr>
        <w:t>系统的价值不是代替审计师作出承接决定、舞弊认定或审计意见，而是提供一份</w:t>
      </w:r>
      <w:r>
        <w:rPr>
          <w:rFonts w:ascii="Calibri" w:hAnsi="Calibri" w:eastAsia="Microsoft YaHei"/>
          <w:b/>
          <w:color w:val="1F4D78"/>
        </w:rPr>
        <w:t>结构化、可追溯、可复核的预审风险备忘录和计划阶段待核查清单</w:t>
      </w:r>
      <w:r>
        <w:rPr>
          <w:rFonts w:ascii="Calibri" w:hAnsi="Calibri" w:eastAsia="Microsoft YaHei"/>
          <w:color w:val="111827"/>
        </w:rPr>
        <w:t>。最终判断、资料授权、程序选择和审计结论始终由审计人员负责。</w:t>
      </w:r>
    </w:p>
    <w:p>
      <w:pPr>
        <w:pStyle w:val="Heading1"/>
        <w:keepNext/>
      </w:pPr>
      <w:r>
        <w:t>五、第一版范围与明确不做的内容</w:t>
      </w:r>
    </w:p>
    <w:p>
      <w:pPr>
        <w:pStyle w:val="Heading2"/>
        <w:keepNext/>
      </w:pPr>
      <w:r>
        <w:t>5.1 第一版锁定范围</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范围项目</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第一版内容</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审计阶段</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业务承接、客户续约、审计计划阶段</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业务主题</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上市公司收入确认重大错报风险预筛查</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业务循环</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销售与收款循环，不扩展到采购、薪酬、资金等完整审计循环</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重点旁证</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应收账款/合同资产、存货/营业成本、经营活动现金流、销售模式、产能产量、客户集中度、同行毛利率</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风险类型</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收入时点异常、缺乏商业实质、总额法与净额法判断不当，以及与三者有关的公开线索</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案例规模</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2家已有正式监管结论的历史案例公司；每家连续3年；界面显示“案例A/案例B”</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核心资料</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截止分析日已经公开的年报、审计报告、公告、监管材料、同行年报和公开行业资料</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可选资料</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规定模板的合同摘要、销售明细、发货验收摘要、期后回款/退货摘要；只用于补充已识别的证据缺口</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正式输出</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每个案例最多5张预审风险任务卡、一份预审风险备忘录、一份待索取资料清单</w:t>
            </w:r>
          </w:p>
        </w:tc>
      </w:tr>
    </w:tbl>
    <w:p>
      <w:pPr>
        <w:spacing w:before="0" w:after="60" w:line="168" w:lineRule="auto"/>
      </w:pPr>
    </w:p>
    <w:p>
      <w:pPr>
        <w:pStyle w:val="Heading2"/>
        <w:keepNext/>
      </w:pPr>
      <w:r>
        <w:t>5.2 第一版明确不做</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不做普通投资者选股、买卖建议或公司估值；</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不做全市场实时扫描；</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不覆盖所有舞弊类型和全部审计循环；</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不承诺读取事务所全部底稿或兼容任意合同、发票、流水格式；</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不鉴定合同、发票、银行流水的真实性；</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不做客户和供应商的全网关系图谱；</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不输出“舞弊概率”、舞弊定性、审计意见或监管结论；</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不在现场临时分析未经资料预检和合规确认的真实公司；</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不依赖企查查、天眼查等付费数据才能运行，付费来源只能作为未来可选增强。</w:t>
      </w:r>
    </w:p>
    <w:p>
      <w:pPr>
        <w:pStyle w:val="Heading2"/>
        <w:keepNext/>
      </w:pPr>
      <w:r>
        <w:t>5.3 两类资料的边界</w:t>
      </w:r>
    </w:p>
    <w:p>
      <w:pPr/>
      <w:r>
        <w:rPr>
          <w:rFonts w:ascii="Calibri" w:hAnsi="Calibri" w:eastAsia="Microsoft YaHei"/>
          <w:b/>
          <w:color w:val="1F4D78"/>
        </w:rPr>
        <w:t>核心层：公开资料。</w:t>
      </w:r>
      <w:r>
        <w:rPr>
          <w:rFonts w:ascii="Calibri" w:hAnsi="Calibri" w:eastAsia="Microsoft YaHei"/>
          <w:color w:val="111827"/>
        </w:rPr>
        <w:t xml:space="preserve"> 任何案例即使没有内部资料，也能完成多年度数字整理、财务—披露对照、同行比较、风险假设、反证挑战和证据缺口输出。</w:t>
      </w:r>
    </w:p>
    <w:p>
      <w:pPr/>
      <w:r>
        <w:rPr>
          <w:rFonts w:ascii="Calibri" w:hAnsi="Calibri" w:eastAsia="Microsoft YaHei"/>
          <w:b/>
          <w:color w:val="1F4D78"/>
        </w:rPr>
        <w:t>补充层：授权且脱敏的内部资料。</w:t>
      </w:r>
      <w:r>
        <w:rPr>
          <w:rFonts w:ascii="Calibri" w:hAnsi="Calibri" w:eastAsia="Microsoft YaHei"/>
          <w:color w:val="111827"/>
        </w:rPr>
        <w:t xml:space="preserve"> 审计师可以针对某条证据缺口上传规定模板或少量PDF/Excel。系统只重新检查相关风险卡，不建立面向全部底稿的通用数据平台。竞赛演示只使用公开资料、模拟资料或已经脱敏的样例，不接触真实客户机密。</w:t>
      </w:r>
    </w:p>
    <w:p>
      <w:pPr>
        <w:pStyle w:val="Heading1"/>
        <w:keepNext/>
      </w:pPr>
      <w:r>
        <w:t>六、专业主线：销售与收款循环的初步风险评估</w:t>
      </w:r>
    </w:p>
    <w:p>
      <w:pPr>
        <w:pStyle w:val="Heading2"/>
        <w:keepNext/>
      </w:pPr>
      <w:r>
        <w:t>6.1 业务循环不是“把所有资料都接进来”</w:t>
      </w:r>
    </w:p>
    <w:p>
      <w:pPr/>
      <w:r>
        <w:rPr>
          <w:rFonts w:ascii="Calibri" w:hAnsi="Calibri" w:eastAsia="Microsoft YaHei"/>
          <w:color w:val="111827"/>
        </w:rPr>
        <w:t>系统用销售与收款循环帮助审计师定位问题，但只做到计划阶段需要的深度：</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客户与信用政策 → 合同/订单 → 发货或提供服务 → 验收/控制权转移 → 开票与收入确认 → 应收账款 → 回款、退货和折让</w:t>
      </w:r>
    </w:p>
    <w:p>
      <w:pPr/>
      <w:r>
        <w:rPr>
          <w:rFonts w:ascii="Calibri" w:hAnsi="Calibri" w:eastAsia="Microsoft YaHei"/>
          <w:color w:val="111827"/>
        </w:rPr>
        <w:t>公开资料通常不能证明每笔交易是否真实，因此系统不作交易级结论。它负责判断一条公开异常可能落在哪个业务节点、影响什么管理层认定、还需要什么内部证据以及可采用什么程序。</w:t>
      </w:r>
    </w:p>
    <w:p>
      <w:pPr>
        <w:pStyle w:val="Heading2"/>
        <w:keepNext/>
      </w:pPr>
      <w:r>
        <w:t>6.2 八条首版交叉验证规则</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700"/>
        <w:gridCol w:w="3800"/>
        <w:gridCol w:w="2310"/>
        <w:gridCol w:w="2550"/>
      </w:tblGrid>
      <w:tr>
        <w:trPr>
          <w:cantSplit/>
          <w:tblHeader w:val="true"/>
        </w:trPr>
        <w:tc>
          <w:tcPr>
            <w:tcW w:type="dxa" w:w="7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编号</w:t>
            </w:r>
          </w:p>
        </w:tc>
        <w:tc>
          <w:tcPr>
            <w:tcW w:type="dxa" w:w="38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交叉验证规则与通俗解释</w:t>
            </w:r>
          </w:p>
        </w:tc>
        <w:tc>
          <w:tcPr>
            <w:tcW w:type="dxa" w:w="23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主要公开资料</w:t>
            </w:r>
          </w:p>
        </w:tc>
        <w:tc>
          <w:tcPr>
            <w:tcW w:type="dxa" w:w="25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关联认定与下一步</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应收账款或合同资产连续增长明显快于收入，且周转天数恶化：销售可能已确认但回款质量未同步</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三张主表、附注、信用政策披露</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收入发生；应收/合同资产存在、准确性和计价；索取账龄、期后回款和主要合同摘要</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R2</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收入和利润增长，但经营现金流长期背离，且管理层没有充分解释：纸面增长与现金实现不一致</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现金流量表、利润表、管理层讨论</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收入发生、截止；索取销售明细、期后回款和大额异常交易清单</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R3</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产品销量或收入规模与披露的设计产能、产量明显不匹配：业务规模可能缺少物理能力支持</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年报产能产量、募投/扩产公告、业务分部</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收入发生、准确性；核对产销存、委外生产和产能利用说明</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R4</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前五大客户集中度突然上升，或公开可核验的主要交易对手经营范围、成立时间与交易规模不相称</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前五大客户披露、公司公告、官方企业公示信息</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收入发生；关联方关系及交易的完整性和列报；索取客户清单、合同、验收和函证资料</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R5</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公司对相似交易采用总额法确认收入，但对“主要责任人、定价权、存货风险”等判断披露不足，且同行普遍采用净额法</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收入政策附注、同行年报/招股书、业务模式</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准确性、分类和列报；检查合同权利义务和主要责任人判断依据</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R6</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公司毛利率逆行业趋势明显上升，但产品结构、技术、品牌或成本优势没有相应公开解释</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分部毛利率、同行年报、行业公开统计</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收入准确性；存货/成本计价和分摊；索取产品毛利表、成本结转和价格变动资料</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R7</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管理层讨论称竞争加剧、价格承压或需求下降，但相关分部收入/毛利率反而显著改善且无解释</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管理层讨论与分析、分部附注</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准确性和列报；询问变化原因并检查价格、销量和成本证据</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R8</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第四季度或年末收入占比明显高于历史与同行，随后应收、合同资产、退货或减值又明显增加：可能存在截止风险</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分季度经营数据、应收/合同资产附注、退货折让披露</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截止、发生；索取年末前后销售明细、发运验收、退货和期后回款资料</w:t>
            </w:r>
          </w:p>
        </w:tc>
      </w:tr>
    </w:tbl>
    <w:p>
      <w:pPr>
        <w:spacing w:before="0" w:after="60" w:line="168" w:lineRule="auto"/>
      </w:pPr>
    </w:p>
    <w:p>
      <w:pPr/>
      <w:r>
        <w:rPr>
          <w:rFonts w:ascii="Calibri" w:hAnsi="Calibri" w:eastAsia="Microsoft YaHei"/>
          <w:color w:val="111827"/>
        </w:rPr>
        <w:t>每条规则都设置“资料可得性”字段。若公开资料没有披露产能、客户身份或交易细节，系统不得臆测，只能把该项标记为“证据缺口”，并生成待索取资料。规则是风险筛查工具，不是自动定罪标准。</w:t>
      </w:r>
    </w:p>
    <w:p>
      <w:pPr>
        <w:pStyle w:val="Heading2"/>
        <w:keepNext/>
      </w:pPr>
      <w:r>
        <w:t>6.3 专业映射矩阵</w:t>
      </w:r>
    </w:p>
    <w:p>
      <w:pPr/>
      <w:r>
        <w:rPr>
          <w:rFonts w:ascii="Calibri" w:hAnsi="Calibri" w:eastAsia="Microsoft YaHei"/>
          <w:color w:val="111827"/>
        </w:rPr>
        <w:t>每条风险最终都按同一结构展开：</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业务循环节点 → 异常信号 → 风险机理 → 受影响报表项目 → 管理层认定 → 可能的正常解释 → 当前证据缺口 → 待索取资料 → 建议审计程序</w:t>
      </w:r>
    </w:p>
    <w:p>
      <w:pPr/>
      <w:r>
        <w:rPr>
          <w:rFonts w:ascii="Calibri" w:hAnsi="Calibri" w:eastAsia="Microsoft YaHei"/>
          <w:color w:val="111827"/>
        </w:rPr>
        <w:t>例如，“应收增长快于收入”本身不是结论。系统还要检查是否由新增大客户、结算周期改变、季节性或行业账期普遍拉长导致；如果公开资料不能排除这些解释，则输出“待重点关注”，并建议取得账龄、期后回款和主要合同后再判断。</w:t>
      </w:r>
    </w:p>
    <w:p>
      <w:pPr>
        <w:pStyle w:val="Heading1"/>
        <w:keepNext/>
      </w:pPr>
      <w:r>
        <w:t>七、五项核心创新</w:t>
      </w:r>
    </w:p>
    <w:p>
      <w:pPr>
        <w:pStyle w:val="Heading2"/>
        <w:keepNext/>
      </w:pPr>
      <w:r>
        <w:t>7.1 创新一：财务—业务—行业—披露多维交叉验证</w:t>
      </w:r>
    </w:p>
    <w:p>
      <w:pPr/>
      <w:r>
        <w:rPr>
          <w:rFonts w:ascii="Calibri" w:hAnsi="Calibri" w:eastAsia="Microsoft YaHei"/>
          <w:color w:val="111827"/>
        </w:rPr>
        <w:t>系统不只看比率，而是把四个维度放进同一条质疑链：财务数字是否勾稽、业务规模是否合理、行业惯例是否一致、管理层文字与报表结果是否一致。界面用“交叉验证矩阵”展示一条风险由哪些维度触发。多维触发只代表优先级更高，不代表舞弊概率更高。</w:t>
      </w:r>
    </w:p>
    <w:p>
      <w:pPr>
        <w:pStyle w:val="Heading2"/>
        <w:keepNext/>
      </w:pPr>
      <w:r>
        <w:t>7.2 创新二：业务循环驱动的证据缺口与资料索取</w:t>
      </w:r>
    </w:p>
    <w:p>
      <w:pPr/>
      <w:r>
        <w:rPr>
          <w:rFonts w:ascii="Calibri" w:hAnsi="Calibri" w:eastAsia="Microsoft YaHei"/>
          <w:color w:val="111827"/>
        </w:rPr>
        <w:t>系统不是发现异常后停在一句提示，而是把风险落到销售与收款循环节点和管理层认定，并生成对应的资料索取清单。这样公开资料的局限不再是系统缺点，而成为“知道下一步需要取得什么证据”的产品价值。</w:t>
      </w:r>
    </w:p>
    <w:p>
      <w:pPr>
        <w:pStyle w:val="Heading2"/>
        <w:keepNext/>
      </w:pPr>
      <w:r>
        <w:t>7.3 创新三：证据硬准入门槛</w:t>
      </w:r>
    </w:p>
    <w:p>
      <w:pPr/>
      <w:r>
        <w:rPr>
          <w:rFonts w:ascii="Calibri" w:hAnsi="Calibri" w:eastAsia="Microsoft YaHei"/>
          <w:color w:val="111827"/>
        </w:rPr>
        <w:t>每张正式风险卡必须包含文件名、披露日期、PDF页码、印刷页码、原文、财务数字、公式、管理层认定、正常解释、证据缺口和建议程序。大模型负责语义判断，程序负责页码、原文、公式、必填项和禁用词硬校验；任何关键项缺失，该线索只能保留在草稿区，不能进入正式报告。</w:t>
      </w:r>
    </w:p>
    <w:p>
      <w:pPr>
        <w:pStyle w:val="Heading2"/>
        <w:keepNext/>
      </w:pPr>
      <w:r>
        <w:t>7.4 创新四：一次结构化强制反证挑战</w:t>
      </w:r>
    </w:p>
    <w:p>
      <w:pPr/>
      <w:r>
        <w:rPr>
          <w:rFonts w:ascii="Calibri" w:hAnsi="Calibri" w:eastAsia="Microsoft YaHei"/>
          <w:color w:val="111827"/>
        </w:rPr>
        <w:t>质疑模块提出风险假设后，反证模块必须在允许使用的资料中主动寻找至少一种正常商业解释，并给出支持或缺失证据。语义复核模块只能作“保留、降级、暂缓”判断，不能自由发挥形成无休止辩论。最终仍由程序硬校验和审计师人工确认把关。</w:t>
      </w:r>
    </w:p>
    <w:p>
      <w:pPr>
        <w:pStyle w:val="Heading2"/>
        <w:keepNext/>
      </w:pPr>
      <w:r>
        <w:t>7.5 创新五：不偷看答案的时点隔离回测</w:t>
      </w:r>
    </w:p>
    <w:p>
      <w:pPr/>
      <w:r>
        <w:rPr>
          <w:rFonts w:ascii="Calibri" w:hAnsi="Calibri" w:eastAsia="Microsoft YaHei"/>
          <w:color w:val="111827"/>
        </w:rPr>
        <w:t>系统以T0为分析截止日，只允许使用T0前已公开的资料；后续问询函、回复、处罚或更正文件放在隔离的T1答案区，运行结束后才解锁对照。同时比较“只看财务数据”与“财务—业务—行业交叉验证”的增量，证明新增设计是否真的发现了外行视角中的业务不合理，而不只是增加术语。</w:t>
      </w:r>
    </w:p>
    <w:p>
      <w:pPr>
        <w:pStyle w:val="Heading1"/>
        <w:keepNext/>
      </w:pPr>
      <w:r>
        <w:t>八、完整工作流程与稳定化设计</w:t>
      </w:r>
    </w:p>
    <w:p>
      <w:pPr>
        <w:pStyle w:val="Heading2"/>
        <w:keepNext/>
      </w:pPr>
      <w:r>
        <w:t>8.1 主流程</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审计师新建预审项目，选择案例、分析截止日和所属行业；</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系统读取T0前公开资料并完成来源、日期、页码、单位和可读性预检；</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程序计算确定性财务指标，建立多年度趋势；</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交叉验证引擎按8条规则连接财务、业务、行业和披露信息；</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质疑智能体生成结构化风险假设；</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反证智能体寻找正常解释和反对证据；</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语义复核智能体判断保留、降级或暂缓；</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程序硬校验引用、页码、公式、必填字段和禁用词；</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审计师人工确认，系统生成预审风险备忘录、Top 5任务卡和待索取资料清单；</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如有授权补充资料，系统只重跑对应风险卡；历史评估时再解锁T1答案进行回测。</w:t>
      </w:r>
    </w:p>
    <w:p>
      <w:pPr>
        <w:pStyle w:val="Heading2"/>
        <w:keepNext/>
      </w:pPr>
      <w:r>
        <w:t>8.2 三类AI角色不是自由辩论</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角色</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只能做什么</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不能做什么</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质疑角色</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按专业规则提出风险假设并引用证据</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无证据猜测主体动机或直接认定舞弊</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反证角色</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寻找正常解释、相反证据和缺失资料</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为了“辩护”而编造事实</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语义复核角色</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检查证据是否支持措辞并给出保留/降级/暂缓</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绕过程序硬门槛直接批准导出</w:t>
            </w:r>
          </w:p>
        </w:tc>
      </w:tr>
    </w:tbl>
    <w:p>
      <w:pPr>
        <w:spacing w:before="0" w:after="60" w:line="168" w:lineRule="auto"/>
      </w:pPr>
    </w:p>
    <w:p>
      <w:pPr/>
      <w:r>
        <w:rPr>
          <w:rFonts w:ascii="Calibri" w:hAnsi="Calibri" w:eastAsia="Microsoft YaHei"/>
          <w:color w:val="111827"/>
        </w:rPr>
        <w:t>确定性计算、日期过滤、字段完整性、禁用词和引用定位均由程序完成。AI只处理语义和专业推理，人工拥有最终确认权。</w:t>
      </w:r>
    </w:p>
    <w:p>
      <w:pPr>
        <w:pStyle w:val="Heading1"/>
        <w:keepNext/>
      </w:pPr>
      <w:r>
        <w:t>九、数据与资料方案</w:t>
      </w:r>
    </w:p>
    <w:p>
      <w:pPr>
        <w:pStyle w:val="Heading2"/>
        <w:keepNext/>
      </w:pPr>
      <w:r>
        <w:t>9.1 必需的公开资料白名单</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交易所、上市公司官网、巨潮资讯等正式披露渠道中的年报、审计报告和公告；</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T0前公开的监管问询、风险提示和更正文件；</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同行业上市公司年报、招股说明书以及公司公开披露的经营数据；</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政府部门、行业协会或可说明口径的公开行业统计；</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国家企业信用信息公示系统等公开官方登记信息，仅在可核验时使用。</w:t>
      </w:r>
    </w:p>
    <w:p>
      <w:pPr/>
      <w:r>
        <w:rPr>
          <w:rFonts w:ascii="Calibri" w:hAnsi="Calibri" w:eastAsia="Microsoft YaHei"/>
          <w:color w:val="111827"/>
        </w:rPr>
        <w:t>新闻、自媒体、论坛和模型记忆不能直接作为正式证据。付费商业数据库不是第一版运行前提。</w:t>
      </w:r>
    </w:p>
    <w:p>
      <w:pPr>
        <w:pStyle w:val="Heading2"/>
        <w:keepNext/>
      </w:pPr>
      <w:r>
        <w:t>9.2 可选补充资料</w:t>
      </w:r>
    </w:p>
    <w:p>
      <w:pPr/>
      <w:r>
        <w:rPr>
          <w:rFonts w:ascii="Calibri" w:hAnsi="Calibri" w:eastAsia="Microsoft YaHei"/>
          <w:color w:val="111827"/>
        </w:rPr>
        <w:t>第一版最多支持四类标准化补充资料：合同关键条款摘要、销售明细摘要、发货/验收摘要、期后回款及退货摘要。资料必须获得授权并脱敏，格式为规定Excel模板或少量可读PDF。上传前进行公司、期间、单位、字段完整性和来源授权预检；不通过的资料不得进入分析。</w:t>
      </w:r>
    </w:p>
    <w:p>
      <w:pPr>
        <w:pStyle w:val="Heading2"/>
        <w:keepNext/>
      </w:pPr>
      <w:r>
        <w:t>9.3 每个案例的最小字段</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类别</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主要字段</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财务</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收入、应收账款、合同资产、存货、营业成本、毛利、经营现金流、信用减值、周转天数</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主营产品、销售模式、收入政策、产能产量、客户集中度、结算方式、主要责任人判断</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行业</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同行收入/毛利率/周转变化、行业景气和价格趋势、常见收入列报方式</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文本披露</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管理层讨论、重大变化原因、关键审计事项、分部信息及前后年度措辞变化</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元数据</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文件名、来源网址、披露日期、下载日期、PDF页码、印刷页码、文件哈希、T0/T1标签</w:t>
            </w:r>
          </w:p>
        </w:tc>
      </w:tr>
    </w:tbl>
    <w:p>
      <w:pPr>
        <w:spacing w:before="0" w:after="60" w:line="168" w:lineRule="auto"/>
      </w:pPr>
    </w:p>
    <w:p>
      <w:pPr>
        <w:pStyle w:val="Heading2"/>
        <w:keepNext/>
      </w:pPr>
      <w:r>
        <w:t>9.4 案例与答案隔离</w:t>
      </w:r>
    </w:p>
    <w:p>
      <w:pPr/>
      <w:r>
        <w:rPr>
          <w:rFonts w:ascii="Calibri" w:hAnsi="Calibri" w:eastAsia="Microsoft YaHei"/>
          <w:color w:val="111827"/>
        </w:rPr>
        <w:t>选择2家已经有正式监管结论且收入确认线索可由T0前公开资料观察的历史案例。案例应一难一易：一家公司信号相对明显，另一家公司存在较强正常解释。T0资料区与T1答案区分目录、分权限保存；只有完成预测并锁定运行日志后才能解锁T1。</w:t>
      </w:r>
    </w:p>
    <w:p>
      <w:pPr>
        <w:pStyle w:val="Heading1"/>
        <w:keepNext/>
      </w:pPr>
      <w:r>
        <w:t>十、原型页面与专业化交互</w:t>
      </w:r>
    </w:p>
    <w:p>
      <w:pPr/>
      <w:r>
        <w:rPr>
          <w:rFonts w:ascii="Calibri" w:hAnsi="Calibri" w:eastAsia="Microsoft YaHei"/>
          <w:color w:val="111827"/>
        </w:rPr>
        <w:t>第一版设计8个核心页面：</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新建预审项目：</w:t>
      </w:r>
      <w:r>
        <w:rPr>
          <w:rFonts w:ascii="Calibri" w:hAnsi="Calibri" w:eastAsia="Microsoft YaHei"/>
          <w:color w:val="111827"/>
        </w:rPr>
        <w:t>选择案例、T0、行业和分析目的；</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资料清单与预检：</w:t>
      </w:r>
      <w:r>
        <w:rPr>
          <w:rFonts w:ascii="Calibri" w:hAnsi="Calibri" w:eastAsia="Microsoft YaHei"/>
          <w:color w:val="111827"/>
        </w:rPr>
        <w:t>显示公开来源、日期、页码、单位和缺失项；</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预审风险总览：</w:t>
      </w:r>
      <w:r>
        <w:rPr>
          <w:rFonts w:ascii="Calibri" w:hAnsi="Calibri" w:eastAsia="Microsoft YaHei"/>
          <w:color w:val="111827"/>
        </w:rPr>
        <w:t>按重要性展示Top 5风险任务卡，不用投资者式“买卖信号”；</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交叉验证矩阵：</w:t>
      </w:r>
      <w:r>
        <w:rPr>
          <w:rFonts w:ascii="Calibri" w:hAnsi="Calibri" w:eastAsia="Microsoft YaHei"/>
          <w:color w:val="111827"/>
        </w:rPr>
        <w:t>展示财务、业务、行业、披露四个维度的触发情况；</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风险卡下钻：</w:t>
      </w:r>
      <w:r>
        <w:rPr>
          <w:rFonts w:ascii="Calibri" w:hAnsi="Calibri" w:eastAsia="Microsoft YaHei"/>
          <w:color w:val="111827"/>
        </w:rPr>
        <w:t>显示规则、业务节点、原文、公式、管理层认定、正常解释和反证状态；</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证据缺口与待索取资料：</w:t>
      </w:r>
      <w:r>
        <w:rPr>
          <w:rFonts w:ascii="Calibri" w:hAnsi="Calibri" w:eastAsia="Microsoft YaHei"/>
          <w:color w:val="111827"/>
        </w:rPr>
        <w:t>把缺口转换为计划阶段核查清单；</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可选资料补充与重跑：</w:t>
      </w:r>
      <w:r>
        <w:rPr>
          <w:rFonts w:ascii="Calibri" w:hAnsi="Calibri" w:eastAsia="Microsoft YaHei"/>
          <w:color w:val="111827"/>
        </w:rPr>
        <w:t>只更新对应风险卡，并保留前后变化；</w:t>
      </w:r>
    </w:p>
    <w:p>
      <w:pPr>
        <w:spacing w:before="0" w:after="80" w:line="300" w:lineRule="auto"/>
        <w:numPr>
          <w:ilvl w:val="0"/>
          <w:numId w:val="14"/>
        </w:numPr>
      </w:pPr>
      <w:r>
        <w:rPr>
          <w:rFonts w:ascii="Calibri" w:hAnsi="Calibri" w:eastAsia="Microsoft YaHei"/>
        </w:rPr>
      </w:r>
      <w:r>
        <w:rPr>
          <w:rFonts w:ascii="Calibri" w:hAnsi="Calibri" w:eastAsia="Microsoft YaHei"/>
          <w:b/>
          <w:color w:val="1F4D78"/>
        </w:rPr>
        <w:t>人工确认、报告与回测：</w:t>
      </w:r>
      <w:r>
        <w:rPr>
          <w:rFonts w:ascii="Calibri" w:hAnsi="Calibri" w:eastAsia="Microsoft YaHei"/>
          <w:color w:val="111827"/>
        </w:rPr>
        <w:t>导出预审风险备忘录，并在评估模式下解锁T1对照。</w:t>
      </w:r>
    </w:p>
    <w:p>
      <w:pPr/>
      <w:r>
        <w:rPr>
          <w:rFonts w:ascii="Calibri" w:hAnsi="Calibri" w:eastAsia="Microsoft YaHei"/>
          <w:color w:val="111827"/>
        </w:rPr>
        <w:t>页面统一使用“重大错报风险信号、待核查事项、管理层认定、反证状态、证据缺口、建议程序”等审计术语。可在术语旁提供一句短解释，便于评委理解，但不另建普通投资者模式。</w:t>
      </w:r>
    </w:p>
    <w:p>
      <w:pPr>
        <w:pStyle w:val="Heading1"/>
        <w:keepNext/>
      </w:pPr>
      <w:r>
        <w:t>十一、技术方案与Vibe Coding实施</w:t>
      </w:r>
    </w:p>
    <w:p>
      <w:pPr>
        <w:pStyle w:val="Heading2"/>
        <w:keepNext/>
      </w:pPr>
      <w:r>
        <w:t>11.1 技术结构</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前端与交互：Streamlit或同类低代码Web界面；</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数据处理：Python、pandas、PyMuPDF/pdfplumber和SQLite；</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大模型：国产大语言模型作为核心语义推理引擎，统一要求JSON结构化输出；</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工作流：质疑、反证、语义复核三个固定角色，加程序硬校验和人工确认；</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开发方式：队长使用Trae/Codex等进行Vibe Coding，队员提供规则、数据和验收标准；</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演示保障：固定案例、缓存结果、本地数据、模型失败降级和备用录屏。</w:t>
      </w:r>
    </w:p>
    <w:p>
      <w:pPr>
        <w:pStyle w:val="Heading2"/>
        <w:keepNext/>
      </w:pPr>
      <w:r>
        <w:t>11.2 Vibe Coding不是“只让AI写代码”</w:t>
      </w:r>
    </w:p>
    <w:p>
      <w:pPr/>
      <w:r>
        <w:rPr>
          <w:rFonts w:ascii="Calibri" w:hAnsi="Calibri" w:eastAsia="Microsoft YaHei"/>
          <w:color w:val="111827"/>
        </w:rPr>
        <w:t>团队保存需求说明、提示词、AI生成方案、人工修改、测试记录和版本差异，证明“自然语言提出需求—AI生成—人工运行—发现问题—继续修订”的完整开发过程。专业规则、数据口径和验收结果必须由团队人工确认，不能把模型输出直接当作完成品。</w:t>
      </w:r>
    </w:p>
    <w:p>
      <w:pPr>
        <w:pStyle w:val="Heading1"/>
        <w:keepNext/>
      </w:pPr>
      <w:r>
        <w:t>十二、效果评估方案</w:t>
      </w:r>
    </w:p>
    <w:p>
      <w:pPr>
        <w:pStyle w:val="Heading2"/>
        <w:keepNext/>
      </w:pPr>
      <w:r>
        <w:t>12.1 四组基线</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300"/>
        <w:gridCol w:w="3100"/>
        <w:gridCol w:w="4960"/>
      </w:tblGrid>
      <w:tr>
        <w:trPr>
          <w:cantSplit/>
          <w:tblHeader w:val="true"/>
        </w:trPr>
        <w:tc>
          <w:tcPr>
            <w:tcW w:type="dxa" w:w="13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组别</w:t>
            </w:r>
          </w:p>
        </w:tc>
        <w:tc>
          <w:tcPr>
            <w:tcW w:type="dxa" w:w="31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方法</w:t>
            </w:r>
          </w:p>
        </w:tc>
        <w:tc>
          <w:tcPr>
            <w:tcW w:type="dxa" w:w="49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目的</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固定财务阈值规则</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检验简单比率能做到什么</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B1</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通用大模型直接阅读材料</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检验无专业流程时的引用和稳定性问题</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B2</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专业规则+结构化输出，但无反证和硬门槛</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检验约束机制的增量</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B3</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完整系统：多维交叉验证+反证+硬校验+人工确认</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评估完整方案</w:t>
            </w:r>
          </w:p>
        </w:tc>
      </w:tr>
    </w:tbl>
    <w:p>
      <w:pPr>
        <w:spacing w:before="0" w:after="60" w:line="168" w:lineRule="auto"/>
      </w:pPr>
    </w:p>
    <w:p>
      <w:pPr/>
      <w:r>
        <w:rPr>
          <w:rFonts w:ascii="Calibri" w:hAnsi="Calibri" w:eastAsia="Microsoft YaHei"/>
          <w:color w:val="111827"/>
        </w:rPr>
        <w:t>另做一组消融对比：仅使用财务维度，与加入业务、行业和披露维度后的结果比较，重点观察T1监管事项覆盖和无依据高风险线索是否改善。</w:t>
      </w:r>
    </w:p>
    <w:p>
      <w:pPr>
        <w:pStyle w:val="Heading2"/>
        <w:keepNext/>
      </w:pPr>
      <w:r>
        <w:t>12.2 关键指标</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Top 5事项覆盖：</w:t>
      </w:r>
      <w:r>
        <w:rPr>
          <w:rFonts w:ascii="Calibri" w:hAnsi="Calibri" w:eastAsia="Microsoft YaHei"/>
          <w:color w:val="111827"/>
        </w:rPr>
        <w:t>T0输出的Top 5是否覆盖T1后续监管关注的主要收入问题；</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引用准确率：</w:t>
      </w:r>
      <w:r>
        <w:rPr>
          <w:rFonts w:ascii="Calibri" w:hAnsi="Calibri" w:eastAsia="Microsoft YaHei"/>
          <w:color w:val="111827"/>
        </w:rPr>
        <w:t>文件、页码、原文和数字是否可以复核；</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公式复算一致率：</w:t>
      </w:r>
      <w:r>
        <w:rPr>
          <w:rFonts w:ascii="Calibri" w:hAnsi="Calibri" w:eastAsia="Microsoft YaHei"/>
          <w:color w:val="111827"/>
        </w:rPr>
        <w:t>程序结果与人工Excel复算是否一致；</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证据完整率：</w:t>
      </w:r>
      <w:r>
        <w:rPr>
          <w:rFonts w:ascii="Calibri" w:hAnsi="Calibri" w:eastAsia="Microsoft YaHei"/>
          <w:color w:val="111827"/>
        </w:rPr>
        <w:t>正式风险卡必填字段是否完整；</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无依据高风险线索率：</w:t>
      </w:r>
      <w:r>
        <w:rPr>
          <w:rFonts w:ascii="Calibri" w:hAnsi="Calibri" w:eastAsia="Microsoft YaHei"/>
          <w:color w:val="111827"/>
        </w:rPr>
        <w:t>没有充分证据却被输出为高优先级的比例，正式版目标为0；</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反证有效性：</w:t>
      </w:r>
      <w:r>
        <w:rPr>
          <w:rFonts w:ascii="Calibri" w:hAnsi="Calibri" w:eastAsia="Microsoft YaHei"/>
          <w:color w:val="111827"/>
        </w:rPr>
        <w:t>反证后合理降级、暂缓或补充证据的线索数量；</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多维信息增量：</w:t>
      </w:r>
      <w:r>
        <w:rPr>
          <w:rFonts w:ascii="Calibri" w:hAnsi="Calibri" w:eastAsia="Microsoft YaHei"/>
          <w:color w:val="111827"/>
        </w:rPr>
        <w:t>业务/行业维度新增覆盖了哪些财务规则未发现的事项；</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稳定性：</w:t>
      </w:r>
      <w:r>
        <w:rPr>
          <w:rFonts w:ascii="Calibri" w:hAnsi="Calibri" w:eastAsia="Microsoft YaHei"/>
          <w:color w:val="111827"/>
        </w:rPr>
        <w:t>同一输入重复运行5次，核心风险类型和Top 3排序的一致程度；</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人工效率：</w:t>
      </w:r>
      <w:r>
        <w:rPr>
          <w:rFonts w:ascii="Calibri" w:hAnsi="Calibri" w:eastAsia="Microsoft YaHei"/>
          <w:color w:val="111827"/>
        </w:rPr>
        <w:t>审计人员完成首次风险画像和资料清单所需时间，与纯人工整理比较。</w:t>
      </w:r>
    </w:p>
    <w:p>
      <w:pPr/>
      <w:r>
        <w:rPr>
          <w:rFonts w:ascii="Calibri" w:hAnsi="Calibri" w:eastAsia="Microsoft YaHei"/>
          <w:color w:val="111827"/>
        </w:rPr>
        <w:t>样本规模有限时不宣传普适“舞弊识别准确率”。正式结论只说明历史案例上的覆盖、引用、稳定和失败情况。</w:t>
      </w:r>
    </w:p>
    <w:p>
      <w:pPr>
        <w:pStyle w:val="Heading2"/>
        <w:keepNext/>
      </w:pPr>
      <w:r>
        <w:t>12.3 防止模型偷看答案</w:t>
      </w:r>
    </w:p>
    <w:p>
      <w:pPr/>
      <w:r>
        <w:rPr>
          <w:rFonts w:ascii="Calibri" w:hAnsi="Calibri" w:eastAsia="Microsoft YaHei"/>
          <w:color w:val="111827"/>
        </w:rPr>
        <w:t>T1文件物理隔离；记录每份资料的公开日期和哈希；提示词禁止调用模型记忆中的案例结论；测试时对公司名称和证券代码去标识化；保留输入清单和运行日志。第一版不对财务数字做3%—5%的随意扰动，以免破坏报表勾稽关系。</w:t>
      </w:r>
    </w:p>
    <w:p>
      <w:pPr>
        <w:pStyle w:val="Heading1"/>
        <w:keepNext/>
      </w:pPr>
      <w:r>
        <w:t>十三、伦理、技术与项目风险控制</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风险</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可能后果</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规避措施</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产品又被看成投资者工具</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用户和价值边界不清</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只设审计师工作流；输出预审备忘录、认定、资料索取和建议程序</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审计师需要的内部资料过多</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团队无法兼容全部数据</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核心流程只依赖公开资料；内部资料仅按证据缺口、规定模板可选补充</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业务或行业数据缺失</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规则无法触发或模型猜测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每条规则显示资料可得性；缺失即输出证据缺口，不作推断</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AI对公司作负面定性</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伦理和声誉风险</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案例脱敏、禁用词、证据硬门槛、人工确认和免责声明</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多智能体输出不稳定</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演示失败或结论漂移</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固定一轮结构化流程、JSON字段、程序校验、缓存和固定案例</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T1答案泄漏</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回测失真</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文件隔离、日期白名单、哈希、运行后解锁和名称去标识化测试</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外部公开口径不一致</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错误比较</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保存口径、单位、期间和来源；不可比时不计算或转人工复核</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依赖付费数据</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现场无法复现</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官方公开来源构成最小闭环，付费数据只列为未来增强</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项目范围继续扩大</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无法完成可靠原型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新功能必须直接服务收入风险、两周内完成且有验收指标，否则延期</w:t>
            </w:r>
          </w:p>
        </w:tc>
      </w:tr>
    </w:tbl>
    <w:p>
      <w:pPr>
        <w:spacing w:before="0" w:after="60" w:line="168" w:lineRule="auto"/>
      </w:pPr>
    </w:p>
    <w:p>
      <w:pPr/>
      <w:r>
        <w:rPr>
          <w:rFonts w:ascii="Calibri" w:hAnsi="Calibri" w:eastAsia="Microsoft YaHei"/>
          <w:color w:val="111827"/>
        </w:rPr>
        <w:t>正式页面只允许“待核查风险线索”“公开资料不足以排除正常解释”“建议取得进一步证据”等表述；禁止“该公司已经造假”“管理层故意欺骗”等未经监管文件确认的定性语言。</w:t>
      </w:r>
    </w:p>
    <w:p>
      <w:pPr>
        <w:pStyle w:val="Heading1"/>
        <w:keepNext/>
      </w:pPr>
      <w:r>
        <w:t>十四、四人团队任务分工</w:t>
      </w:r>
    </w:p>
    <w:p>
      <w:pPr>
        <w:pStyle w:val="Heading2"/>
        <w:keepNext/>
      </w:pPr>
      <w:r>
        <w:t>14.1 队长：AI工作流、Vibe Coding与系统整合</w:t>
      </w:r>
    </w:p>
    <w:p>
      <w:pPr/>
      <w:r>
        <w:rPr>
          <w:rFonts w:ascii="Calibri" w:hAnsi="Calibri" w:eastAsia="Microsoft YaHei"/>
          <w:b/>
          <w:color w:val="1F4D78"/>
        </w:rPr>
        <w:t>主要工作：</w:t>
      </w:r>
      <w:r>
        <w:rPr>
          <w:rFonts w:ascii="Calibri" w:hAnsi="Calibri" w:eastAsia="Microsoft YaHei"/>
          <w:color w:val="111827"/>
        </w:rPr>
        <w:t>搭建Web原型；实现财务计算、交叉验证、三个AI角色、证据硬门槛、可选资料重跑和报告导出；维护提示词、版本、密钥、缓存和演示备份；每周整合并验收三名队员成果。</w:t>
      </w:r>
    </w:p>
    <w:p>
      <w:pPr/>
      <w:r>
        <w:rPr>
          <w:rFonts w:ascii="Calibri" w:hAnsi="Calibri" w:eastAsia="Microsoft YaHei"/>
          <w:b/>
          <w:color w:val="1F4D78"/>
        </w:rPr>
        <w:t>每周交付：</w:t>
      </w:r>
      <w:r>
        <w:rPr>
          <w:rFonts w:ascii="Calibri" w:hAnsi="Calibri" w:eastAsia="Microsoft YaHei"/>
          <w:color w:val="111827"/>
        </w:rPr>
        <w:t>一个可运行版本、1—2分钟录屏、本周修改清单、失败样例和下周接口需求。</w:t>
      </w:r>
    </w:p>
    <w:p>
      <w:pPr/>
      <w:r>
        <w:rPr>
          <w:rFonts w:ascii="Calibri" w:hAnsi="Calibri" w:eastAsia="Microsoft YaHei"/>
          <w:b/>
          <w:color w:val="1F4D78"/>
        </w:rPr>
        <w:t>软件与最低技能：</w:t>
      </w:r>
      <w:r>
        <w:rPr>
          <w:rFonts w:ascii="Calibri" w:hAnsi="Calibri" w:eastAsia="Microsoft YaHei"/>
          <w:color w:val="111827"/>
        </w:rPr>
        <w:t>Trae/Codex、国产大模型平台、Python、Streamlit、Git、Office/WPS；会描述需求、运行程序、复制报错、测试修改和保护密钥，不要求完全手写代码。</w:t>
      </w:r>
    </w:p>
    <w:p>
      <w:pPr>
        <w:pStyle w:val="Heading2"/>
        <w:keepNext/>
      </w:pPr>
      <w:r>
        <w:t>14.2 队员A：审计业务逻辑与专业规则</w:t>
      </w:r>
    </w:p>
    <w:p>
      <w:pPr/>
      <w:r>
        <w:rPr>
          <w:rFonts w:ascii="Calibri" w:hAnsi="Calibri" w:eastAsia="Microsoft YaHei"/>
          <w:b/>
          <w:color w:val="1F4D78"/>
        </w:rPr>
        <w:t>主要工作：</w:t>
      </w:r>
      <w:r>
        <w:rPr>
          <w:rFonts w:ascii="Calibri" w:hAnsi="Calibri" w:eastAsia="Microsoft YaHei"/>
          <w:color w:val="111827"/>
        </w:rPr>
        <w:t>画出销售与收款循环；完成8张交叉验证规则卡；为每条规则填写风险机理、报表项目、管理层认定、正常解释、待索取资料和建议审计程序；逐条复核AI措辞和数字。</w:t>
      </w:r>
    </w:p>
    <w:p>
      <w:pPr/>
      <w:r>
        <w:rPr>
          <w:rFonts w:ascii="Calibri" w:hAnsi="Calibri" w:eastAsia="Microsoft YaHei"/>
          <w:b/>
          <w:color w:val="1F4D78"/>
        </w:rPr>
        <w:t>每周交付：</w:t>
      </w:r>
      <w:r>
        <w:rPr>
          <w:rFonts w:ascii="Calibri" w:hAnsi="Calibri" w:eastAsia="Microsoft YaHei"/>
          <w:color w:val="111827"/>
        </w:rPr>
        <w:t>至少1张新增或修订规则卡、5条系统输出专业复核、对应原文页码及修改意见。</w:t>
      </w:r>
    </w:p>
    <w:p>
      <w:pPr/>
      <w:r>
        <w:rPr>
          <w:rFonts w:ascii="Calibri" w:hAnsi="Calibri" w:eastAsia="Microsoft YaHei"/>
          <w:b/>
          <w:color w:val="1F4D78"/>
        </w:rPr>
        <w:t>软件与最低技能：</w:t>
      </w:r>
      <w:r>
        <w:rPr>
          <w:rFonts w:ascii="Calibri" w:hAnsi="Calibri" w:eastAsia="Microsoft YaHei"/>
          <w:color w:val="111827"/>
        </w:rPr>
        <w:t>Excel/WPS、Word/WPS、PDF阅读器和浏览器；能理解收入、应收、存货、现金流和发生/截止/准确性等认定，会查原文和计算基础指标，不要求写代码。</w:t>
      </w:r>
    </w:p>
    <w:p>
      <w:pPr>
        <w:pStyle w:val="Heading2"/>
        <w:keepNext/>
      </w:pPr>
      <w:r>
        <w:t>14.3 队员B：公开数据、行业对比与回测评估</w:t>
      </w:r>
    </w:p>
    <w:p>
      <w:pPr/>
      <w:r>
        <w:rPr>
          <w:rFonts w:ascii="Calibri" w:hAnsi="Calibri" w:eastAsia="Microsoft YaHei"/>
          <w:b/>
          <w:color w:val="1F4D78"/>
        </w:rPr>
        <w:t>主要工作：</w:t>
      </w:r>
      <w:r>
        <w:rPr>
          <w:rFonts w:ascii="Calibri" w:hAnsi="Calibri" w:eastAsia="Microsoft YaHei"/>
          <w:color w:val="111827"/>
        </w:rPr>
        <w:t>整理两家案例三年T0资料；建立财务、业务、同行和行业数据表；维护来源日期和哈希；隔离T1答案；运行B0—B3和财务单维/多维消融测试，统计指标与失败样例。</w:t>
      </w:r>
    </w:p>
    <w:p>
      <w:pPr/>
      <w:r>
        <w:rPr>
          <w:rFonts w:ascii="Calibri" w:hAnsi="Calibri" w:eastAsia="Microsoft YaHei"/>
          <w:b/>
          <w:color w:val="1F4D78"/>
        </w:rPr>
        <w:t>每周交付：</w:t>
      </w:r>
      <w:r>
        <w:rPr>
          <w:rFonts w:ascii="Calibri" w:hAnsi="Calibri" w:eastAsia="Microsoft YaHei"/>
          <w:color w:val="111827"/>
        </w:rPr>
        <w:t>至少一个公司年度资料包或指定数据表、来源台账、T0/T1检查、测试结果和失败记录。</w:t>
      </w:r>
    </w:p>
    <w:p>
      <w:pPr/>
      <w:r>
        <w:rPr>
          <w:rFonts w:ascii="Calibri" w:hAnsi="Calibri" w:eastAsia="Microsoft YaHei"/>
          <w:b/>
          <w:color w:val="1F4D78"/>
        </w:rPr>
        <w:t>软件与最低技能：</w:t>
      </w:r>
      <w:r>
        <w:rPr>
          <w:rFonts w:ascii="Calibri" w:hAnsi="Calibri" w:eastAsia="Microsoft YaHei"/>
          <w:color w:val="111827"/>
        </w:rPr>
        <w:t>Excel/WPS、PDF阅读器、浏览器和压缩工具；会统一单位、做同比和同行比较、整理时间线并按步骤复现测试，不要求开发算法。</w:t>
      </w:r>
    </w:p>
    <w:p>
      <w:pPr>
        <w:pStyle w:val="Heading2"/>
        <w:keepNext/>
      </w:pPr>
      <w:r>
        <w:t>14.4 队员C：专业产品表达、合规与竞赛材料</w:t>
      </w:r>
    </w:p>
    <w:p>
      <w:pPr/>
      <w:r>
        <w:rPr>
          <w:rFonts w:ascii="Calibri" w:hAnsi="Calibri" w:eastAsia="Microsoft YaHei"/>
          <w:b/>
          <w:color w:val="1F4D78"/>
        </w:rPr>
        <w:t>主要工作：</w:t>
      </w:r>
      <w:r>
        <w:rPr>
          <w:rFonts w:ascii="Calibri" w:hAnsi="Calibri" w:eastAsia="Microsoft YaHei"/>
          <w:color w:val="111827"/>
        </w:rPr>
        <w:t>设计8个页面和操作顺序；把界面统一为审计语言；维护数据来源、免责声明和禁用词；组织非项目成员试用；负责计划书、PPT、5分钟视频和断网备用录屏。</w:t>
      </w:r>
    </w:p>
    <w:p>
      <w:pPr/>
      <w:r>
        <w:rPr>
          <w:rFonts w:ascii="Calibri" w:hAnsi="Calibri" w:eastAsia="Microsoft YaHei"/>
          <w:b/>
          <w:color w:val="1F4D78"/>
        </w:rPr>
        <w:t>每周交付：</w:t>
      </w:r>
      <w:r>
        <w:rPr>
          <w:rFonts w:ascii="Calibri" w:hAnsi="Calibri" w:eastAsia="Microsoft YaHei"/>
          <w:color w:val="111827"/>
        </w:rPr>
        <w:t>最新页面草图/截图、合规检查表、计划书或PPT更新、至少3条试用反馈；中期后每周提交1—2分钟试讲或录屏。</w:t>
      </w:r>
    </w:p>
    <w:p>
      <w:pPr/>
      <w:r>
        <w:rPr>
          <w:rFonts w:ascii="Calibri" w:hAnsi="Calibri" w:eastAsia="Microsoft YaHei"/>
          <w:b/>
          <w:color w:val="1F4D78"/>
        </w:rPr>
        <w:t>软件与最低技能：</w:t>
      </w:r>
      <w:r>
        <w:rPr>
          <w:rFonts w:ascii="Calibri" w:hAnsi="Calibri" w:eastAsia="Microsoft YaHei"/>
          <w:color w:val="111827"/>
        </w:rPr>
        <w:t>PowerPoint/WPS、Word/WPS、剪映、浏览器和截图工具；会画简单页面草图、统一排版、录屏剪辑、压缩表达和核对口径，不要求独立编程。</w:t>
      </w:r>
    </w:p>
    <w:p>
      <w:pPr>
        <w:pStyle w:val="Heading2"/>
        <w:keepNext/>
      </w:pPr>
      <w:r>
        <w:t>14.5 责任矩阵</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600"/>
        <w:gridCol w:w="1690"/>
        <w:gridCol w:w="1690"/>
        <w:gridCol w:w="1690"/>
        <w:gridCol w:w="1690"/>
      </w:tblGrid>
      <w:tr>
        <w:trPr>
          <w:cantSplit/>
          <w:tblHeader w:val="true"/>
        </w:trPr>
        <w:tc>
          <w:tcPr>
            <w:tcW w:type="dxa" w:w="26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工作</w:t>
            </w:r>
          </w:p>
        </w:tc>
        <w:tc>
          <w:tcPr>
            <w:tcW w:type="dxa" w:w="169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队长</w:t>
            </w:r>
          </w:p>
        </w:tc>
        <w:tc>
          <w:tcPr>
            <w:tcW w:type="dxa" w:w="169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A</w:t>
            </w:r>
          </w:p>
        </w:tc>
        <w:tc>
          <w:tcPr>
            <w:tcW w:type="dxa" w:w="169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B</w:t>
            </w:r>
          </w:p>
        </w:tc>
        <w:tc>
          <w:tcPr>
            <w:tcW w:type="dxa" w:w="169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C</w:t>
            </w:r>
          </w:p>
        </w:tc>
      </w:tr>
      <w:tr>
        <w:trPr>
          <w:cantSplit/>
        </w:trPr>
        <w:tc>
          <w:tcPr>
            <w:tcW w:type="dxa" w:w="26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用户、阶段与范围冻结</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主责</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会签</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会签</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会签</w:t>
            </w:r>
          </w:p>
        </w:tc>
      </w:tr>
      <w:tr>
        <w:trPr>
          <w:cantSplit/>
        </w:trPr>
        <w:tc>
          <w:tcPr>
            <w:tcW w:type="dxa" w:w="26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销售循环和8张规则卡</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系统实现</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主责</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数据可得性验证</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通俗展示</w:t>
            </w:r>
          </w:p>
        </w:tc>
      </w:tr>
      <w:tr>
        <w:trPr>
          <w:cantSplit/>
        </w:trPr>
        <w:tc>
          <w:tcPr>
            <w:tcW w:type="dxa" w:w="26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公开财务/业务/行业资料</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接入</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专业复核</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主责</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来源呈现</w:t>
            </w:r>
          </w:p>
        </w:tc>
      </w:tr>
      <w:tr>
        <w:trPr>
          <w:cantSplit/>
        </w:trPr>
        <w:tc>
          <w:tcPr>
            <w:tcW w:type="dxa" w:w="26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T0/T1和效果评估</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技术实现</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监管事项映射</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主责</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图表呈现</w:t>
            </w:r>
          </w:p>
        </w:tc>
      </w:tr>
      <w:tr>
        <w:trPr>
          <w:cantSplit/>
        </w:trPr>
        <w:tc>
          <w:tcPr>
            <w:tcW w:type="dxa" w:w="26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AI工作流与Web原型</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主责</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内容复核</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测试</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页面验收</w:t>
            </w:r>
          </w:p>
        </w:tc>
      </w:tr>
      <w:tr>
        <w:trPr>
          <w:cantSplit/>
        </w:trPr>
        <w:tc>
          <w:tcPr>
            <w:tcW w:type="dxa" w:w="26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合规、计划书、PPT和视频</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总审</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专业章节</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评估章节</w:t>
            </w:r>
          </w:p>
        </w:tc>
        <w:tc>
          <w:tcPr>
            <w:tcW w:type="dxa" w:w="169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主责</w:t>
            </w:r>
          </w:p>
        </w:tc>
      </w:tr>
    </w:tbl>
    <w:p>
      <w:pPr>
        <w:spacing w:before="0" w:after="60" w:line="168" w:lineRule="auto"/>
      </w:pPr>
    </w:p>
    <w:p>
      <w:pPr>
        <w:pStyle w:val="Heading1"/>
        <w:keepNext/>
      </w:pPr>
      <w:r>
        <w:t>十五、十周执行计划</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周次</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本周核心目标</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必须完成的团队成果</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W1 7.16—7.20</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定位冻结</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审计师唯一用户、三个使用阶段、正式题目、第一版边界经老师确认</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W2 7.21—7.27</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专业框架与案例可行性</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销售循环图、8张规则卡初稿、候选案例资料完整性表</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W3 7.28—8.3</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公开数据底座</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两家案例三年财务/业务/行业表、来源台账、T0/T1隔离目录</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W4 8.4—8.10</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交叉验证MVP</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一家公司可从资料预检运行到交叉验证矩阵和风险卡草稿</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W5 8.11—8.17</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证据硬门槛</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页码、原文、公式、字段和禁用词校验；缺证据100%不可正式导出</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W6 8.18—8.24</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结构化反证</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质疑—反证—语义复核一轮闭环；可保留、降级或暂缓</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W7 8.25—8.31</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完整MVP</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两个案例跑通；生成资料索取清单；可选补充资料只更新对应卡片</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W8 9.1—9.7</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隔离回测与消融</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B0—B3、财务单维/多维对比、T1零泄漏和初步指标表</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W9 9.8—9.14</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稳定性与材料初稿</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20次回归测试、3人可用性测试、计划书/PPT/视频脚本初稿</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W10 9.15—9.20</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成果冻结</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可运行版、10—15页方案书、5分钟视频、PPT和备用录屏</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缓冲 9.21—9.25</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只修严重错误</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最终来源抽查、回归测试、格式和提交清单，不增加新功能</w:t>
            </w:r>
          </w:p>
        </w:tc>
      </w:tr>
    </w:tbl>
    <w:p>
      <w:pPr>
        <w:spacing w:before="0" w:after="60" w:line="168" w:lineRule="auto"/>
      </w:pPr>
    </w:p>
    <w:p>
      <w:pPr/>
      <w:r>
        <w:rPr>
          <w:rFonts w:ascii="Calibri" w:hAnsi="Calibri" w:eastAsia="Microsoft YaHei"/>
          <w:color w:val="111827"/>
        </w:rPr>
        <w:t>团队继续执行“周一发布任务、周三报进度、周六交正式成果、周日队长验收”的制度。任何交付都必须包含可修改源文件、来源与页码、人工核对说明和未解决问题，只有截图或只有AI生成文字一律退回。</w:t>
      </w:r>
    </w:p>
    <w:p>
      <w:pPr>
        <w:pStyle w:val="Heading1"/>
        <w:keepNext/>
      </w:pPr>
      <w:r>
        <w:t>十六、5分钟演示主线</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300"/>
        <w:gridCol w:w="3100"/>
        <w:gridCol w:w="4960"/>
      </w:tblGrid>
      <w:tr>
        <w:trPr>
          <w:cantSplit/>
          <w:tblHeader w:val="true"/>
        </w:trPr>
        <w:tc>
          <w:tcPr>
            <w:tcW w:type="dxa" w:w="13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时间</w:t>
            </w:r>
          </w:p>
        </w:tc>
        <w:tc>
          <w:tcPr>
            <w:tcW w:type="dxa" w:w="31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演示内容</w:t>
            </w:r>
          </w:p>
        </w:tc>
        <w:tc>
          <w:tcPr>
            <w:tcW w:type="dxa" w:w="49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主要评分点</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0:00—0:30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说明审计师在承接或计划阶段面对分散公开资料的痛点，以及系统不替代审计的边界</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场景、伦理</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0:30—1:00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选择案例A和T0，展示资料清单及T1答案被锁定</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可行性、评估</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1:00—1:45</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展示一条“产销量—收入—行业趋势”或“应收—收入—现金流”的跨维度矛盾</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专业深度</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1:45—2:30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质疑提出风险，反证主动寻找正常解释，语义复核作保留或降级</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技术创新</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2:30—3:00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故意展示缺页码或缺正常解释的线索被硬门槛拦截</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可靠性、伦理</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3:00—3:45</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展开完整风险卡：业务节点、认定、证据缺口、待索取资料和建议程序</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落地价值</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3:45—4:30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解锁T1并与后续监管事项对照，同时展示财务单维与多维方案差异</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效果评估</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4:30—5:00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展示导出的预审风险备忘录、团队贡献和未来扩展</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文档展示</w:t>
            </w:r>
          </w:p>
        </w:tc>
      </w:tr>
    </w:tbl>
    <w:p>
      <w:pPr>
        <w:spacing w:before="0" w:after="60" w:line="168" w:lineRule="auto"/>
      </w:pPr>
    </w:p>
    <w:p>
      <w:pPr/>
      <w:r>
        <w:rPr>
          <w:rFonts w:ascii="Calibri" w:hAnsi="Calibri" w:eastAsia="Microsoft YaHei"/>
          <w:color w:val="111827"/>
        </w:rPr>
        <w:t>现场只演示一条最完整的风险链，第二个案例用于评估结果和答辩备用。建议开场表述：</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作为审计师，在承接新客户或制定计划前，最难的往往不是把数字算出来，而是从分散的公开资料中发现业务逻辑上哪里不一致。审迹智链把财务、业务和行业信息自动交叉验证，并把每个疑点转成有证据、有反证、有待索取资料的预审任务。”</w:t>
      </w:r>
    </w:p>
    <w:p>
      <w:pPr>
        <w:pStyle w:val="Heading1"/>
        <w:keepNext/>
      </w:pPr>
      <w:r>
        <w:t>十七、需要指导老师确认的事项</w:t>
      </w:r>
    </w:p>
    <w:p>
      <w:pPr>
        <w:spacing w:before="0" w:after="80" w:line="300" w:lineRule="auto"/>
        <w:numPr>
          <w:ilvl w:val="0"/>
          <w:numId w:val="15"/>
        </w:numPr>
      </w:pPr>
      <w:r>
        <w:rPr>
          <w:rFonts w:ascii="Calibri" w:hAnsi="Calibri" w:eastAsia="Microsoft YaHei"/>
        </w:rPr>
      </w:r>
      <w:r>
        <w:rPr>
          <w:rFonts w:ascii="Calibri" w:hAnsi="Calibri" w:eastAsia="Microsoft YaHei"/>
          <w:color w:val="111827"/>
        </w:rPr>
        <w:t>是否认可将会计师事务所审计项目组设为唯一核心用户，限定业务承接、续约和审计计划阶段；</w:t>
      </w:r>
    </w:p>
    <w:p>
      <w:pPr>
        <w:spacing w:before="0" w:after="80" w:line="300" w:lineRule="auto"/>
        <w:numPr>
          <w:ilvl w:val="0"/>
          <w:numId w:val="15"/>
        </w:numPr>
      </w:pPr>
      <w:r>
        <w:rPr>
          <w:rFonts w:ascii="Calibri" w:hAnsi="Calibri" w:eastAsia="Microsoft YaHei"/>
        </w:rPr>
      </w:r>
      <w:r>
        <w:rPr>
          <w:rFonts w:ascii="Calibri" w:hAnsi="Calibri" w:eastAsia="Microsoft YaHei"/>
          <w:color w:val="111827"/>
        </w:rPr>
        <w:t>是否认可第一版以公开资料构成完整流程，内部资料只作为按证据缺口上传的可选补充；</w:t>
      </w:r>
    </w:p>
    <w:p>
      <w:pPr>
        <w:spacing w:before="0" w:after="80" w:line="300" w:lineRule="auto"/>
        <w:numPr>
          <w:ilvl w:val="0"/>
          <w:numId w:val="15"/>
        </w:numPr>
      </w:pPr>
      <w:r>
        <w:rPr>
          <w:rFonts w:ascii="Calibri" w:hAnsi="Calibri" w:eastAsia="Microsoft YaHei"/>
        </w:rPr>
      </w:r>
      <w:r>
        <w:rPr>
          <w:rFonts w:ascii="Calibri" w:hAnsi="Calibri" w:eastAsia="Microsoft YaHei"/>
          <w:color w:val="111827"/>
        </w:rPr>
        <w:t>销售与收款循环及8条交叉验证规则是否达到审计专业深度，是否需要删减或替换；</w:t>
      </w:r>
    </w:p>
    <w:p>
      <w:pPr>
        <w:spacing w:before="0" w:after="80" w:line="300" w:lineRule="auto"/>
        <w:numPr>
          <w:ilvl w:val="0"/>
          <w:numId w:val="15"/>
        </w:numPr>
      </w:pPr>
      <w:r>
        <w:rPr>
          <w:rFonts w:ascii="Calibri" w:hAnsi="Calibri" w:eastAsia="Microsoft YaHei"/>
        </w:rPr>
      </w:r>
      <w:r>
        <w:rPr>
          <w:rFonts w:ascii="Calibri" w:hAnsi="Calibri" w:eastAsia="Microsoft YaHei"/>
          <w:color w:val="111827"/>
        </w:rPr>
        <w:t>是否认可正式输出为“预审风险备忘录＋Top 5待核查事项＋待索取资料清单”，不作舞弊认定；</w:t>
      </w:r>
    </w:p>
    <w:p>
      <w:pPr>
        <w:spacing w:before="0" w:after="80" w:line="300" w:lineRule="auto"/>
        <w:numPr>
          <w:ilvl w:val="0"/>
          <w:numId w:val="15"/>
        </w:numPr>
      </w:pPr>
      <w:r>
        <w:rPr>
          <w:rFonts w:ascii="Calibri" w:hAnsi="Calibri" w:eastAsia="Microsoft YaHei"/>
        </w:rPr>
      </w:r>
      <w:r>
        <w:rPr>
          <w:rFonts w:ascii="Calibri" w:hAnsi="Calibri" w:eastAsia="Microsoft YaHei"/>
          <w:color w:val="111827"/>
        </w:rPr>
        <w:t>是否认可用T0/T1隔离回测和财务单维/多维消融，替代不可靠的泛化“舞弊识别准确率”。</w:t>
      </w:r>
    </w:p>
    <w:p>
      <w:pPr>
        <w:pStyle w:val="Heading1"/>
        <w:keepNext/>
      </w:pPr>
      <w:r>
        <w:t>参考依据</w:t>
      </w:r>
    </w:p>
    <w:p>
      <w:pPr>
        <w:spacing w:before="0" w:after="80" w:line="300" w:lineRule="auto"/>
        <w:numPr>
          <w:ilvl w:val="0"/>
          <w:numId w:val="16"/>
        </w:numPr>
      </w:pPr>
      <w:r>
        <w:rPr>
          <w:rFonts w:ascii="Calibri" w:hAnsi="Calibri" w:eastAsia="Microsoft YaHei"/>
        </w:rPr>
      </w:r>
      <w:r>
        <w:rPr>
          <w:rFonts w:ascii="Calibri" w:hAnsi="Calibri" w:eastAsia="Microsoft YaHei"/>
          <w:color w:val="1F4D78"/>
        </w:rPr>
        <w:t>《附件1 北京市大学生数智会计创新应用竞赛手册》</w:t>
      </w:r>
    </w:p>
    <w:p>
      <w:pPr>
        <w:spacing w:before="0" w:after="80" w:line="300" w:lineRule="auto"/>
        <w:numPr>
          <w:ilvl w:val="0"/>
          <w:numId w:val="16"/>
        </w:numPr>
      </w:pPr>
      <w:r>
        <w:rPr>
          <w:rFonts w:ascii="Calibri" w:hAnsi="Calibri" w:eastAsia="Microsoft YaHei"/>
        </w:rPr>
      </w:r>
      <w:r>
        <w:rPr>
          <w:rFonts w:ascii="Calibri" w:hAnsi="Calibri" w:eastAsia="Microsoft YaHei"/>
          <w:color w:val="111827"/>
        </w:rPr>
        <w:t>中国注册会计师审计准则第1201号《计划审计工作》</w:t>
      </w:r>
    </w:p>
    <w:p>
      <w:pPr>
        <w:spacing w:before="0" w:after="80" w:line="300" w:lineRule="auto"/>
        <w:numPr>
          <w:ilvl w:val="0"/>
          <w:numId w:val="16"/>
        </w:numPr>
      </w:pPr>
      <w:r>
        <w:rPr>
          <w:rFonts w:ascii="Calibri" w:hAnsi="Calibri" w:eastAsia="Microsoft YaHei"/>
        </w:rPr>
      </w:r>
      <w:r>
        <w:rPr>
          <w:rFonts w:ascii="Calibri" w:hAnsi="Calibri" w:eastAsia="Microsoft YaHei"/>
          <w:color w:val="111827"/>
        </w:rPr>
        <w:t>中国注册会计师审计准则第1211号《重大错报风险的识别和评估》</w:t>
      </w:r>
    </w:p>
    <w:p>
      <w:pPr>
        <w:spacing w:before="0" w:after="80" w:line="300" w:lineRule="auto"/>
        <w:numPr>
          <w:ilvl w:val="0"/>
          <w:numId w:val="16"/>
        </w:numPr>
      </w:pPr>
      <w:r>
        <w:rPr>
          <w:rFonts w:ascii="Calibri" w:hAnsi="Calibri" w:eastAsia="Microsoft YaHei"/>
        </w:rPr>
      </w:r>
      <w:r>
        <w:rPr>
          <w:rFonts w:ascii="Calibri" w:hAnsi="Calibri" w:eastAsia="Microsoft YaHei"/>
          <w:color w:val="111827"/>
        </w:rPr>
        <w:t>中国注册会计师协会《运用信息技术识别与应对舞弊风险相关问题解答》</w:t>
      </w:r>
    </w:p>
    <w:p>
      <w:pPr>
        <w:spacing w:before="0" w:after="80" w:line="300" w:lineRule="auto"/>
        <w:numPr>
          <w:ilvl w:val="0"/>
          <w:numId w:val="16"/>
        </w:numPr>
      </w:pPr>
      <w:r>
        <w:rPr>
          <w:rFonts w:ascii="Calibri" w:hAnsi="Calibri" w:eastAsia="Microsoft YaHei"/>
        </w:rPr>
      </w:r>
      <w:r>
        <w:rPr>
          <w:rFonts w:ascii="Calibri" w:hAnsi="Calibri" w:eastAsia="Microsoft YaHei"/>
          <w:color w:val="111827"/>
        </w:rPr>
        <w:t>上市公司公开年报、交易所问询函及监管处罚决定等历史案例资料</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olor w:val="667085"/>
        <w:sz w:val="17"/>
      </w:rPr>
      <w:t xml:space="preserve">详细项目计划书 V2.0  |  </w:t>
    </w:r>
    <w:r>
      <w:rPr>
        <w:rFonts w:ascii="Calibri" w:hAnsi="Calibri" w:eastAsia="Microsoft YaHei"/>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7085"/>
        <w:sz w:val="17"/>
      </w:rPr>
      <w:t>详细项目计划书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审迹智链 | 审计师定位修订版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pPr>
      <w:rPr>
        <w:rFonts w:ascii="Calibri" w:hAnsi="Calibri" w:eastAsia="Microsoft YaHei"/>
      </w:rPr>
    </w:lvl>
  </w:abstractNum>
  <w:abstractNum w:abstractNumId="10">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1">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2">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3">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4">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5">
    <w:multiLevelType w:val="singleLevel"/>
    <w:lvl w:ilvl="0">
      <w:start w:val="1"/>
      <w:numFmt w:val="decimal"/>
      <w:lvlText w:val="%1."/>
      <w:lvlJc w:val="left"/>
      <w:pPr>
        <w:tabs>
          <w:tab w:val="num" w:pos="540"/>
        </w:tabs>
        <w:ind w:left="540" w:hanging="271"/>
      </w:pPr>
      <w:rPr>
        <w:rFonts w:ascii="Calibri" w:hAnsi="Calibri" w:eastAsia="Microsoft YaHe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eastAsia="Microsoft YaHe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before="0" w:after="80" w:line="276" w:lineRule="auto"/>
    </w:pPr>
    <w:rPr>
      <w:rFonts w:ascii="Calibri" w:hAnsi="Calibri" w:eastAsia="Microsoft YaHei"/>
      <w:b w:val="0"/>
      <w:color w:val="667085"/>
      <w:sz w:val="18"/>
    </w:rPr>
  </w:style>
  <w:style w:type="paragraph" w:customStyle="1" w:styleId="TableText">
    <w:name w:val="Table Text"/>
    <w:pPr>
      <w:spacing w:before="0" w:after="0" w:line="269" w:lineRule="auto"/>
    </w:pPr>
    <w:rPr>
      <w:rFonts w:ascii="Calibri" w:hAnsi="Calibri" w:eastAsia="Microsoft YaHei"/>
      <w:b w:val="0"/>
      <w:color w:val="111827"/>
      <w:sz w:val="18"/>
    </w:rPr>
  </w:style>
  <w:style w:type="paragraph" w:customStyle="1" w:styleId="Metadata">
    <w:name w:val="Metadata"/>
    <w:pPr>
      <w:spacing w:before="0" w:after="40" w:line="264" w:lineRule="auto"/>
    </w:pPr>
    <w:rPr>
      <w:rFonts w:ascii="Calibri" w:hAnsi="Calibri" w:eastAsia="Microsoft YaHei"/>
      <w:b w:val="0"/>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审迹智链详细项目计划书（审计师定位修订版）</dc:title>
  <dc:subject>面向审计业务承接、续约和计划阶段的收入确认重大错报风险预筛查方案</dc:subject>
  <dc:creator>审迹智链参赛团队</dc:creator>
  <cp:keywords>数智会计, 审计计划, 业务承接, 收入确认, 交叉验证, 反证挑战, AuditTrace</cp:keywords>
  <dc:description>2026年北京市大学生数智会计创新应用竞赛准备材料</dc:description>
  <cp:lastModifiedBy/>
  <cp:revision>1</cp:revision>
  <dcterms:created xsi:type="dcterms:W3CDTF">2013-12-23T23:15:00Z</dcterms:created>
  <dcterms:modified xsi:type="dcterms:W3CDTF">2013-12-23T23:15:00Z</dcterms:modified>
  <cp:category/>
</cp:coreProperties>
</file>