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after="280" w:before="0" w:line="240" w:lineRule="auto"/>
        <w:jc w:val="center"/>
      </w:pPr>
      <w:r>
        <w:rPr>
          <w:rFonts w:ascii="Calibri" w:hAnsi="Calibri" w:eastAsia="Microsoft YaHei"/>
          <w:b w:val="0"/>
          <w:color w:val="2E74B5"/>
          <w:sz w:val="22"/>
        </w:rPr>
        <w:t>北京市大学生数智会计创新应用竞赛</w:t>
      </w:r>
    </w:p>
    <w:p>
      <w:pPr>
        <w:spacing w:after="240" w:before="0" w:line="276" w:lineRule="auto"/>
        <w:jc w:val="center"/>
      </w:pPr>
      <w:r>
        <w:rPr>
          <w:rFonts w:ascii="Calibri" w:hAnsi="Calibri" w:eastAsia="Microsoft YaHei"/>
          <w:b/>
          <w:color w:val="0B2545"/>
          <w:sz w:val="48"/>
        </w:rPr>
        <w:t>审迹智链（AuditTrace）项目方案书 V3</w:t>
      </w:r>
    </w:p>
    <w:p>
      <w:pPr>
        <w:spacing w:after="680" w:before="0" w:line="288" w:lineRule="auto"/>
        <w:jc w:val="center"/>
      </w:pPr>
      <w:r>
        <w:rPr>
          <w:rFonts w:ascii="Calibri" w:hAnsi="Calibri" w:eastAsia="Microsoft YaHei"/>
          <w:b w:val="0"/>
          <w:color w:val="475467"/>
          <w:sz w:val="26"/>
        </w:rPr>
        <w:t>面向审计前置阶段的证据约束型收入风险预筛查多智能体</w:t>
      </w:r>
    </w:p>
    <w:p>
      <w:pPr>
        <w:spacing w:after="100" w:before="0" w:line="264" w:lineRule="auto"/>
        <w:jc w:val="center"/>
      </w:pPr>
      <w:r>
        <w:rPr>
          <w:rFonts w:ascii="Calibri" w:hAnsi="Calibri" w:eastAsia="Microsoft YaHei"/>
          <w:b/>
          <w:color w:val="475467"/>
          <w:sz w:val="21"/>
        </w:rPr>
        <w:t>题目：</w:t>
      </w:r>
      <w:r>
        <w:rPr>
          <w:rFonts w:ascii="Calibri" w:hAnsi="Calibri" w:eastAsia="Microsoft YaHei"/>
          <w:b w:val="0"/>
          <w:color w:val="475467"/>
          <w:sz w:val="21"/>
        </w:rPr>
        <w:t>审迹智链（AuditTrace）——面向审计前置阶段的证据约束型收入风险预筛查多智能体</w:t>
      </w:r>
    </w:p>
    <w:p>
      <w:pPr>
        <w:spacing w:after="100" w:before="0" w:line="264" w:lineRule="auto"/>
        <w:jc w:val="center"/>
      </w:pPr>
      <w:r>
        <w:rPr>
          <w:rFonts w:ascii="Calibri" w:hAnsi="Calibri" w:eastAsia="Microsoft YaHei"/>
          <w:b/>
          <w:color w:val="475467"/>
          <w:sz w:val="21"/>
        </w:rPr>
        <w:t>竞赛：</w:t>
      </w:r>
      <w:r>
        <w:rPr>
          <w:rFonts w:ascii="Calibri" w:hAnsi="Calibri" w:eastAsia="Microsoft YaHei"/>
          <w:b w:val="0"/>
          <w:color w:val="475467"/>
          <w:sz w:val="21"/>
        </w:rPr>
        <w:t>北京市大学生数智会计创新应用竞赛</w:t>
      </w:r>
    </w:p>
    <w:p>
      <w:pPr>
        <w:spacing w:after="100" w:before="0" w:line="264" w:lineRule="auto"/>
        <w:jc w:val="center"/>
      </w:pPr>
      <w:r>
        <w:rPr>
          <w:rFonts w:ascii="Calibri" w:hAnsi="Calibri" w:eastAsia="Microsoft YaHei"/>
          <w:b/>
          <w:color w:val="475467"/>
          <w:sz w:val="21"/>
        </w:rPr>
        <w:t>版本：</w:t>
      </w:r>
      <w:r>
        <w:rPr>
          <w:rFonts w:ascii="Calibri" w:hAnsi="Calibri" w:eastAsia="Microsoft YaHei"/>
          <w:b w:val="0"/>
          <w:color w:val="475467"/>
          <w:sz w:val="21"/>
        </w:rPr>
        <w:t>V3.0·全面复盘修订版</w:t>
      </w:r>
    </w:p>
    <w:p>
      <w:pPr>
        <w:spacing w:after="100" w:before="0" w:line="264" w:lineRule="auto"/>
        <w:jc w:val="center"/>
      </w:pPr>
      <w:r>
        <w:rPr>
          <w:rFonts w:ascii="Calibri" w:hAnsi="Calibri" w:eastAsia="Microsoft YaHei"/>
          <w:b/>
          <w:color w:val="475467"/>
          <w:sz w:val="21"/>
        </w:rPr>
        <w:t>日期：</w:t>
      </w:r>
      <w:r>
        <w:rPr>
          <w:rFonts w:ascii="Calibri" w:hAnsi="Calibri" w:eastAsia="Microsoft YaHei"/>
          <w:b w:val="0"/>
          <w:color w:val="475467"/>
          <w:sz w:val="21"/>
        </w:rPr>
        <w:t>2026 年 7 月 24 日</w:t>
      </w:r>
    </w:p>
    <w:p>
      <w:pPr>
        <w:spacing w:after="100" w:before="0" w:line="264" w:lineRule="auto"/>
        <w:jc w:val="center"/>
      </w:pPr>
      <w:r>
        <w:rPr>
          <w:rFonts w:ascii="Calibri" w:hAnsi="Calibri" w:eastAsia="Microsoft YaHei"/>
          <w:b/>
          <w:color w:val="475467"/>
          <w:sz w:val="21"/>
        </w:rPr>
        <w:t>使用方式：</w:t>
      </w:r>
      <w:r>
        <w:rPr>
          <w:rFonts w:ascii="Calibri" w:hAnsi="Calibri" w:eastAsia="Microsoft YaHei"/>
          <w:b w:val="0"/>
          <w:color w:val="475467"/>
          <w:sz w:val="21"/>
        </w:rPr>
        <w:t>本文是面向评委、视频和答辩的方案主稿；V2.4.4保留为团队内部工程执行底稿。</w:t>
      </w:r>
    </w:p>
    <w:p>
      <w:pPr>
        <w:spacing w:after="100" w:before="0" w:line="264" w:lineRule="auto"/>
        <w:jc w:val="center"/>
      </w:pPr>
      <w:r>
        <w:rPr>
          <w:rFonts w:ascii="Calibri" w:hAnsi="Calibri" w:eastAsia="Microsoft YaHei"/>
          <w:b/>
          <w:color w:val="475467"/>
          <w:sz w:val="21"/>
        </w:rPr>
        <w:t>项目边界：</w:t>
      </w:r>
      <w:r>
        <w:rPr>
          <w:rFonts w:ascii="Calibri" w:hAnsi="Calibri" w:eastAsia="Microsoft YaHei"/>
          <w:b w:val="0"/>
          <w:color w:val="475467"/>
          <w:sz w:val="21"/>
        </w:rPr>
        <w:t>系统输出待核查线索、正常解释、资料缺口和待索取资料；不认定舞弊、不出具审计意见、不提供投资建议。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一、项目概述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1.1 要解决的真实问题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会计师事务所在新客户承接、续聘复核和审计计划阶段，通常需要在时间有限、公开资料分散的情况下，先判断收入及销售收款循环中哪些事项值得投入进一步程序。年报中的收入、应收、现金流、客户和管理层表述可以提供线索，但这些数字、文本和来源页面分散在不同章节；传统人工预检效率低，而通用大模型又容易跳过来源、补写事实或把线索说成结论。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审迹智链面向审计项目组，将公开披露资料整理为可回查字段和页级片段，先由程序完成计算与来源校验，再让固定分工的智能体提出、反证和复核线索。每一项输出都保留“为什么值得问、有哪些正常解释、还缺哪些资料、原始出处在哪里”。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1.2 一句话定位</w:t>
      </w:r>
    </w:p>
    <w:p>
      <w:pPr>
        <w:spacing w:after="120" w:before="0" w:line="300" w:lineRule="auto"/>
      </w:pPr>
      <w:r>
        <w:rPr>
          <w:rFonts w:ascii="Calibri" w:hAnsi="Calibri" w:eastAsia="Microsoft YaHei"/>
          <w:b/>
          <w:sz w:val="21"/>
        </w:rPr>
        <w:t>审迹智链帮助审计项目组在承接、续聘和计划阶段，从公开资料中形成可回查的收入风险预筛线索与资料索取清单。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1.3 目标用户、场景和输出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2000"/>
        <w:gridCol w:w="2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使用者的核心问题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系统输出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人工必须决定的事项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新客户承接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是否存在需要进一步了解的收入、回款或披露异常线索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待核查事项、公开资料缺口、待索取资料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是否承接、是否追加尽调程序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续聘复核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相较上一期是否出现值得重新评估的变化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期间变化、正常解释、拟补充资料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是否续聘及风险应对策略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审计计划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销售与收款循环应优先关注哪些认定和资料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风险卡草稿、认定映射、建议程序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重要性、风险评估和审计方案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取得补充资料后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原待索取资料是否足以缩小或澄清线索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绑定风险卡的续分析草稿、更新后的缺口与待索取清单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授权/脱敏、是否保留线索、后续程序</w:t>
            </w:r>
          </w:p>
        </w:tc>
      </w:tr>
    </w:tbl>
    <w:p>
      <w:pPr>
        <w:spacing w:after="20"/>
      </w:pP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系统不替代函证、检查、访谈、穿行测试或职业判断。公开资料只用于前置筛查；任何内部资料都须经授权、脱敏和人工关联后才能进入续分析。</w:t>
      </w:r>
    </w:p>
    <w:p>
      <w:pPr>
        <w:spacing w:after="120" w:before="0" w:line="300" w:lineRule="auto"/>
      </w:pPr>
      <w:r>
        <w:rPr>
          <w:rFonts w:ascii="Calibri" w:hAnsi="Calibri" w:eastAsia="Microsoft YaHei"/>
          <w:b/>
          <w:sz w:val="21"/>
        </w:rPr>
        <w:t>团队确认（2026-07-24）：补充资料续分析窗口为正式交付目标，不再作为“可不做”的可选砍项。</w:t>
      </w:r>
      <w:r>
        <w:rPr>
          <w:rFonts w:ascii="Calibri" w:hAnsi="Calibri" w:eastAsia="Microsoft YaHei"/>
          <w:b w:val="0"/>
          <w:sz w:val="21"/>
        </w:rPr>
        <w:t>在公开资料主链（R1/R2、来源闸门、三Agent与硬校验）通过后按期实现；在实现前，页面与材料必须标注“尚未接入”，不得用静态示意冒充可上传续跑。</w:t>
      </w: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二、专业基础与规则设计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2.1 准则依据与系统对应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本项目不是把会计准则改写成一组“舞弊分数”。规则只负责筛出值得进一步了解的线索，并映射到审计风险评估、相关认定和后续资料。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330"/>
        <w:gridCol w:w="351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准则或依据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在审迹智链中的对应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《中国注册会计师审计准则第1211号——重大错报风险的识别和评估》第1、6—9、17条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识别和评估财务报表层次及认定层次的重大错报风险；相关认定、风险评估程序和后续应对相衔接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规则卡以交易、账户余额和披露为入口，输出相关认定、资料缺口和建议进一步程序，而不替代风险评估结论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第1211号第10—12条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固有风险因素包括复杂性、主观性、变化和不确定性；特别风险由注册会计师判断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把跨期波动、现金流背离、业务模式变化等作为“需解释因素”，不自动标为特别风险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《企业会计准则第14号——收入》第4条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在履行履约义务、客户取得商品控制权时确认收入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R5、R7关注收入政策、控制权证据与披露表述是否需要补充核验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《企业会计准则第14号——收入》第11—13条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区分时段与时点履约；判断控制权转移的迹象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对工程、发货验收、期末交易等场景索取合同、验收、控制权转移和期后结算资料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《企业会计准则第14号——收入》第34条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按转让前是否控制商品判断主要责任人与代理人，决定总额或净额确认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R5把控制权、主要责任、存货风险和定价权列为核查问题，而非直接根据收入规模下结论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2.2 销售与收款循环的规则库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2460"/>
        <w:gridCol w:w="15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规则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待识别线索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关联认定/判断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需要的资料或后续动作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当前状态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R1 应收—收入背离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应收账款增速相对收入偏高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存在、计价、截止、收入真实性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账龄、期后回款、合同结算、客户明细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当前工程版可运行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R2 收入—经营现金流背离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收入与经营现金流/收现质量需解释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收入确认、计价、商业合理性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销售收现、OCF、净利润、营运资本构成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专业规则 v0.2 已提交审查；当前工程仍为方向比较版，待对齐实现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R3 产销量—收入不匹配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产能、产量、销量与收入趋势需解释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发生、完整性、截止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产销报表、发运、验收、业务统计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候选规则，待资料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R4 客户集中度与交易特征变化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客户集中度或交易对手特征突变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存在、关联方、披露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前五大客户、合同、公开登记信息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候选规则，待资料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R5 总额法/净额法依据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控制权判断与业务模式不一致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分类、列报、收入计量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合同、履约责任、定价权、存货风险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候选规则，待资料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R6 毛利率逆行业变化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产品结构可比时毛利与行业显著背离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计价、披露、商业合理性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产品结构、成本、同行口径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候选规则，待资料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R7 管理层表述与数字不一致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年报叙述与数据趋势相互矛盾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披露、完整性、一致性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管理层讨论、公告、业务说明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候选规则，待RAG语义检索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R8 期末交易与期后回款线索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期末确认与后续结算需解释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截止、发生、计价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发货、验收、回款、退货资料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候选规则，待内部/公开资料</w:t>
            </w:r>
          </w:p>
        </w:tc>
      </w:tr>
    </w:tbl>
    <w:p>
      <w:pPr>
        <w:spacing w:after="20"/>
      </w:pPr>
    </w:p>
    <w:p>
      <w:pPr>
        <w:spacing w:after="120" w:before="0" w:line="300" w:lineRule="auto"/>
      </w:pPr>
      <w:r>
        <w:rPr>
          <w:rFonts w:ascii="Calibri" w:hAnsi="Calibri" w:eastAsia="Microsoft YaHei"/>
          <w:b/>
          <w:sz w:val="21"/>
        </w:rPr>
        <w:t>规则状态说明：</w:t>
      </w:r>
      <w:r>
        <w:rPr>
          <w:rFonts w:ascii="Calibri" w:hAnsi="Calibri" w:eastAsia="Microsoft YaHei"/>
          <w:b w:val="0"/>
          <w:sz w:val="21"/>
        </w:rPr>
        <w:t>R1 为当前开发样例可运行工程版。R2 已收到专业规则说明 v0.2（见 04_第二周任务与成果/R2 收入现金质量核查规则 v2(1).docx），但后端与网页仍按“收入正增长下的方向比较”工程版运行，</w:t>
      </w:r>
      <w:r>
        <w:rPr>
          <w:rFonts w:ascii="Calibri" w:hAnsi="Calibri" w:eastAsia="Microsoft YaHei"/>
          <w:b/>
          <w:sz w:val="21"/>
        </w:rPr>
        <w:t>不得把 v0.2 全文写成已上线</w:t>
      </w:r>
      <w:r>
        <w:rPr>
          <w:rFonts w:ascii="Calibri" w:hAnsi="Calibri" w:eastAsia="Microsoft YaHei"/>
          <w:b w:val="0"/>
          <w:sz w:val="21"/>
        </w:rPr>
        <w:t>。R3—R8 在资料、口径和专业复核未完成前，只作为规则库展示，不生成风险卡。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2.3 R2 的可比性保护与 v0.2 对齐方向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经营现金流为零、绝对值很小或跨期由正转负时，单纯同比百分比会产生数千个百分点的视觉失真。结合标准股份开发样例与 R2 规则 v0.2，R2 的实现与展示遵守：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 w:val="0"/>
          <w:sz w:val="21"/>
        </w:rPr>
        <w:t>上年经营现金流为零、低于可比基数（v0.2 默认：上年 OCF 绝对值不足上年收入的 3%）、或本年与上年符号相反时，不显示“现金流增速”和“增速差额”；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 w:val="0"/>
          <w:sz w:val="21"/>
        </w:rPr>
        <w:t>改为显示经营现金流金额变动、经营现金流/收入、净利润现金含量（净利润为正时）或方向组合描述，并标记“同比不宜比较，需人工解释”；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 w:val="0"/>
          <w:sz w:val="21"/>
        </w:rPr>
        <w:t>趋势背离仅在可比前提下计算；v0.2 默认差值阈值为 20 个百分点，是否采用及行业适配由专业成员确认后写入版本参数；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 w:val="0"/>
          <w:sz w:val="21"/>
        </w:rPr>
        <w:t>销售收现率、净利润现金含量等 v0.2 新增主指标，须在字段入台账、可回指且通过复算后，才进入触发与风险卡；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 w:val="0"/>
          <w:sz w:val="21"/>
        </w:rPr>
        <w:t>阈值、基数标准与正常解释由审计专业成员确认并版本化保存；正常解释不得自动关闭线索。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这项保护来自对标准股份开发样例的核查：2024年经营现金流仅为正157.05万元，2025年变为负3,228.04万元。原始年报数据无误，但直接计算同比会产生不适于审计表达的−2,155.38%。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2.4 补充资料续分析窗口（已确认交付）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取得待索取或内部补充资料后，审计师通过</w:t>
      </w:r>
      <w:r>
        <w:rPr>
          <w:rFonts w:ascii="Calibri" w:hAnsi="Calibri" w:eastAsia="Microsoft YaHei"/>
          <w:b/>
          <w:sz w:val="21"/>
        </w:rPr>
        <w:t>补充资料续分析窗口</w:t>
      </w:r>
      <w:r>
        <w:rPr>
          <w:rFonts w:ascii="Calibri" w:hAnsi="Calibri" w:eastAsia="Microsoft YaHei"/>
          <w:b w:val="0"/>
          <w:sz w:val="21"/>
        </w:rPr>
        <w:t>把资料发回系统、绑定既有风险卡后继续分析。该能力已确认为竞赛交付目标，最低交互如下：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要点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口径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入口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风险卡草稿、资料缺口/待索取资料页的“取得补充资料后继续分析”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用户动作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选择关联风险卡 → 选择资料类型 → 模板上传或结构化粘贴 → 确认授权与脱敏 → 提交继续分析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系统动作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预检公司/期间/单位/字段/授权 → 写入 evidence 与来源台账 →</w:t>
            </w:r>
            <w:r>
              <w:rPr>
                <w:rFonts w:ascii="Calibri" w:hAnsi="Calibri" w:eastAsia="Microsoft YaHei"/>
                <w:b/>
                <w:sz w:val="17"/>
              </w:rPr>
              <w:t>仅局部重跑绑定卡</w:t>
            </w:r>
            <w:r>
              <w:rPr>
                <w:rFonts w:ascii="Calibri" w:hAnsi="Calibri" w:eastAsia="Microsoft YaHei"/>
                <w:b w:val="0"/>
                <w:sz w:val="17"/>
              </w:rPr>
              <w:t>的质疑—反证—复核—硬校验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明确不做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开放式闲聊；未绑定风险卡的自由问答；因上传资料自动认定舞弊或绕过人工确认直接导出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/>
                <w:sz w:val="17"/>
              </w:rPr>
              <w:t>已确认要做，工程尚未接入</w:t>
            </w:r>
            <w:r>
              <w:rPr>
                <w:rFonts w:ascii="Calibri" w:hAnsi="Calibri" w:eastAsia="Microsoft YaHei"/>
                <w:b w:val="0"/>
                <w:sz w:val="17"/>
              </w:rPr>
              <w:t>；主链稳定前可先交付线框与文案，但不得标为已运行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三、总体方案与多智能体架构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3.1 端到端工作流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20" w:before="0" w:line="259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公开年报 / 已授权补充资料</w:t>
              <w:br/>
              <w:t xml:space="preserve">        ↓ 资料预检：来源、期间、页码、T0、单位、字段完整性</w:t>
              <w:br/>
              <w:t>确定性计算：R1/R2公式、可比性保护、规则状态</w:t>
              <w:br/>
              <w:t xml:space="preserve">        ↓</w:t>
              <w:br/>
              <w:t>RAG V1：仅从已确认资料召回带 evidence_id 的页级片段</w:t>
              <w:br/>
              <w:t xml:space="preserve">        ↓</w:t>
              <w:br/>
              <w:t>质疑Agent → 反证Agent → 语义复核Agent（Agent-as-a-Judge）</w:t>
              <w:br/>
              <w:t xml:space="preserve">        ↓</w:t>
              <w:br/>
              <w:t>程序硬校验：JSON、证据ID、禁用词、规则/公式/来源不可被改写</w:t>
              <w:br/>
              <w:t xml:space="preserve">        ↓</w:t>
              <w:br/>
              <w:t>人工确认：保留、降级或暂缓 → 待核查事项与待索取资料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3.2 三个角色的边界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2460"/>
        <w:gridCol w:w="15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角色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只做什么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输入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输出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不能做什么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质疑Agent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基于触发规则提出待了解的风险假设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确定性结果、登记证据包、RAG片段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claims、资料缺口、待索取资料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不能认定舞弊或改写数字、页码、规则结论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反证Agent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主动找正常商业解释、相反材料和缺口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同一证据包及质疑结果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正常解释、反证不足说明、补充资料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不能新增外部事实或空泛“洗白”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语义复核Agent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检查前两步是否超出证据，建议保留、降级或暂缓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前两步结构化结果及证据包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retain / downgrade / defer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不能新造事实、替代人工审批</w:t>
            </w:r>
          </w:p>
        </w:tc>
      </w:tr>
    </w:tbl>
    <w:p>
      <w:pPr>
        <w:spacing w:after="20"/>
      </w:pP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语义复核与 Agent-as-a-Judge 的思想一致：由独立角色评价前序输出是否符合规则和证据约束；但最终裁决仍由程序硬校验和审计人员完成。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3.3 模型与程序的分工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330"/>
        <w:gridCol w:w="351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必须由程序完成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可由模型辅助完成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必须由人确认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数字计算、单位换算、来源字段、页码、披露日、T0过滤、R2可比性判断、Schema校验、证据ID校验、禁用词校验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文本线索归纳、正常解释、资料缺口表述、待索取资料初稿、前序输出的语义一致性检查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规则阈值、案例冻结、内部资料授权、是否保留线索、后续程序、对外表述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3.4 结构化输出与失败关闭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每次模型调用使用 agent_output_v1，至少记录 run_id、角色、规则ID、状态、主张、evidence_id、正常解释、资料缺口、待索取资料和理由。程序校验任何证据ID是否属于本次证据包；模型输出包含舞弊认定、审计意见、投资建议、无效JSON、越界引用或服务不可用时，立即停止后续角色，不生成伪造风险卡。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运行记录同时保存规则、参数、来源哈希、模型ID、提示词版本、输入/响应哈希、耗时和token。页面需要明确区分“真实运行”“缓存回放”“未配置/调用失败”；缓存不能冒充实时调用。</w:t>
      </w: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四、RAG V1：可回查的资料检索，而不是把年报全文交给模型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4.1 RAG 的范围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RAG V1 只处理已经确认来源、允许使用且满足分析时点的资料。它不搜索开放网页、不把模型记忆当来源，也不替代字段台账。首版数据范围为标准股份开发年报和后续经授权的第二案例资料。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4.2 RAG V1 的实现设计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330"/>
        <w:gridCol w:w="351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环节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必须留下的记录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入库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PDF预检、文本抽取、页码与文件哈希登记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document_id、文件名、披露日、T0、哈希、解析状态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切片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按页码、标题与段落切片，保留原文、页码、期间、资料类型、evidence_id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chunk_id、页码、标题、字符范围、来源ID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索引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SQLite保存元数据；FAISS保存向量；关键词与向量混合召回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索引版本、嵌入模型版本、构建时间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先按公司、案例、T0、资料类型过滤，再召回；最多将6个片段送入模型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retrieval_run：查询、过滤条件、候选数、排序、命中ID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页面回查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风险卡可展开命中文段、来源和页码；无命中显示“资料不足”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查询与展示记录</w:t>
            </w:r>
          </w:p>
        </w:tc>
      </w:tr>
    </w:tbl>
    <w:p>
      <w:pPr>
        <w:spacing w:after="20"/>
      </w:pP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RAG V1 的验收不是“能回答问题”，而是固定问题集能验证三类结果：命中相关页、拦截T0后资料/其他公司资料、无命中时不补写。未通过这三项，页面不得显示“RAG已实现”。</w:t>
      </w: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五、五项核心创新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/>
          <w:sz w:val="21"/>
        </w:rPr>
        <w:t>四维交叉验证。</w:t>
      </w:r>
      <w:r>
        <w:rPr>
          <w:rFonts w:ascii="Calibri" w:hAnsi="Calibri" w:eastAsia="Microsoft YaHei"/>
          <w:b w:val="0"/>
          <w:sz w:val="21"/>
        </w:rPr>
        <w:t>财务数字、业务链条、行业参照和披露表述被统一映射到同一规则和来源台账，避免只看单一财务比率。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/>
          <w:sz w:val="21"/>
        </w:rPr>
        <w:t>从线索到资料缺口。</w:t>
      </w:r>
      <w:r>
        <w:rPr>
          <w:rFonts w:ascii="Calibri" w:hAnsi="Calibri" w:eastAsia="Microsoft YaHei"/>
          <w:b w:val="0"/>
          <w:sz w:val="21"/>
        </w:rPr>
        <w:t>每项候选不只给“异常”，还给正常解释、缺少资料和待索取项目，使输出能进入审计项目组的下一步工作。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/>
          <w:sz w:val="21"/>
        </w:rPr>
        <w:t>证据硬准入。</w:t>
      </w:r>
      <w:r>
        <w:rPr>
          <w:rFonts w:ascii="Calibri" w:hAnsi="Calibri" w:eastAsia="Microsoft YaHei"/>
          <w:b w:val="0"/>
          <w:sz w:val="21"/>
        </w:rPr>
        <w:t>来源、页码、披露日、T0、公式和单位由程序拦截；模型不能更改这些底座。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/>
          <w:sz w:val="21"/>
        </w:rPr>
        <w:t>强制反证与语义复核。</w:t>
      </w:r>
      <w:r>
        <w:rPr>
          <w:rFonts w:ascii="Calibri" w:hAnsi="Calibri" w:eastAsia="Microsoft YaHei"/>
          <w:b w:val="0"/>
          <w:sz w:val="21"/>
        </w:rPr>
        <w:t>固定“质疑—反证—复核”链，要求模型主动说明正常解释和证据不足，不让单向叙事直接进入风险卡。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/>
          <w:sz w:val="21"/>
        </w:rPr>
        <w:t>时点隔离与可复放。</w:t>
      </w:r>
      <w:r>
        <w:rPr>
          <w:rFonts w:ascii="Calibri" w:hAnsi="Calibri" w:eastAsia="Microsoft YaHei"/>
          <w:b w:val="0"/>
          <w:sz w:val="21"/>
        </w:rPr>
        <w:t>运行冻结资料、规则、模型、提示词与检索索引版本；在正式评估中通过T0/T1隔离减少后验信息污染。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创新不在于训练新的基础模型，而在于把大模型的开放式语言能力放入可验证、可追溯、可人工接管的审计预筛流程。</w:t>
      </w: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六、技术路线与当前原型状态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6.1 技术选型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根目录 index.html 保持为唯一展示页；FastAPI 负责密钥隔离、资料校验、确定性计算、智能体调用和运行留痕。前端不保存API Key。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项目不在首版引入 LangChain、AutoGen 等通用编排框架：三角色顺序固定、输入输出合同明确，直接实现可以更直观地审计调用、失败和版本。RAG V1使用 PyMuPDF/pdfplumber 进行解析，SQLite 与 FAISS 保存元数据和向量索引；pandas/numpy用于计算与测试。后续只有在分支、工具调用或任务编排确实增长时，才评估引入框架。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6.2 现有事实与目标状态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330"/>
        <w:gridCol w:w="351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截至V3的事实状态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V3后的验收目标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主网页与本地后端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已有根目录网页、FastAPI启动脚本和R1/R2页面联动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稳定启动、页面与后端同口径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年报字段和来源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标准股份开发资料已登记，完成技术交叉核对；仍待专业人工复核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每个参与字段可回到文件、页码、期间与哈希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R1/R2确定性计算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R1/R2工程版已接入；R2专业规则 v0.2 已提交，工程尚未按 v0.2 全量实现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R2 对齐 v0.2 的字段、可比性保护、阈值与失败样例；有人工复核记录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三Agent固定链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已写入固定流程、JSON和证据ID校验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保存至少一次真实完整运行与一次故意失败闭环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尚未实现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完成RAG V1的入库、检索、回查和反例验收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补充资料续分析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/>
                <w:sz w:val="17"/>
              </w:rPr>
              <w:t>已确认交付目标；页面与后端均未接入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绑定风险卡、授权脱敏预检、局部重跑、失败样例与更新后的待索取清单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第二案例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尚未冻结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先完成R1四字段、来源和T0预检，不抢占主链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正式效果评估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尚未启动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Research Contract冻结后再开展，不提前生成结论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七、验证方案：先验证可追溯性，再比较效果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7.1 运行前的确定性验收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330"/>
        <w:gridCol w:w="351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定义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可在开发样例阶段报告吗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字段来源回指完整率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有文件、披露日、页码、定位和evidence_id的参与字段数 / 参与字段总数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可以，需报告分子和分母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公式复算一致率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人工复算与程序结果一致的规则运行数 / 抽查运行数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可以，需保留复算记录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规则选择一致性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取消选择后未被后端运行的规则数 / 被取消规则数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Schema与越界拦截率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被正确拦截的故意错误样例数 / 故意错误样例总数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RAG回查准确率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能回到正确页码和来源的检索命中数 / 抽查命中数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仅RAG完成后可以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7.2 正式比较设计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330"/>
        <w:gridCol w:w="351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组别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定义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B0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仅确定性规则与阈值，不调用模型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观察规则层的基础输出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B1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通用模型直读固定资料，不使用RAG和硬校验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观察无约束模型的来源与表述问题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B2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RAG + 单Agent，不使用反证/复核链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观察检索与单角色的增益/局限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B3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审迹智链完整流程：RAG + 三Agent + 硬校验 + 人工确认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评估完整约束流程</w:t>
            </w:r>
          </w:p>
        </w:tc>
      </w:tr>
    </w:tbl>
    <w:p>
      <w:pPr>
        <w:spacing w:after="20"/>
      </w:pP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正式评价开始前必须冻结案例角色、分析时点T0、T1隔离方式、资料包、规则、阈值、模型、提示词、索引、预算和评价指标。两个案例最多支持有限的过程比较，不支持“普遍准确率”“显著优于所有模型”等外推结论。</w:t>
      </w: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八、进度、责任与提交物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8.1 从现在到初赛的关键节奏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竞赛手册规定：2026年9月1日至25日提交PDF方案书和5分钟视频进行盲审；9月25日至30日对进入该阶段的团队评审代码、演示视频和技术报告。因此方案材料与可运行原型必须同步推进。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2000"/>
        <w:gridCol w:w="2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时间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重点交付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负责人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7月24—30日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R2 v0.2 审查收口与可比性保护对齐计划；R1真实三Agent运行；来源与失败样例复核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队长+A+B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可回看真实日志；无效输出不成卡；R2 差距清单已登记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7月31—8月6日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第二案例R1资料预检；续分析窗口文案/线框；V3方案书和视频分镜初稿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B+C，队长/A配合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四字段来源台账；续分析入口与边界文案可评审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8月7—13日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RAG V1入库、检索、T0拦截和无命中反例；R2 v0.2 关键字段入台账（可并行）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队长+B，A给检索问题/口径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有检索日志与来源回查；缺字段不静默计算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8月14—20日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初赛方案书、视频首版；</w:t>
            </w:r>
            <w:r>
              <w:rPr>
                <w:rFonts w:ascii="Calibri" w:hAnsi="Calibri" w:eastAsia="Microsoft YaHei"/>
                <w:b/>
                <w:sz w:val="16"/>
              </w:rPr>
              <w:t>续分析真上传与局部重跑</w:t>
            </w:r>
            <w:r>
              <w:rPr>
                <w:rFonts w:ascii="Calibri" w:hAnsi="Calibri" w:eastAsia="Microsoft YaHei"/>
                <w:b w:val="0"/>
                <w:sz w:val="16"/>
              </w:rPr>
              <w:t>；核心回归测试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队长主责续分析，C主责材料，全员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绑定卡可局部重跑；未授权/未脱敏被拦截；试讲与录屏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8月21—27日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修改材料；第二案例必要补齐；启动包与演示脚本；续分析失败样例补齐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全员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盲审视角可读、可启动；续分析有可复现失败样例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8月28—31日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PDF/视频/代码说明冻结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C+队长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只修严重错误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9月1—25日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按主办方渠道提交；保持原型与技术报告可用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全员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提交留档、演示备用录屏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8.2 四人分工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330"/>
        <w:gridCol w:w="351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成员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本阶段可验收成果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队长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系统整合、FastAPI、固定链、RAG、</w:t>
            </w:r>
            <w:r>
              <w:rPr>
                <w:rFonts w:ascii="Calibri" w:hAnsi="Calibri" w:eastAsia="Microsoft YaHei"/>
                <w:b/>
                <w:sz w:val="17"/>
              </w:rPr>
              <w:t>续分析窗口</w:t>
            </w:r>
            <w:r>
              <w:rPr>
                <w:rFonts w:ascii="Calibri" w:hAnsi="Calibri" w:eastAsia="Microsoft YaHei"/>
                <w:b w:val="0"/>
                <w:sz w:val="17"/>
              </w:rPr>
              <w:t>、测试与启动包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可运行版本、日志、回归用例、续分析预检/局部重跑、依赖说明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 审计逻辑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R1/R2口径（含 v0.2）、认定、正常解释、待索取资料、补充资料进入后的更新口径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规则卡、阈值意见、术语复核记录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 数据与评估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年报来源、第二案例预检、T0/T1、检索反例；</w:t>
            </w:r>
            <w:r>
              <w:rPr>
                <w:rFonts w:ascii="Calibri" w:hAnsi="Calibri" w:eastAsia="Microsoft YaHei"/>
                <w:b/>
                <w:sz w:val="17"/>
              </w:rPr>
              <w:t>脱敏补充资料模板样例</w:t>
            </w:r>
            <w:r>
              <w:rPr>
                <w:rFonts w:ascii="Calibri" w:hAnsi="Calibri" w:eastAsia="Microsoft YaHei"/>
                <w:b w:val="0"/>
                <w:sz w:val="17"/>
              </w:rPr>
              <w:t>与续分析台账行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来源台账、资料清单、补充模板、测试样本和抽查记录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 产品与材料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方案书、架构图、视频、页面文案、</w:t>
            </w:r>
            <w:r>
              <w:rPr>
                <w:rFonts w:ascii="Calibri" w:hAnsi="Calibri" w:eastAsia="Microsoft YaHei"/>
                <w:b/>
                <w:sz w:val="17"/>
              </w:rPr>
              <w:t>续分析窗口边界提示</w:t>
            </w:r>
            <w:r>
              <w:rPr>
                <w:rFonts w:ascii="Calibri" w:hAnsi="Calibri" w:eastAsia="Microsoft YaHei"/>
                <w:b w:val="0"/>
                <w:sz w:val="17"/>
              </w:rPr>
              <w:t>、演示表达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初赛PDF、视频脚本/成片、答辩材料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九、初赛材料与演示表达</w:t>
      </w: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9.1 10—15页方案书结构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330"/>
        <w:gridCol w:w="351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页码建议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要回答的问题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封面与一句话定位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项目是什么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2—3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审计场景、痛点、边界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为谁解决什么问题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4—5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准则基础与R1—R8规则库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为什么是专业的审计问题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6—8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架构图、RAG、三Agent和硬校验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为什么不是普通聊天机器人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9—10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原型现状、来源回查、真实/失败状态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为什么可落地、做到哪里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评价方案与可报告过程指标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如何证明可靠性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合规与人工确认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如何控制风险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分工、时间线和预期成果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为什么能按期交付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14—15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参考依据与附图（按实际排版取舍）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依据是什么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 w:val="0"/>
          <w:color w:val="0B2545"/>
          <w:sz w:val="23"/>
        </w:rPr>
        <w:t>9.2 五分钟视频结构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时长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20" w:before="0" w:line="264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画面与内容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0:00—0:35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队员出镜，说明审计前置阶段的资料分散与收入风险预检痛点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0:35—1:15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展示销售与收款循环、R1/R2和“线索而非结论”的定位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1:15—2:25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展示来源字段、规则计算和R2不可比保护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2:25—3:35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展示RAG命中片段、质疑—反证—复核以及硬校验失败关闭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3:35—4:25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展示人工确认、待索取资料；若续分析已验收，再展示绑定上传与局部重跑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4:25—5:00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 w:before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说明边界、当前成果和下一阶段验证计划</w:t>
            </w:r>
          </w:p>
        </w:tc>
      </w:tr>
    </w:tbl>
    <w:p>
      <w:pPr>
        <w:spacing w:after="20"/>
      </w:pP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未通过验收的能力不得放进录屏当作已实现；若使用缓存或备用录屏，必须在画面中明确标注。续分析在接入前只可口述“确认要做/计划交互”，不得演示假上传成功。</w:t>
      </w: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十、伦理、合规与风险控制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/>
          <w:sz w:val="21"/>
        </w:rPr>
        <w:t>输出边界。</w:t>
      </w:r>
      <w:r>
        <w:rPr>
          <w:rFonts w:ascii="Calibri" w:hAnsi="Calibri" w:eastAsia="Microsoft YaHei"/>
          <w:b w:val="0"/>
          <w:sz w:val="21"/>
        </w:rPr>
        <w:t>固定展示“本结果由AI辅助生成，仅用于审计前置风险筛查；不构成舞弊认定、审计意见或投资建议”。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/>
          <w:sz w:val="21"/>
        </w:rPr>
        <w:t>资料边界。</w:t>
      </w:r>
      <w:r>
        <w:rPr>
          <w:rFonts w:ascii="Calibri" w:hAnsi="Calibri" w:eastAsia="Microsoft YaHei"/>
          <w:b w:val="0"/>
          <w:sz w:val="21"/>
        </w:rPr>
        <w:t>公开资料使用官方披露或经核验副本；内部资料仅在授权、脱敏、绑定风险卡后进入已确认交付的续分析窗口。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/>
          <w:sz w:val="21"/>
        </w:rPr>
        <w:t>模型边界。</w:t>
      </w:r>
      <w:r>
        <w:rPr>
          <w:rFonts w:ascii="Calibri" w:hAnsi="Calibri" w:eastAsia="Microsoft YaHei"/>
          <w:b w:val="0"/>
          <w:sz w:val="21"/>
        </w:rPr>
        <w:t>模型不可修改来源、数字、公式、页码和规则状态；无来源、无效JSON或越界引用必须失败关闭。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/>
          <w:sz w:val="21"/>
        </w:rPr>
        <w:t>时点边界。</w:t>
      </w:r>
      <w:r>
        <w:rPr>
          <w:rFonts w:ascii="Calibri" w:hAnsi="Calibri" w:eastAsia="Microsoft YaHei"/>
          <w:b w:val="0"/>
          <w:sz w:val="21"/>
        </w:rPr>
        <w:t>正式评估资料按T0/T1隔离；接触T1后不得回写规则、提示词或T0人工判断。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/>
          <w:sz w:val="21"/>
        </w:rPr>
        <w:t>人机边界。</w:t>
      </w:r>
      <w:r>
        <w:rPr>
          <w:rFonts w:ascii="Calibri" w:hAnsi="Calibri" w:eastAsia="Microsoft YaHei"/>
          <w:b w:val="0"/>
          <w:sz w:val="21"/>
        </w:rPr>
        <w:t>人决定规则、阈值、案例、风险保留、资料权限和对外表达；系统不代签、代批或自动出结论。</w:t>
      </w: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十一、V3 的成功标准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到初赛材料冻结时，团队至少应能展示一条完整且诚实的主链：一份已登记公开年报经过来源预检和R1/R2计算，RAG只回传带页码的片段，三Agent输出通过结构化与证据ID校验，审计人员能够看到正常解释、资料缺口和待索取资料，并最终人工决定是否保留线索。</w:t>
      </w:r>
      <w:r>
        <w:rPr>
          <w:rFonts w:ascii="Calibri" w:hAnsi="Calibri" w:eastAsia="Microsoft YaHei"/>
          <w:b/>
          <w:sz w:val="21"/>
        </w:rPr>
        <w:t>补充资料续分析已确认为交付目标</w:t>
      </w:r>
      <w:r>
        <w:rPr>
          <w:rFonts w:ascii="Calibri" w:hAnsi="Calibri" w:eastAsia="Microsoft YaHei"/>
          <w:b w:val="0"/>
          <w:sz w:val="21"/>
        </w:rPr>
        <w:t>：在主链通过后，应能演示“待索取清单 → 授权脱敏模板资料 → 绑定风险卡局部重跑 → 更新缺口/人工确认”的闭环；若截止前仍未跑通，材料必须明确写“未完成”，不得静默删除目标或用线框冒充已运行。</w:t>
      </w:r>
    </w:p>
    <w:p>
      <w:pPr>
        <w:spacing w:after="120" w:before="0" w:line="300" w:lineRule="auto"/>
      </w:pPr>
      <w:r>
        <w:rPr>
          <w:rFonts w:ascii="Calibri" w:hAnsi="Calibri" w:eastAsia="Microsoft YaHei"/>
          <w:b w:val="0"/>
          <w:sz w:val="21"/>
        </w:rPr>
        <w:t>如果RAG、第二案例、续分析或正式对比未达到验收，材料必须如实收缩到已通过的主链；不能用静态截图、缓存或远期功能代替真实能力。</w:t>
      </w:r>
    </w:p>
    <w:p>
      <w:pPr>
        <w:pStyle w:val="Heading1"/>
      </w:pPr>
      <w:r>
        <w:rPr>
          <w:rFonts w:ascii="Calibri" w:hAnsi="Calibri" w:eastAsia="Microsoft YaHei"/>
          <w:b w:val="0"/>
          <w:color w:val="0B2545"/>
          <w:sz w:val="31"/>
        </w:rPr>
        <w:t>参考依据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 w:val="0"/>
          <w:sz w:val="21"/>
        </w:rPr>
        <w:t>《附件1 北京市大学生数智会计创新应用竞赛手册》（本项目工作区原件，表6—8）。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 w:val="0"/>
          <w:sz w:val="21"/>
        </w:rPr>
        <w:t>财政部：关于印发《中国注册会计师审计准则第1211号——重大错报风险的识别和评估》等准则的通知（https://www.mof.gov.cn/gkml/caizhengwengao/wg2023/wg202301/202304/t20230424_3880750.htm）。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 w:val="0"/>
          <w:sz w:val="21"/>
        </w:rPr>
        <w:t>财政部会计司：《企业会计准则第14号——收入》（https://kjs.mof.gov.cn/zt/kjzzss/kuaijizhunzeshishi/201709/t20170907_2694006.htm）。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 w:val="0"/>
          <w:sz w:val="21"/>
        </w:rPr>
        <w:t>标准股份2022—2025年年度报告（当前仅作DEV_T0开发资料；字段和页码由来源台账管理）。</w:t>
      </w:r>
    </w:p>
    <w:p>
      <w:pPr>
        <w:pStyle w:val="ListNumber"/>
        <w:spacing w:after="80" w:before="0" w:line="288" w:lineRule="auto"/>
      </w:pPr>
      <w:r>
        <w:rPr>
          <w:rFonts w:ascii="Calibri" w:hAnsi="Calibri" w:eastAsia="Microsoft YaHei"/>
          <w:b w:val="0"/>
          <w:sz w:val="21"/>
        </w:rPr>
        <w:t>08_计划书批判性评审与修改建议_2026-07-23.md 与 09_审迹智链_V3立项前批判性复盘与修订说明.md（内部修订输入，不构成外部专业证据）。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right"/>
    </w:pPr>
    <w:r>
      <w:rPr>
        <w:rFonts w:ascii="Calibri" w:hAnsi="Calibri" w:eastAsia="Microsoft YaHei"/>
        <w:b w:val="0"/>
        <w:color w:val="667085"/>
        <w:sz w:val="17"/>
      </w:rPr>
      <w:t xml:space="preserve">北京市大学生数智会计创新应用竞赛｜第 </w:t>
    </w:r>
    <w:r>
      <w:rPr>
        <w:rFonts w:ascii="Calibri" w:hAnsi="Calibri" w:eastAsia="Microsoft YaHei"/>
        <w:b w:val="0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jc w:val="left"/>
    </w:pPr>
    <w:r>
      <w:rPr>
        <w:rFonts w:ascii="Calibri" w:hAnsi="Calibri" w:eastAsia="Microsoft YaHei"/>
        <w:b w:val="0"/>
        <w:color w:val="667085"/>
        <w:sz w:val="17"/>
      </w:rPr>
      <w:t>审迹智链（AuditTrace）｜V3 项目方案书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B254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