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审迹智链第一周执行规划（精简版）</w:t>
      </w:r>
    </w:p>
    <w:p>
      <w:pPr>
        <w:ind w:left="284"/>
        <w:jc w:val="both"/>
        <w:spacing w:lineRule="auto"/>
      </w:pPr>
      <w:r>
        <w:rPr/>
        <w:t xml:space="preserve">时间：2026年7月17日—7月23日</w:t>
      </w:r>
      <w:r>
        <w:rPr/>
        <w:t xml:space="preserve"> 版本：V1.1</w:t>
      </w:r>
      <w:r>
        <w:rPr/>
        <w:t xml:space="preserve"> 修订原则：只保留直接形成比赛作品或搭建作品所必需的中间成果，不要求提交纯管理性材料。</w:t>
      </w:r>
    </w:p>
    <w:p>
      <w:pPr>
        <w:spacing w:lineRule="auto"/>
      </w:pPr>
      <w:r>
        <w:rPr/>
        <w:t xml:space="preserve">本项目从实际开工日开始采用滚动7天迭代，不按周一至周日的自然周切分。每个周期第1天定输入和接口，第4天完成首次集成，第6天预验收，第7天正式验收；未通过阶段门时优先修正，不机械进入下一周期。</w:t>
      </w:r>
    </w:p>
    <w:p>
      <w:pPr>
        <w:pStyle w:val="Heading2"/>
        <w:spacing w:lineRule="auto"/>
      </w:pPr>
      <w:r>
        <w:rPr/>
        <w:t xml:space="preserve">一、先区分比赛提交物与中间成果</w:t>
      </w:r>
    </w:p>
    <w:p>
      <w:pPr>
        <w:spacing w:lineRule="auto"/>
      </w:pPr>
      <w:r>
        <w:rPr/>
        <w:t xml:space="preserve">根据北京市教育委员会2026年7月3日发布的竞赛通知，目前能够确认的比赛要求如下：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是否为比赛正式材料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数智会计创新应用（AI智能体）项目计划书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5分钟介绍视频 MP4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决赛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数智会计创新应用（AI智能体）最终报告书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决赛现场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 PPT 进行6分钟成果展示，随后4分钟问答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是，PPT用于现场展示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至少使用一个大语言模型作为核心推理引擎；输出JSON、表格或PDF等结构化结果；提供可以实时处理样例数据的Web或命令行原型，不能只做自然语言对话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是，属于技术和展示要求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官方依据：</w:t>
      </w:r>
      <w:hyperlink r:id="rId5">
        <w:r>
          <w:rPr>
            <w:rStyle w:val="Hyperlink"/>
          </w:rPr>
          <w:t xml:space="preserve">关于举办2026年北京市大学生数智会计创新应用竞赛的通知</w:t>
        </w:r>
      </w:hyperlink>
      <w:r>
        <w:rPr/>
        <w:t xml:space="preserve">（查询日期：2026年7月16日）。如7月30日前后的竞赛宣讲或后续通知出现更正，以最新正式要求为准。</w:t>
      </w:r>
    </w:p>
    <w:p>
      <w:pPr>
        <w:spacing w:lineRule="auto"/>
      </w:pPr>
      <w:r>
        <w:rPr/>
        <w:t xml:space="preserve">以下内容不是主办方要求单独提交的材料，本周不再把它们列为刚性交付：</w:t>
      </w:r>
    </w:p>
    <w:p>
      <w:pPr>
        <w:numPr>
          <w:ilvl w:val="0"/>
          <w:numId w:val="1"/>
        </w:numPr>
        <w:spacing w:lineRule="auto"/>
      </w:pPr>
      <w:r>
        <w:rPr/>
        <w:t xml:space="preserve">《项目启动决定与范围会签记录》；</w:t>
      </w:r>
    </w:p>
    <w:p>
      <w:pPr>
        <w:numPr>
          <w:ilvl w:val="0"/>
          <w:numId w:val="1"/>
        </w:numPr>
        <w:spacing w:lineRule="auto"/>
      </w:pPr>
      <w:r>
        <w:rPr/>
        <w:t xml:space="preserve">单独的每日五行汇报、周报或G0验收报告；</w:t>
      </w:r>
    </w:p>
    <w:p>
      <w:pPr>
        <w:numPr>
          <w:ilvl w:val="0"/>
          <w:numId w:val="1"/>
        </w:numPr>
        <w:spacing w:lineRule="auto"/>
      </w:pPr>
      <w:r>
        <w:rPr/>
        <w:t xml:space="preserve">第一周录屏；</w:t>
      </w:r>
    </w:p>
    <w:p>
      <w:pPr>
        <w:numPr>
          <w:ilvl w:val="0"/>
          <w:numId w:val="1"/>
        </w:numPr>
        <w:spacing w:lineRule="auto"/>
      </w:pPr>
      <w:r>
        <w:rPr/>
        <w:t xml:space="preserve">独立的三阶段差异表、术语表和合规检查表；</w:t>
      </w:r>
    </w:p>
    <w:p>
      <w:pPr>
        <w:numPr>
          <w:ilvl w:val="0"/>
          <w:numId w:val="1"/>
        </w:numPr>
        <w:spacing w:lineRule="auto"/>
      </w:pPr>
      <w:r>
        <w:rPr/>
        <w:t xml:space="preserve">八个页面的完整低保真草图；</w:t>
      </w:r>
    </w:p>
    <w:p>
      <w:pPr>
        <w:numPr>
          <w:ilvl w:val="0"/>
          <w:numId w:val="1"/>
        </w:numPr>
        <w:spacing w:lineRule="auto"/>
      </w:pPr>
      <w:r>
        <w:rPr/>
        <w:t xml:space="preserve">单独的原型目录结构建议书。</w:t>
      </w:r>
    </w:p>
    <w:p>
      <w:pPr>
        <w:spacing w:lineRule="auto"/>
      </w:pPr>
      <w:r>
        <w:rPr/>
        <w:t xml:space="preserve">必要的范围决定、术语约束和验收结论直接写进规则卡、原型或本规划，不重复制造文件。</w:t>
      </w:r>
    </w:p>
    <w:p>
      <w:pPr>
        <w:pStyle w:val="Heading2"/>
        <w:spacing w:lineRule="auto"/>
      </w:pPr>
      <w:r>
        <w:rPr/>
        <w:t xml:space="preserve">二、第一周只形成四项成果</w:t>
      </w:r>
    </w:p>
    <w:p>
      <w:pPr>
        <w:pStyle w:val="Heading3"/>
        <w:spacing w:lineRule="auto"/>
      </w:pPr>
      <w:r>
        <w:rPr/>
        <w:t xml:space="preserve">成果1：能启动的最小Web骨架</w:t>
      </w:r>
    </w:p>
    <w:p>
      <w:pPr>
        <w:numPr>
          <w:ilvl w:val="0"/>
          <w:numId w:val="2"/>
        </w:numPr>
        <w:spacing w:lineRule="auto"/>
      </w:pPr>
      <w:r>
        <w:rPr/>
        <w:t xml:space="preserve">只搭建三个核心入口：新建预审项目、资料预检、风险卡草稿；</w:t>
      </w:r>
    </w:p>
    <w:p>
      <w:pPr>
        <w:numPr>
          <w:ilvl w:val="0"/>
          <w:numId w:val="2"/>
        </w:numPr>
        <w:spacing w:lineRule="auto"/>
      </w:pPr>
      <w:r>
        <w:rPr/>
        <w:t xml:space="preserve">能在本地启动并显示结构化占位字段；</w:t>
      </w:r>
    </w:p>
    <w:p>
      <w:pPr>
        <w:numPr>
          <w:ilvl w:val="0"/>
          <w:numId w:val="2"/>
        </w:numPr>
        <w:spacing w:lineRule="auto"/>
      </w:pPr>
      <w:r>
        <w:rPr/>
        <w:t xml:space="preserve">明确标注“开发样例/尚未形成审计结论”；</w:t>
      </w:r>
    </w:p>
    <w:p>
      <w:pPr>
        <w:numPr>
          <w:ilvl w:val="0"/>
          <w:numId w:val="2"/>
        </w:numPr>
        <w:spacing w:lineRule="auto"/>
      </w:pPr>
      <w:r>
        <w:rPr/>
        <w:t xml:space="preserve">本周不要求接入大模型、不生成虚构风险结果；</w:t>
      </w:r>
    </w:p>
    <w:p>
      <w:pPr>
        <w:numPr>
          <w:ilvl w:val="0"/>
          <w:numId w:val="2"/>
        </w:numPr>
        <w:spacing w:lineRule="auto"/>
      </w:pPr>
      <w:r>
        <w:rPr/>
        <w:t xml:space="preserve">原型子目录必须先由团队确认，确认前不创建代码。</w:t>
      </w:r>
    </w:p>
    <w:p>
      <w:pPr>
        <w:spacing w:lineRule="auto"/>
      </w:pPr>
      <w:r>
        <w:rPr/>
        <w:t xml:space="preserve">这项成果直接服务于比赛要求的“可演示原型”。</w:t>
      </w:r>
    </w:p>
    <w:p>
      <w:pPr>
        <w:pStyle w:val="Heading3"/>
        <w:spacing w:lineRule="auto"/>
      </w:pPr>
      <w:r>
        <w:rPr/>
        <w:t xml:space="preserve">成果2：一份年报的可追溯数据样例</w:t>
      </w:r>
    </w:p>
    <w:p>
      <w:pPr>
        <w:numPr>
          <w:ilvl w:val="0"/>
          <w:numId w:val="3"/>
        </w:numPr>
        <w:spacing w:lineRule="auto"/>
      </w:pPr>
      <w:r>
        <w:rPr/>
        <w:t xml:space="preserve">从团队选定的一份候选年报中抽取3—5个R1所需字段；</w:t>
      </w:r>
    </w:p>
    <w:p>
      <w:pPr>
        <w:numPr>
          <w:ilvl w:val="0"/>
          <w:numId w:val="3"/>
        </w:numPr>
        <w:spacing w:lineRule="auto"/>
      </w:pPr>
      <w:r>
        <w:rPr/>
        <w:t xml:space="preserve">至少包括收入和应收账款，并视可得性补充经营活动现金流、信用减值或收入政策；</w:t>
      </w:r>
    </w:p>
    <w:p>
      <w:pPr>
        <w:numPr>
          <w:ilvl w:val="0"/>
          <w:numId w:val="3"/>
        </w:numPr>
        <w:spacing w:lineRule="auto"/>
      </w:pPr>
      <w:r>
        <w:rPr/>
        <w:t xml:space="preserve">每个字段能够回到文件名、披露日期、PDF页码、印刷页码和原文；原件没有印刷页码时如实标记；</w:t>
      </w:r>
    </w:p>
    <w:p>
      <w:pPr>
        <w:numPr>
          <w:ilvl w:val="0"/>
          <w:numId w:val="3"/>
        </w:numPr>
        <w:spacing w:lineRule="auto"/>
      </w:pPr>
      <w:r>
        <w:rPr/>
        <w:t xml:space="preserve">该年报只用于开发可读性测试，标记为DEV_T0候选，不等于正式案例或正式实验T0；</w:t>
      </w:r>
    </w:p>
    <w:p>
      <w:pPr>
        <w:numPr>
          <w:ilvl w:val="0"/>
          <w:numId w:val="3"/>
        </w:numPr>
        <w:spacing w:lineRule="auto"/>
      </w:pPr>
      <w:r>
        <w:rPr/>
        <w:t xml:space="preserve">不读取T1后验资料。</w:t>
      </w:r>
    </w:p>
    <w:p>
      <w:pPr>
        <w:spacing w:lineRule="auto"/>
      </w:pPr>
      <w:r>
        <w:rPr/>
        <w:t xml:space="preserve">这项成果直接服务于原型的数据输入、结构化输出、证据回指和后续案例演示。</w:t>
      </w:r>
    </w:p>
    <w:p>
      <w:pPr>
        <w:pStyle w:val="Heading3"/>
        <w:spacing w:lineRule="auto"/>
      </w:pPr>
      <w:r>
        <w:rPr/>
        <w:t xml:space="preserve">成果3：R1可工程化规则卡v0.1</w:t>
      </w:r>
    </w:p>
    <w:p>
      <w:pPr>
        <w:spacing w:lineRule="auto"/>
      </w:pPr>
      <w:r>
        <w:rPr/>
        <w:t xml:space="preserve">围绕“应收账款增速显著高于收入增速”，在一张规则卡内写清：</w:t>
      </w:r>
    </w:p>
    <w:p>
      <w:pPr>
        <w:numPr>
          <w:ilvl w:val="0"/>
          <w:numId w:val="4"/>
        </w:numPr>
        <w:spacing w:lineRule="auto"/>
      </w:pPr>
      <w:r>
        <w:rPr/>
        <w:t xml:space="preserve">规则目的和销售与收款循环节点；</w:t>
      </w:r>
    </w:p>
    <w:p>
      <w:pPr>
        <w:numPr>
          <w:ilvl w:val="0"/>
          <w:numId w:val="4"/>
        </w:numPr>
        <w:spacing w:lineRule="auto"/>
      </w:pPr>
      <w:r>
        <w:rPr/>
        <w:t xml:space="preserve">指标公式、输入字段、单位和缺失值处理；</w:t>
      </w:r>
    </w:p>
    <w:p>
      <w:pPr>
        <w:numPr>
          <w:ilvl w:val="0"/>
          <w:numId w:val="4"/>
        </w:numPr>
        <w:spacing w:lineRule="auto"/>
      </w:pPr>
      <w:r>
        <w:rPr/>
        <w:t xml:space="preserve">触发逻辑与暂缓条件；</w:t>
      </w:r>
    </w:p>
    <w:p>
      <w:pPr>
        <w:numPr>
          <w:ilvl w:val="0"/>
          <w:numId w:val="4"/>
        </w:numPr>
        <w:spacing w:lineRule="auto"/>
      </w:pPr>
      <w:r>
        <w:rPr/>
        <w:t xml:space="preserve">可能的正常解释；</w:t>
      </w:r>
    </w:p>
    <w:p>
      <w:pPr>
        <w:numPr>
          <w:ilvl w:val="0"/>
          <w:numId w:val="4"/>
        </w:numPr>
        <w:spacing w:lineRule="auto"/>
      </w:pPr>
      <w:r>
        <w:rPr/>
        <w:t xml:space="preserve">证据缺口和待索取资料；</w:t>
      </w:r>
    </w:p>
    <w:p>
      <w:pPr>
        <w:numPr>
          <w:ilvl w:val="0"/>
          <w:numId w:val="4"/>
        </w:numPr>
        <w:spacing w:lineRule="auto"/>
      </w:pPr>
      <w:r>
        <w:rPr/>
        <w:t xml:space="preserve">承接/续聘阶段与审计计划阶段的不同输出；</w:t>
      </w:r>
    </w:p>
    <w:p>
      <w:pPr>
        <w:numPr>
          <w:ilvl w:val="0"/>
          <w:numId w:val="4"/>
        </w:numPr>
        <w:spacing w:lineRule="auto"/>
      </w:pPr>
      <w:r>
        <w:rPr/>
        <w:t xml:space="preserve">候选管理层认定和建议程序仅在审计计划场景出现；</w:t>
      </w:r>
    </w:p>
    <w:p>
      <w:pPr>
        <w:numPr>
          <w:ilvl w:val="0"/>
          <w:numId w:val="4"/>
        </w:numPr>
        <w:spacing w:lineRule="auto"/>
      </w:pPr>
      <w:r>
        <w:rPr/>
        <w:t xml:space="preserve">专业来源及核验状态。</w:t>
      </w:r>
    </w:p>
    <w:p>
      <w:pPr>
        <w:spacing w:lineRule="auto"/>
      </w:pPr>
      <w:r>
        <w:rPr/>
        <w:t xml:space="preserve">这项成果直接服务于后续程序计算、多智能体提示词、风险卡和方案书专业章节。</w:t>
      </w:r>
    </w:p>
    <w:p>
      <w:pPr>
        <w:pStyle w:val="Heading3"/>
        <w:spacing w:lineRule="auto"/>
      </w:pPr>
      <w:r>
        <w:rPr/>
        <w:t xml:space="preserve">成果4：原型页面文案及初赛材料提纲v0.1</w:t>
      </w:r>
    </w:p>
    <w:p>
      <w:pPr>
        <w:numPr>
          <w:ilvl w:val="0"/>
          <w:numId w:val="5"/>
        </w:numPr>
        <w:spacing w:lineRule="auto"/>
      </w:pPr>
      <w:r>
        <w:rPr/>
        <w:t xml:space="preserve">写出三个核心页面的标题、字段名、按钮名、状态提示和免责声明；</w:t>
      </w:r>
    </w:p>
    <w:p>
      <w:pPr>
        <w:numPr>
          <w:ilvl w:val="0"/>
          <w:numId w:val="5"/>
        </w:numPr>
        <w:spacing w:lineRule="auto"/>
      </w:pPr>
      <w:r>
        <w:rPr/>
        <w:t xml:space="preserve">统一使用“重大错报风险信号、待核查事项、正常解释候选、资料依据缺口、待索取资料”等审计语言；</w:t>
      </w:r>
    </w:p>
    <w:p>
      <w:pPr>
        <w:numPr>
          <w:ilvl w:val="0"/>
          <w:numId w:val="5"/>
        </w:numPr>
        <w:spacing w:lineRule="auto"/>
      </w:pPr>
      <w:r>
        <w:rPr/>
        <w:t xml:space="preserve">不使用“发现舞弊、审计结论、投资评级”等越界词；</w:t>
      </w:r>
    </w:p>
    <w:p>
      <w:pPr>
        <w:numPr>
          <w:ilvl w:val="0"/>
          <w:numId w:val="5"/>
        </w:numPr>
        <w:spacing w:lineRule="auto"/>
      </w:pPr>
      <w:r>
        <w:rPr/>
        <w:t xml:space="preserve">同时形成项目计划书与5分钟视频的一级提纲，只列内容结构，不做美化和正式剪辑；</w:t>
      </w:r>
    </w:p>
    <w:p>
      <w:pPr>
        <w:numPr>
          <w:ilvl w:val="0"/>
          <w:numId w:val="5"/>
        </w:numPr>
        <w:spacing w:lineRule="auto"/>
      </w:pPr>
      <w:r>
        <w:rPr/>
        <w:t xml:space="preserve">页面文案优先直接放进Web骨架，不另做重复的高保真设计稿。</w:t>
      </w:r>
    </w:p>
    <w:p>
      <w:pPr>
        <w:spacing w:lineRule="auto"/>
      </w:pPr>
      <w:r>
        <w:rPr/>
        <w:t xml:space="preserve">这项成果直接服务于原型界面、初赛计划书和5分钟视频。</w:t>
      </w:r>
    </w:p>
    <w:p>
      <w:pPr>
        <w:pStyle w:val="Heading2"/>
        <w:spacing w:lineRule="auto"/>
      </w:pPr>
      <w:r>
        <w:rPr/>
        <w:t xml:space="preserve">三、四人分工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第一周任务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必须交到团队公共成果中的内容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不要求另交的材料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你（队长）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团队确认原型目录后搭建最小Web骨架；制定数据Schema；整合A、B、C成果并完成运行测试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可运行骨架、Schema、启动说明、整合后的三个页面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会签记录、目录建议书、周报、第一周录屏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完成R1规则卡；把销售与收款循环节点、阶段差异、正常解释、证据缺口和程序写入同一张卡；复核页面专业表述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R1可工程化规则卡v0.1及对原型字段的复核意见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独立循环图、独立术语表、独立三阶段差异表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检查候选年报可读性；抽取3—5个字段并建立来源回指；记录解析失败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一份可追溯数据样例及必要来源字段；解析失败直接写在同一文件中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独立候选公司报告、独立来源台账报告、T1材料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编写三个页面的实际界面文案；形成初赛计划书和5分钟视频一级提纲；检查越界措辞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可直接放入原型的页面文案，以及初赛材料提纲v0.1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八页完整草图、单独合规表、正式PPT、正式视频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四、七日安排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共同目标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你（队长）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7月17日（第1天）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确定本周期输入和接口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组织团队用简短讨论确认原型目录名及技术栈，不制作会议材料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确认R1字段需求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提供2—3份候选年报的可读性初筛，团队当日选择1份POC年报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确认三个核心页面和初赛材料结构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7月18日（第2天）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形成专业与数据初稿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建立Schema初稿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完成R1规则卡初稿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开始3—5个字段抽取和来源回指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完成页面文案及初赛材料一级提纲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7月19日（第3天）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形成技术骨架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目录获确认后创建Web骨架并加入结构化占位字段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用B的实际字段检查R1可执行性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完成字段抽取，记录解析失败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将实际页面文案交给队长接入骨架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7月20日（第4天）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完成第一次集成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将R1字段、年报字段和页面文案接入同一骨架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检查公式、正常解释和阶段输出是否完整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检查Schema是否保留来源定位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检查页面字段与初赛材料提纲一致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7月21日（第5天）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修正可复现问题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完成启动说明、错误提示和开发样例标识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修正规则缺字段、歧义和越界措辞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修正页码、单位和原文定位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修正页面审计术语、状态提示和免责声明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7月22日（第6天）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预验收和交叉复核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按通过标准完整运行一次并记录待修问题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人工复算R1样例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从页面或样例表回到年报原文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检查界面无投资者化、舞弊定性和无来源结论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7月23日（第7天）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正式验收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修复关键问题，判断通过或继续修正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确认R1规则卡状态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确认可追溯样例状态且未读取T1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确认页面文案和初赛提纲状态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五、第一周通过标准</w:t>
      </w:r>
    </w:p>
    <w:p>
      <w:pPr>
        <w:numPr>
          <w:ilvl w:val="0"/>
          <w:numId w:val="6"/>
        </w:numPr>
        <w:spacing w:lineRule="auto"/>
      </w:pPr>
      <w:r>
        <w:rPr/>
        <w:t xml:space="preserve">最小Web骨架能够按启动说明在本地打开，三个核心入口可访问；</w:t>
      </w:r>
    </w:p>
    <w:p>
      <w:pPr>
        <w:numPr>
          <w:ilvl w:val="0"/>
          <w:numId w:val="6"/>
        </w:numPr>
        <w:spacing w:lineRule="auto"/>
      </w:pPr>
      <w:r>
        <w:rPr/>
        <w:t xml:space="preserve">数据Schema至少能够表达项目场景、分析截止日、目标期间、字段数值、单位、来源、披露日期、页码、原文、规则编号和人工复核状态；</w:t>
      </w:r>
    </w:p>
    <w:p>
      <w:pPr>
        <w:numPr>
          <w:ilvl w:val="0"/>
          <w:numId w:val="6"/>
        </w:numPr>
        <w:spacing w:lineRule="auto"/>
      </w:pPr>
      <w:r>
        <w:rPr/>
        <w:t xml:space="preserve">至少3个年报字段能够从数据样例回到原文件和原文位置；</w:t>
      </w:r>
    </w:p>
    <w:p>
      <w:pPr>
        <w:numPr>
          <w:ilvl w:val="0"/>
          <w:numId w:val="6"/>
        </w:numPr>
        <w:spacing w:lineRule="auto"/>
      </w:pPr>
      <w:r>
        <w:rPr/>
        <w:t xml:space="preserve">R1公式可以由另一名成员人工复算，规则卡同时包含正常解释、证据缺口和待索取资料；</w:t>
      </w:r>
    </w:p>
    <w:p>
      <w:pPr>
        <w:numPr>
          <w:ilvl w:val="0"/>
          <w:numId w:val="6"/>
        </w:numPr>
        <w:spacing w:lineRule="auto"/>
      </w:pPr>
      <w:r>
        <w:rPr/>
        <w:t xml:space="preserve">页面文案和初赛材料提纲均符合审计项目组定位；</w:t>
      </w:r>
    </w:p>
    <w:p>
      <w:pPr>
        <w:numPr>
          <w:ilvl w:val="0"/>
          <w:numId w:val="6"/>
        </w:numPr>
        <w:spacing w:lineRule="auto"/>
      </w:pPr>
      <w:r>
        <w:rPr/>
        <w:t xml:space="preserve">没有读取T1，没有把POC年报称为正式冻结案例，没有把空白骨架称为完整原型；</w:t>
      </w:r>
    </w:p>
    <w:p>
      <w:pPr>
        <w:numPr>
          <w:ilvl w:val="0"/>
          <w:numId w:val="6"/>
        </w:numPr>
        <w:spacing w:lineRule="auto"/>
      </w:pPr>
      <w:r>
        <w:rPr/>
        <w:t xml:space="preserve">没有生成准确率、实验优越性、舞弊认定或审计意见。</w:t>
      </w:r>
    </w:p>
    <w:p>
      <w:pPr>
        <w:pStyle w:val="Heading2"/>
        <w:spacing w:lineRule="auto"/>
      </w:pPr>
      <w:r>
        <w:rPr/>
        <w:t xml:space="preserve">六、开工前只需口头或群内确认的两件事</w:t>
      </w:r>
    </w:p>
    <w:p>
      <w:pPr>
        <w:numPr>
          <w:ilvl w:val="0"/>
          <w:numId w:val="7"/>
        </w:numPr>
        <w:spacing w:lineRule="auto"/>
      </w:pPr>
      <w:r>
        <w:rPr/>
        <w:t xml:space="preserve">未来原型子目录名称和技术栈；</w:t>
      </w:r>
    </w:p>
    <w:p>
      <w:pPr>
        <w:numPr>
          <w:ilvl w:val="0"/>
          <w:numId w:val="7"/>
        </w:numPr>
        <w:spacing w:lineRule="auto"/>
      </w:pPr>
      <w:r>
        <w:rPr/>
        <w:t xml:space="preserve">本周用于PDF可读性测试的一份候选年报。</w:t>
      </w:r>
    </w:p>
    <w:p>
      <w:pPr>
        <w:spacing w:lineRule="auto"/>
      </w:pPr>
      <w:r>
        <w:rPr/>
        <w:t xml:space="preserve">这两项需要团队作出决定，但不要求为此制作单独的《会签记录》或《决策报告》。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jw.beijing.gov.cn/gjc/tzgg_15688/202607/t20260703_4745160.html" TargetMode="Ex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2026-07-16T16:11:18.927Z</dcterms:created>
  <dcterms:modified xsi:type="dcterms:W3CDTF">2026-07-16T16:11:18.927Z</dcterms:modified>
</cp:coreProperties>
</file>