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8331D">
      <w:pPr>
        <w:jc w:val="center"/>
        <w:rPr>
          <w:rFonts w:hint="eastAsia"/>
        </w:rPr>
      </w:pPr>
      <w:r>
        <w:rPr>
          <w:rFonts w:hint="eastAsia"/>
          <w:b/>
          <w:bCs/>
          <w:sz w:val="32"/>
          <w:szCs w:val="40"/>
        </w:rPr>
        <w:t>R1规则说明：应收账款增长持续快于收入增长</w:t>
      </w:r>
    </w:p>
    <w:p w14:paraId="335FDB08">
      <w:pPr>
        <w:pStyle w:val="2"/>
        <w:bidi w:val="0"/>
        <w:rPr>
          <w:rFonts w:hint="eastAsia"/>
        </w:rPr>
      </w:pPr>
      <w:r>
        <w:rPr>
          <w:rFonts w:hint="eastAsia"/>
        </w:rPr>
        <w:t>一、规则目的与业务循环定位</w:t>
      </w:r>
    </w:p>
    <w:p w14:paraId="149B12D0">
      <w:pPr>
        <w:rPr>
          <w:rFonts w:hint="eastAsia"/>
        </w:rPr>
      </w:pPr>
      <w:r>
        <w:rPr>
          <w:rFonts w:hint="eastAsia"/>
        </w:rPr>
        <w:t>本规则定位于销售与收款循环，旨在识别一项需要进一步了解的业务现象：当公司收入增长平稳，但应收账款以更快速度增长，且以平均应收账款余额计算的周转效率出现下降时，收入确认与现金回款之间可能存在节奏不一致，需要在业务承接、续约复核或审计计划阶段予以关注。</w:t>
      </w:r>
    </w:p>
    <w:p w14:paraId="35696378">
      <w:pPr>
        <w:rPr>
          <w:rFonts w:hint="eastAsia"/>
        </w:rPr>
      </w:pPr>
    </w:p>
    <w:p w14:paraId="769E1FFA">
      <w:pPr>
        <w:rPr>
          <w:rFonts w:hint="eastAsia"/>
        </w:rPr>
      </w:pPr>
      <w:r>
        <w:rPr>
          <w:rFonts w:hint="eastAsia"/>
        </w:rPr>
        <w:t>本规则不判断收入是否真实，也不得出“公司存在舞弊”的结论，而是提示审计师关注该领域并进一步了解背后的业务原因。通俗地说，如果收入增长百分之五，但应收账款增长百分之三十，说明公司每实现一元收入，对应的现金回收节奏在放缓。这可能源于商业策略调整，也可能指向需要进一步核查的潜在风险。本规则将这一现象转化为“待核查事项”，并输出正常解释候选、资料依据缺口和待索取资料清单，供审计师后续专业判断。</w:t>
      </w:r>
    </w:p>
    <w:p w14:paraId="081E344C">
      <w:pPr>
        <w:rPr>
          <w:rFonts w:hint="eastAsia"/>
        </w:rPr>
      </w:pPr>
    </w:p>
    <w:p w14:paraId="47565E33">
      <w:pPr>
        <w:pStyle w:val="2"/>
        <w:bidi w:val="0"/>
        <w:rPr>
          <w:rFonts w:hint="eastAsia"/>
        </w:rPr>
      </w:pPr>
      <w:r>
        <w:rPr>
          <w:rFonts w:hint="eastAsia"/>
        </w:rPr>
        <w:t>二、需要哪些数字</w:t>
      </w:r>
    </w:p>
    <w:p w14:paraId="7F0A7EAF">
      <w:pPr>
        <w:rPr>
          <w:rFonts w:hint="eastAsia"/>
        </w:rPr>
      </w:pPr>
      <w:r>
        <w:rPr>
          <w:rFonts w:hint="eastAsia"/>
        </w:rPr>
        <w:t>运行本规则需要从年报中提取以下核心字段，均为合并报表口径，金额单位为万元。</w:t>
      </w:r>
    </w:p>
    <w:p w14:paraId="242A2C8B">
      <w:pPr>
        <w:rPr>
          <w:rFonts w:hint="eastAsia"/>
        </w:rPr>
      </w:pPr>
    </w:p>
    <w:p w14:paraId="0627CE7D">
      <w:pPr>
        <w:rPr>
          <w:rFonts w:hint="eastAsia"/>
        </w:rPr>
      </w:pPr>
      <w:r>
        <w:rPr>
          <w:rFonts w:hint="eastAsia"/>
        </w:rPr>
        <w:t>第一，本年营业收入，取自利润表。</w:t>
      </w:r>
    </w:p>
    <w:p w14:paraId="184E6C1C">
      <w:pPr>
        <w:rPr>
          <w:rFonts w:hint="eastAsia"/>
        </w:rPr>
      </w:pPr>
    </w:p>
    <w:p w14:paraId="66C21051">
      <w:pPr>
        <w:rPr>
          <w:rFonts w:hint="eastAsia"/>
        </w:rPr>
      </w:pPr>
      <w:r>
        <w:rPr>
          <w:rFonts w:hint="eastAsia"/>
        </w:rPr>
        <w:t>第二，上年营业收入，取自利润表。</w:t>
      </w:r>
    </w:p>
    <w:p w14:paraId="3FABA10A">
      <w:pPr>
        <w:rPr>
          <w:rFonts w:hint="eastAsia"/>
        </w:rPr>
      </w:pPr>
    </w:p>
    <w:p w14:paraId="529A3846">
      <w:pPr>
        <w:rPr>
          <w:rFonts w:hint="eastAsia"/>
        </w:rPr>
      </w:pPr>
      <w:r>
        <w:rPr>
          <w:rFonts w:hint="eastAsia"/>
        </w:rPr>
        <w:t>第三，本年末应收账款账面价值，取自资产负债表，为扣除坏账准备后的净额。</w:t>
      </w:r>
    </w:p>
    <w:p w14:paraId="2671ACB2">
      <w:pPr>
        <w:rPr>
          <w:rFonts w:hint="eastAsia"/>
        </w:rPr>
      </w:pPr>
    </w:p>
    <w:p w14:paraId="79AC979E">
      <w:pPr>
        <w:rPr>
          <w:rFonts w:hint="eastAsia"/>
        </w:rPr>
      </w:pPr>
      <w:r>
        <w:rPr>
          <w:rFonts w:hint="eastAsia"/>
        </w:rPr>
        <w:t>第四，上年末应收账款账面价值，取自资产负债表，为扣除坏账准备后的净额。</w:t>
      </w:r>
    </w:p>
    <w:p w14:paraId="35F97324">
      <w:pPr>
        <w:rPr>
          <w:rFonts w:hint="eastAsia"/>
        </w:rPr>
      </w:pPr>
    </w:p>
    <w:p w14:paraId="4E5E8322">
      <w:pPr>
        <w:rPr>
          <w:rFonts w:hint="eastAsia"/>
        </w:rPr>
      </w:pPr>
      <w:r>
        <w:rPr>
          <w:rFonts w:hint="eastAsia"/>
        </w:rPr>
        <w:t>第五，上上年末应收账款账面价值，取自资产负债表。该字段用于计算本年度应收账款平均余额，即（本年末余额 + 上年末余额）÷ 2，以及上年度平均余额，即（上年末余额 + 上上年末余额）÷ 2。若上上年末数据缺失，则改用期末余额口径计算周转天数作为替代，并标注“口径调整为期末余额”。</w:t>
      </w:r>
    </w:p>
    <w:p w14:paraId="40B3972B">
      <w:pPr>
        <w:rPr>
          <w:rFonts w:hint="eastAsia"/>
        </w:rPr>
      </w:pPr>
    </w:p>
    <w:p w14:paraId="36858AFA">
      <w:pPr>
        <w:rPr>
          <w:rFonts w:hint="eastAsia"/>
        </w:rPr>
      </w:pPr>
      <w:r>
        <w:rPr>
          <w:rFonts w:hint="eastAsia"/>
        </w:rPr>
        <w:t>以上五个数字构成使用平均余额口径计算周转天数的必要条件。若第五项缺失，系统自动降级为期末余额口径，并在输出中明确标注口径变化，不中断规则运行。</w:t>
      </w:r>
    </w:p>
    <w:p w14:paraId="4F6E5372">
      <w:pPr>
        <w:rPr>
          <w:rFonts w:hint="eastAsia"/>
        </w:rPr>
      </w:pPr>
    </w:p>
    <w:p w14:paraId="72D2F8AA">
      <w:pPr>
        <w:rPr>
          <w:rFonts w:hint="eastAsia"/>
        </w:rPr>
      </w:pPr>
      <w:r>
        <w:rPr>
          <w:rFonts w:hint="eastAsia"/>
        </w:rPr>
        <w:t>以下为可选补充字段，有则增强判断，缺失不影响主规则触发：</w:t>
      </w:r>
    </w:p>
    <w:p w14:paraId="0841EF93">
      <w:pPr>
        <w:rPr>
          <w:rFonts w:hint="eastAsia"/>
        </w:rPr>
      </w:pPr>
    </w:p>
    <w:p w14:paraId="1DA623A1">
      <w:pPr>
        <w:rPr>
          <w:rFonts w:hint="eastAsia"/>
        </w:rPr>
      </w:pPr>
      <w:r>
        <w:rPr>
          <w:rFonts w:hint="eastAsia"/>
        </w:rPr>
        <w:t>第六，本年经营活动现金流净额，取自现金流量表，用于辅助验证收入的现金实现质量。</w:t>
      </w:r>
    </w:p>
    <w:p w14:paraId="36BD74C1">
      <w:pPr>
        <w:rPr>
          <w:rFonts w:hint="eastAsia"/>
        </w:rPr>
      </w:pPr>
    </w:p>
    <w:p w14:paraId="48A9105B">
      <w:pPr>
        <w:rPr>
          <w:rFonts w:hint="eastAsia"/>
        </w:rPr>
      </w:pPr>
      <w:r>
        <w:rPr>
          <w:rFonts w:hint="eastAsia"/>
        </w:rPr>
        <w:t>第七，本年末合同资产余额，取自资产负债表附注，若有则帮助区分应收款项的构成变化。</w:t>
      </w:r>
    </w:p>
    <w:p w14:paraId="7753655B">
      <w:pPr>
        <w:rPr>
          <w:rFonts w:hint="eastAsia"/>
        </w:rPr>
      </w:pPr>
    </w:p>
    <w:p w14:paraId="7139689A">
      <w:pPr>
        <w:rPr>
          <w:rFonts w:hint="eastAsia"/>
        </w:rPr>
      </w:pPr>
      <w:r>
        <w:rPr>
          <w:rFonts w:hint="eastAsia"/>
        </w:rPr>
        <w:t>第八，收入确认政策及信用政策描述原文，取自附注或管理层讨论，用于后续维度验证。</w:t>
      </w:r>
    </w:p>
    <w:p w14:paraId="06445C0C">
      <w:pPr>
        <w:rPr>
          <w:rFonts w:hint="eastAsia"/>
        </w:rPr>
      </w:pPr>
    </w:p>
    <w:p w14:paraId="19476873">
      <w:pPr>
        <w:pStyle w:val="2"/>
        <w:bidi w:val="0"/>
        <w:rPr>
          <w:rFonts w:hint="eastAsia"/>
        </w:rPr>
      </w:pPr>
      <w:r>
        <w:rPr>
          <w:rFonts w:hint="eastAsia"/>
        </w:rPr>
        <w:t>三、公式怎么算</w:t>
      </w:r>
    </w:p>
    <w:p w14:paraId="0D41F647">
      <w:pPr>
        <w:rPr>
          <w:rFonts w:hint="eastAsia"/>
        </w:rPr>
      </w:pPr>
      <w:r>
        <w:rPr>
          <w:rFonts w:hint="eastAsia"/>
        </w:rPr>
        <w:t>本规则使用以下计算公式。</w:t>
      </w:r>
    </w:p>
    <w:p w14:paraId="5B4E5278">
      <w:pPr>
        <w:rPr>
          <w:rFonts w:hint="eastAsia"/>
        </w:rPr>
      </w:pPr>
    </w:p>
    <w:p w14:paraId="4D919B8A">
      <w:pPr>
        <w:rPr>
          <w:rFonts w:hint="eastAsia"/>
        </w:rPr>
      </w:pPr>
      <w:r>
        <w:rPr>
          <w:rFonts w:hint="eastAsia"/>
        </w:rPr>
        <w:t>第一个公式，收入增长率。计算公式为：本年营业收入减去上年营业收入，除以上年营业收入，再乘以百分之百，结果以百分比表示。</w:t>
      </w:r>
    </w:p>
    <w:p w14:paraId="60803C81">
      <w:pPr>
        <w:rPr>
          <w:rFonts w:hint="eastAsia"/>
        </w:rPr>
      </w:pPr>
    </w:p>
    <w:p w14:paraId="1EBC7522">
      <w:pPr>
        <w:rPr>
          <w:rFonts w:hint="eastAsia"/>
        </w:rPr>
      </w:pPr>
      <w:r>
        <w:rPr>
          <w:rFonts w:hint="eastAsia"/>
        </w:rPr>
        <w:t>第二个公式，应收账款增长率。计算公式为：本年末应收账款账面价值减去上年末应收账款账面价值，除以上年末应收账款账面价值，再乘以百分之百，结果以百分比表示。</w:t>
      </w:r>
    </w:p>
    <w:p w14:paraId="06BC8E9B">
      <w:pPr>
        <w:rPr>
          <w:rFonts w:hint="eastAsia"/>
        </w:rPr>
      </w:pPr>
    </w:p>
    <w:p w14:paraId="11D4B365">
      <w:pPr>
        <w:rPr>
          <w:rFonts w:hint="eastAsia"/>
        </w:rPr>
      </w:pPr>
      <w:r>
        <w:rPr>
          <w:rFonts w:hint="eastAsia"/>
        </w:rPr>
        <w:t>第三个公式，应收账款周转天数，采用平均应收账款余额口径。计算公式为：本年末应收账款账面价值与上年末应收账款账面价值的算术平均值，除以本年营业收入，再乘以三百六十天。即周转天数 = ［（本年末应收 + 上年末应收）÷ 2］÷ 本年收入 × 360天。结果以“天”为单位。</w:t>
      </w:r>
    </w:p>
    <w:p w14:paraId="25D84743">
      <w:pPr>
        <w:rPr>
          <w:rFonts w:hint="eastAsia"/>
        </w:rPr>
      </w:pPr>
    </w:p>
    <w:p w14:paraId="3E4ED825">
      <w:pPr>
        <w:rPr>
          <w:rFonts w:hint="eastAsia"/>
        </w:rPr>
      </w:pPr>
      <w:r>
        <w:rPr>
          <w:rFonts w:hint="eastAsia"/>
        </w:rPr>
        <w:t>为观察周转效率的变化方向，同时计算上年度应收账款周转天数。计算公式为：上年末应收账款账面价值与上上年末应收账款账面价值的算术平均值，除以上年营业收入，再乘以三百六十天。</w:t>
      </w:r>
    </w:p>
    <w:p w14:paraId="5505BA8B">
      <w:pPr>
        <w:rPr>
          <w:rFonts w:hint="eastAsia"/>
        </w:rPr>
      </w:pPr>
    </w:p>
    <w:p w14:paraId="16E5924E">
      <w:pPr>
        <w:rPr>
          <w:rFonts w:hint="eastAsia"/>
        </w:rPr>
      </w:pPr>
      <w:r>
        <w:rPr>
          <w:rFonts w:hint="eastAsia"/>
        </w:rPr>
        <w:t>如果上上年末应收账款数据缺失，无法计算平均余额，则改用期末余额口径作为替代：周转天数 = 本年末应收 ÷ 本年收入 × 360天，并在输出中标注“采用期末余额口径，未使用平均值”。</w:t>
      </w:r>
    </w:p>
    <w:p w14:paraId="216C9CF4">
      <w:pPr>
        <w:rPr>
          <w:rFonts w:hint="eastAsia"/>
        </w:rPr>
      </w:pPr>
    </w:p>
    <w:p w14:paraId="13FF035D">
      <w:pPr>
        <w:rPr>
          <w:rFonts w:hint="eastAsia"/>
        </w:rPr>
      </w:pPr>
      <w:r>
        <w:rPr>
          <w:rFonts w:hint="eastAsia"/>
        </w:rPr>
        <w:t>所有计算中，若分母为零或任一输入数据缺失且无法降级替代，则该指标标记为“无法计算”，不触发规则。</w:t>
      </w:r>
    </w:p>
    <w:p w14:paraId="4FB4D7D5">
      <w:pPr>
        <w:rPr>
          <w:rFonts w:hint="eastAsia"/>
        </w:rPr>
      </w:pPr>
    </w:p>
    <w:p w14:paraId="705FD3FC">
      <w:pPr>
        <w:pStyle w:val="2"/>
        <w:bidi w:val="0"/>
        <w:rPr>
          <w:rFonts w:hint="eastAsia"/>
        </w:rPr>
      </w:pPr>
      <w:r>
        <w:rPr>
          <w:rFonts w:hint="eastAsia"/>
        </w:rPr>
        <w:t>四、触发逻辑与暂缓条件</w:t>
      </w:r>
    </w:p>
    <w:p w14:paraId="2F3AA1D9">
      <w:pPr>
        <w:rPr>
          <w:rFonts w:hint="eastAsia"/>
        </w:rPr>
      </w:pPr>
      <w:r>
        <w:rPr>
          <w:rFonts w:hint="eastAsia"/>
        </w:rPr>
        <w:t>本规则采用分层判断逻辑。</w:t>
      </w:r>
    </w:p>
    <w:p w14:paraId="6CD141C9">
      <w:pPr>
        <w:rPr>
          <w:rFonts w:hint="eastAsia"/>
        </w:rPr>
      </w:pPr>
    </w:p>
    <w:p w14:paraId="1476A3F1">
      <w:pPr>
        <w:rPr>
          <w:rFonts w:hint="eastAsia"/>
        </w:rPr>
      </w:pPr>
      <w:r>
        <w:rPr>
          <w:rFonts w:hint="eastAsia"/>
        </w:rPr>
        <w:t>第一层，初步触发条件。当应收账款增长率大于收入增长率时，规则进入待核查状态，系统输出提示：“应收增速高于收入增速，需进一步了解信用政策变化及结算周期。”该层仅为初步筛选，不直接形成正式风险卡。</w:t>
      </w:r>
    </w:p>
    <w:p w14:paraId="48F31618">
      <w:pPr>
        <w:rPr>
          <w:rFonts w:hint="eastAsia"/>
        </w:rPr>
      </w:pPr>
    </w:p>
    <w:p w14:paraId="77E59379">
      <w:pPr>
        <w:rPr>
          <w:rFonts w:hint="eastAsia"/>
        </w:rPr>
      </w:pPr>
      <w:r>
        <w:rPr>
          <w:rFonts w:hint="eastAsia"/>
        </w:rPr>
        <w:t>第二层，增强触发条件。在初步触发的基础上，若同时满足本年度应收账款周转天数大于上年度周转天数，即回款效率下降，则该线索的待核查优先级提升，系统输出增强提示：“应收增速高于收入增速，且周转效率下降，建议重点关注。”</w:t>
      </w:r>
    </w:p>
    <w:p w14:paraId="6E358A43">
      <w:pPr>
        <w:rPr>
          <w:rFonts w:hint="eastAsia"/>
        </w:rPr>
      </w:pPr>
    </w:p>
    <w:p w14:paraId="63726154">
      <w:pPr>
        <w:rPr>
          <w:rFonts w:hint="eastAsia"/>
        </w:rPr>
      </w:pPr>
      <w:r>
        <w:rPr>
          <w:rFonts w:hint="eastAsia"/>
        </w:rPr>
        <w:t>第三层，确认触发条件。若上述趋势连续两年或更长时间持续存在，而非仅在某一年偶发，则该线索进入正式风险卡候选列表。若仅为单年偶发，标记为“观察项”，暂不进入正式风险卡。</w:t>
      </w:r>
    </w:p>
    <w:p w14:paraId="7F84A03B">
      <w:pPr>
        <w:rPr>
          <w:rFonts w:hint="eastAsia"/>
        </w:rPr>
      </w:pPr>
    </w:p>
    <w:p w14:paraId="72569054">
      <w:pPr>
        <w:rPr>
          <w:rFonts w:hint="eastAsia"/>
        </w:rPr>
      </w:pPr>
      <w:r>
        <w:rPr>
          <w:rFonts w:hint="eastAsia"/>
        </w:rPr>
        <w:t>关于“增长率高出多少才算显著”，即具体的数值阈值，目前暂不设定，待开发样例测试后由团队根据实际数据分布共同确认。队长编码时先按定性条件搭建框架，即应收增长率大于收入增长率即为初步触发，具体阈值作为可配置参数预留。</w:t>
      </w:r>
    </w:p>
    <w:p w14:paraId="470564F4">
      <w:pPr>
        <w:rPr>
          <w:rFonts w:hint="eastAsia"/>
        </w:rPr>
      </w:pPr>
    </w:p>
    <w:p w14:paraId="20C91C3B">
      <w:pPr>
        <w:rPr>
          <w:rFonts w:hint="eastAsia"/>
        </w:rPr>
      </w:pPr>
      <w:r>
        <w:rPr>
          <w:rFonts w:hint="eastAsia"/>
        </w:rPr>
        <w:t>暂缓条件如下。当初步触发或增强触发后，如果存在下文第五部分所列的正常解释候选，并且该解释能够从T0公开资料中找到原文支持，系统可将该线索降级为“暂缓”或“观察项”，不纳入正式风险卡输出。降级原因须一并记录并展示。</w:t>
      </w:r>
    </w:p>
    <w:p w14:paraId="0702A8E3">
      <w:pPr>
        <w:rPr>
          <w:rFonts w:hint="eastAsia"/>
        </w:rPr>
      </w:pPr>
    </w:p>
    <w:p w14:paraId="56F9A7C1">
      <w:pPr>
        <w:pStyle w:val="2"/>
        <w:bidi w:val="0"/>
        <w:rPr>
          <w:rFonts w:hint="eastAsia"/>
        </w:rPr>
      </w:pPr>
      <w:r>
        <w:rPr>
          <w:rFonts w:hint="eastAsia"/>
        </w:rPr>
        <w:t>五、有哪些正常原因也可能造成这种情况</w:t>
      </w:r>
    </w:p>
    <w:p w14:paraId="081E30A7">
      <w:pPr>
        <w:rPr>
          <w:rFonts w:hint="eastAsia"/>
        </w:rPr>
      </w:pPr>
      <w:r>
        <w:rPr>
          <w:rFonts w:hint="eastAsia"/>
        </w:rPr>
        <w:t>在得出“需进一步核查”的结论前，系统必须主动检索并考虑以下正常商业解释。每个解释都需要有年报原文或公开资料作为支持依据，不能凭空猜测。若检索不到任何正常解释的支持依据，反证智能体应输出“未检索到可核验的正常解释”，该线索不得自动驳回，进入人工复核。</w:t>
      </w:r>
    </w:p>
    <w:p w14:paraId="0C1F371A">
      <w:pPr>
        <w:rPr>
          <w:rFonts w:hint="eastAsia"/>
        </w:rPr>
      </w:pPr>
    </w:p>
    <w:p w14:paraId="62D0383C">
      <w:pPr>
        <w:rPr>
          <w:rFonts w:hint="eastAsia"/>
        </w:rPr>
      </w:pPr>
      <w:r>
        <w:rPr>
          <w:rFonts w:hint="eastAsia"/>
        </w:rPr>
        <w:t>第一个正常解释候选，新增大客户或大额订单。公司本年度拓展了新客户或获得了大额订单，给予该客户更长的信用期，例如原有客户信用期为三十天，新客户要求九十天，导致期末应收账款余额显著上升。支持证据应来自年报管理层讨论或附注中“新增大客户”“拓展新市场”“合同签订”等相关表述。</w:t>
      </w:r>
    </w:p>
    <w:p w14:paraId="0182F6DF">
      <w:pPr>
        <w:rPr>
          <w:rFonts w:hint="eastAsia"/>
        </w:rPr>
      </w:pPr>
    </w:p>
    <w:p w14:paraId="78E08591">
      <w:pPr>
        <w:rPr>
          <w:rFonts w:hint="eastAsia"/>
        </w:rPr>
      </w:pPr>
      <w:r>
        <w:rPr>
          <w:rFonts w:hint="eastAsia"/>
        </w:rPr>
        <w:t>第二个正常解释候选，信用政策主动调整。公司为应对市场竞争，主动延长信用期或调整结算方式以稳定客户关系。支持证据应来自管理层讨论中“调整信用政策”“优化结算方式”“应对市场竞争”等相关表述。</w:t>
      </w:r>
    </w:p>
    <w:p w14:paraId="118FF708">
      <w:pPr>
        <w:rPr>
          <w:rFonts w:hint="eastAsia"/>
        </w:rPr>
      </w:pPr>
    </w:p>
    <w:p w14:paraId="211DCE18">
      <w:pPr>
        <w:rPr>
          <w:rFonts w:hint="eastAsia"/>
        </w:rPr>
      </w:pPr>
      <w:r>
        <w:rPr>
          <w:rFonts w:hint="eastAsia"/>
        </w:rPr>
        <w:t>第三个正常解释候选，行业结算周期整体拉长。受宏观经济环境或行业惯例变化影响，上下游账期普遍后移，公司作为产业链一环被动跟随。支持证据应来自同行年报、行业统计或公开报告中关于账期变化的描述。</w:t>
      </w:r>
    </w:p>
    <w:p w14:paraId="466449BB">
      <w:pPr>
        <w:rPr>
          <w:rFonts w:hint="eastAsia"/>
        </w:rPr>
      </w:pPr>
    </w:p>
    <w:p w14:paraId="54566F6D">
      <w:pPr>
        <w:rPr>
          <w:rFonts w:hint="eastAsia"/>
        </w:rPr>
      </w:pPr>
      <w:r>
        <w:rPr>
          <w:rFonts w:hint="eastAsia"/>
        </w:rPr>
        <w:t>第四个正常解释候选，季节性因素或集中交付。公司业务具有季节性特征，或工程项目在年末集中验收交付，收入确认时点与收款时点之间存在合理的时间差。支持证据应来自分季度收入数据、业务模式描述或行业惯例说明。</w:t>
      </w:r>
    </w:p>
    <w:p w14:paraId="049B1DEF">
      <w:pPr>
        <w:rPr>
          <w:rFonts w:hint="eastAsia"/>
        </w:rPr>
      </w:pPr>
    </w:p>
    <w:p w14:paraId="1F463101">
      <w:pPr>
        <w:rPr>
          <w:rFonts w:hint="eastAsia"/>
        </w:rPr>
      </w:pPr>
      <w:r>
        <w:rPr>
          <w:rFonts w:hint="eastAsia"/>
        </w:rPr>
        <w:t>第五个正常解释候选，收入确认口径调整。公司本期发生了会计政策变更或对特定交易的收入确认时点进行了调整，导致收入确认与现金回款的节奏发生变化。支持证据应来自附注中“重要会计政策”“会计政策变更”或收入确认原则的相关描述。</w:t>
      </w:r>
    </w:p>
    <w:p w14:paraId="7B470B3B">
      <w:pPr>
        <w:rPr>
          <w:rFonts w:hint="eastAsia"/>
        </w:rPr>
      </w:pPr>
    </w:p>
    <w:p w14:paraId="3EEA7FB9">
      <w:pPr>
        <w:rPr>
          <w:rFonts w:hint="eastAsia"/>
        </w:rPr>
      </w:pPr>
      <w:r>
        <w:rPr>
          <w:rFonts w:hint="eastAsia"/>
        </w:rPr>
        <w:t>第六个正常解释候选，合同资产重分类。部分款项从合同资产转入应收账款，造成应收账款账面余额被动上升。支持证据应来自资产负债表附注中合同资产与应收账款的变动说明。</w:t>
      </w:r>
    </w:p>
    <w:p w14:paraId="74982C40">
      <w:pPr>
        <w:rPr>
          <w:rFonts w:hint="eastAsia"/>
        </w:rPr>
      </w:pPr>
    </w:p>
    <w:p w14:paraId="2F775CDE">
      <w:pPr>
        <w:rPr>
          <w:rFonts w:hint="eastAsia"/>
        </w:rPr>
      </w:pPr>
      <w:r>
        <w:rPr>
          <w:rFonts w:hint="eastAsia"/>
        </w:rPr>
        <w:t>如果以上正常解释中任一解释能够从T0公开资料中找到原文支持，系统应在风险卡中同步展示该解释及其支持证据，并将线索标记为“存在正常解释候选，建议人工复核”。如果审计师经复核后认为正常解释成立，该线索可被关闭，全程保留人工确认记录。</w:t>
      </w:r>
    </w:p>
    <w:p w14:paraId="191258B3">
      <w:pPr>
        <w:rPr>
          <w:rFonts w:hint="eastAsia"/>
        </w:rPr>
      </w:pPr>
    </w:p>
    <w:p w14:paraId="3FF77F26">
      <w:pPr>
        <w:pStyle w:val="2"/>
        <w:bidi w:val="0"/>
        <w:rPr>
          <w:rFonts w:hint="eastAsia"/>
        </w:rPr>
      </w:pPr>
      <w:r>
        <w:rPr>
          <w:rFonts w:hint="eastAsia"/>
        </w:rPr>
        <w:t>六、证据缺口：公开资料还不能回答什么</w:t>
      </w:r>
    </w:p>
    <w:p w14:paraId="14DCAF65">
      <w:pPr>
        <w:rPr>
          <w:rFonts w:hint="eastAsia"/>
        </w:rPr>
      </w:pPr>
      <w:r>
        <w:rPr>
          <w:rFonts w:hint="eastAsia"/>
        </w:rPr>
        <w:t>仅凭年报和公开公告，以下问题无法直接回答，构成资料依据缺口。这些缺口正是本规则输出“待索取资料”的依据。</w:t>
      </w:r>
    </w:p>
    <w:p w14:paraId="755E4BD6">
      <w:pPr>
        <w:rPr>
          <w:rFonts w:hint="eastAsia"/>
        </w:rPr>
      </w:pPr>
    </w:p>
    <w:p w14:paraId="458A4D50">
      <w:pPr>
        <w:rPr>
          <w:rFonts w:hint="eastAsia"/>
        </w:rPr>
      </w:pPr>
      <w:r>
        <w:rPr>
          <w:rFonts w:hint="eastAsia"/>
        </w:rPr>
        <w:t>第一个缺口，应收账款的账龄结构。年报通常只披露应收账款总额，不披露一年以内、一到两年、两到三年、三年以上各占多少，无法判断是否存在长期挂账、回收风险上升的款项。</w:t>
      </w:r>
    </w:p>
    <w:p w14:paraId="7A94B2C6">
      <w:pPr>
        <w:rPr>
          <w:rFonts w:hint="eastAsia"/>
        </w:rPr>
      </w:pPr>
    </w:p>
    <w:p w14:paraId="0A18E585">
      <w:pPr>
        <w:rPr>
          <w:rFonts w:hint="eastAsia"/>
        </w:rPr>
      </w:pPr>
      <w:r>
        <w:rPr>
          <w:rFonts w:hint="eastAsia"/>
        </w:rPr>
        <w:t>第二个缺口，资产负债表日后的期后回款金额。年报截止于十二月三十一日，但次年一月到三月是否有收回款项，年报正文中通常不披露。没有期后回款信息，无法验证年末余额是否在正常周期内收回。</w:t>
      </w:r>
    </w:p>
    <w:p w14:paraId="47094C8C">
      <w:pPr>
        <w:rPr>
          <w:rFonts w:hint="eastAsia"/>
        </w:rPr>
      </w:pPr>
    </w:p>
    <w:p w14:paraId="03FE9365">
      <w:pPr>
        <w:rPr>
          <w:rFonts w:hint="eastAsia"/>
        </w:rPr>
      </w:pPr>
      <w:r>
        <w:rPr>
          <w:rFonts w:hint="eastAsia"/>
        </w:rPr>
        <w:t>第三个缺口，大额应收账款对应的客户名称及合同结算条款。年报不披露具体客户名称和信用期安排，无法核实信用政策是否真实、是否存在特殊结算安排。</w:t>
      </w:r>
    </w:p>
    <w:p w14:paraId="1C5665E8">
      <w:pPr>
        <w:rPr>
          <w:rFonts w:hint="eastAsia"/>
        </w:rPr>
      </w:pPr>
    </w:p>
    <w:p w14:paraId="4B5BEC83">
      <w:pPr>
        <w:rPr>
          <w:rFonts w:hint="eastAsia"/>
        </w:rPr>
      </w:pPr>
      <w:r>
        <w:rPr>
          <w:rFonts w:hint="eastAsia"/>
        </w:rPr>
        <w:t>第四个缺口，收入确认政策是否被实际执行。年报披露了收入确认原则，但无法从中判断公司是否严格按照该政策执行、是否存在年末突击确认收入的情况。</w:t>
      </w:r>
    </w:p>
    <w:p w14:paraId="60185A55">
      <w:pPr>
        <w:rPr>
          <w:rFonts w:hint="eastAsia"/>
        </w:rPr>
      </w:pPr>
    </w:p>
    <w:p w14:paraId="1899CBD2">
      <w:pPr>
        <w:rPr>
          <w:rFonts w:hint="eastAsia"/>
        </w:rPr>
      </w:pPr>
      <w:r>
        <w:rPr>
          <w:rFonts w:hint="eastAsia"/>
        </w:rPr>
        <w:t>第五个缺口，主要客户的工商登记信息及与公司的关联关系。年报不披露客户背景，无法判断是否存在关联方交易或空壳公司交易的可能。</w:t>
      </w:r>
    </w:p>
    <w:p w14:paraId="56A379DF">
      <w:pPr>
        <w:rPr>
          <w:rFonts w:hint="eastAsia"/>
        </w:rPr>
      </w:pPr>
    </w:p>
    <w:p w14:paraId="3ED962F0">
      <w:pPr>
        <w:pStyle w:val="2"/>
        <w:bidi w:val="0"/>
        <w:rPr>
          <w:rFonts w:hint="eastAsia"/>
        </w:rPr>
      </w:pPr>
      <w:r>
        <w:rPr>
          <w:rFonts w:hint="eastAsia"/>
        </w:rPr>
        <w:t>七、待索取资料清单</w:t>
      </w:r>
    </w:p>
    <w:p w14:paraId="527D98C1">
      <w:pPr>
        <w:rPr>
          <w:rFonts w:hint="eastAsia"/>
        </w:rPr>
      </w:pPr>
      <w:r>
        <w:rPr>
          <w:rFonts w:hint="eastAsia"/>
        </w:rPr>
        <w:t>针对上述证据缺口，建议向客户索取以下资料，索取方向因场景不同而有差异，见第八部分。</w:t>
      </w:r>
    </w:p>
    <w:p w14:paraId="6EAEB351">
      <w:pPr>
        <w:rPr>
          <w:rFonts w:hint="eastAsia"/>
        </w:rPr>
      </w:pPr>
    </w:p>
    <w:p w14:paraId="705E4D99">
      <w:pPr>
        <w:rPr>
          <w:rFonts w:hint="eastAsia"/>
        </w:rPr>
      </w:pPr>
      <w:r>
        <w:rPr>
          <w:rFonts w:hint="eastAsia"/>
        </w:rPr>
        <w:t>第一项，应收账款明细表及账龄分析表。需包含每笔应收账款的客户名称、金额、账龄分段及坏账计提情况，用以判断一年以上占比是否上升、是否存在回收风险。</w:t>
      </w:r>
    </w:p>
    <w:p w14:paraId="42B92EB2">
      <w:pPr>
        <w:rPr>
          <w:rFonts w:hint="eastAsia"/>
        </w:rPr>
      </w:pPr>
    </w:p>
    <w:p w14:paraId="03B8FF9F">
      <w:pPr>
        <w:rPr>
          <w:rFonts w:hint="eastAsia"/>
        </w:rPr>
      </w:pPr>
      <w:r>
        <w:rPr>
          <w:rFonts w:hint="eastAsia"/>
        </w:rPr>
        <w:t>第二项，资产负债表日后的期后回款统计。需提供次年一季度或三个月内的回款金额及对应银行流水摘要，用以验证年末余额是否在期后正常收回。</w:t>
      </w:r>
    </w:p>
    <w:p w14:paraId="5F67D3EC">
      <w:pPr>
        <w:rPr>
          <w:rFonts w:hint="eastAsia"/>
        </w:rPr>
      </w:pPr>
    </w:p>
    <w:p w14:paraId="7EA75AB5">
      <w:pPr>
        <w:rPr>
          <w:rFonts w:hint="eastAsia"/>
        </w:rPr>
      </w:pPr>
      <w:r>
        <w:rPr>
          <w:rFonts w:hint="eastAsia"/>
        </w:rPr>
        <w:t>第三项，前五大或大额应收账款对应的销售合同关键页。重点查看信用期条款、验收条件、结算方式和退货政策。</w:t>
      </w:r>
    </w:p>
    <w:p w14:paraId="67A65C29">
      <w:pPr>
        <w:rPr>
          <w:rFonts w:hint="eastAsia"/>
        </w:rPr>
      </w:pPr>
    </w:p>
    <w:p w14:paraId="2DD62CDB">
      <w:pPr>
        <w:rPr>
          <w:rFonts w:hint="eastAsia"/>
        </w:rPr>
      </w:pPr>
      <w:r>
        <w:rPr>
          <w:rFonts w:hint="eastAsia"/>
        </w:rPr>
        <w:t>第四项，大额收入交易的销售明细及支持性凭证。包括发票、出库单、发运记录、客户签收或验收单等，用于核查收入确认时点是否准确。</w:t>
      </w:r>
    </w:p>
    <w:p w14:paraId="2540562D">
      <w:pPr>
        <w:rPr>
          <w:rFonts w:hint="eastAsia"/>
        </w:rPr>
      </w:pPr>
    </w:p>
    <w:p w14:paraId="18FA44A2">
      <w:pPr>
        <w:rPr>
          <w:rFonts w:hint="eastAsia"/>
        </w:rPr>
      </w:pPr>
      <w:r>
        <w:rPr>
          <w:rFonts w:hint="eastAsia"/>
        </w:rPr>
        <w:t>第五项，主要客户的工商登记信息。用于判断是否存在关联方交易或与空壳公司交易的可能，可在取得客户授权后通过公开渠道核对。</w:t>
      </w:r>
    </w:p>
    <w:p w14:paraId="7E5C78B9">
      <w:pPr>
        <w:rPr>
          <w:rFonts w:hint="eastAsia"/>
        </w:rPr>
      </w:pPr>
    </w:p>
    <w:p w14:paraId="7D58B064">
      <w:pPr>
        <w:pStyle w:val="2"/>
        <w:bidi w:val="0"/>
        <w:rPr>
          <w:rFonts w:hint="eastAsia"/>
        </w:rPr>
      </w:pPr>
      <w:r>
        <w:rPr>
          <w:rFonts w:hint="eastAsia"/>
        </w:rPr>
        <w:t>八、分场景输出</w:t>
      </w:r>
    </w:p>
    <w:p w14:paraId="334620DC">
      <w:pPr>
        <w:rPr>
          <w:rFonts w:hint="eastAsia"/>
        </w:rPr>
      </w:pPr>
      <w:r>
        <w:rPr>
          <w:rFonts w:hint="eastAsia"/>
        </w:rPr>
        <w:t>本规则在不同场景下输出不同内容，统一遵守“只输出待核查线索，不输出审计结论或承接决定”的原则。</w:t>
      </w:r>
    </w:p>
    <w:p w14:paraId="77A7EBD0">
      <w:pPr>
        <w:rPr>
          <w:rFonts w:hint="eastAsia"/>
        </w:rPr>
      </w:pPr>
    </w:p>
    <w:p w14:paraId="2C8FE122">
      <w:pPr>
        <w:rPr>
          <w:rFonts w:hint="eastAsia"/>
        </w:rPr>
      </w:pPr>
      <w:r>
        <w:rPr>
          <w:rFonts w:hint="eastAsia"/>
        </w:rPr>
        <w:t>在业务承接和续约复核阶段，系统仅输出风险线索及资料依据缺口。承接场景下表述为：“该公司收入增长与应收账款回款节奏存在不一致，建议进一步了解行业信用政策和主要客户质量，作为承接评估的参考信息。”续约场景下表述为：“本年应收增速高于收入增速，且周转天数较上年上升X天，较上年变化方向为改善或恶化，建议项目组在续约沟通中关注该领域是否影响持续经营评估。”系统不决定是否承接或续约，该决定保留给人。</w:t>
      </w:r>
    </w:p>
    <w:p w14:paraId="38781474">
      <w:pPr>
        <w:rPr>
          <w:rFonts w:hint="eastAsia"/>
        </w:rPr>
      </w:pPr>
    </w:p>
    <w:p w14:paraId="79485EE9">
      <w:pPr>
        <w:rPr>
          <w:rFonts w:hint="eastAsia"/>
        </w:rPr>
      </w:pPr>
      <w:r>
        <w:rPr>
          <w:rFonts w:hint="eastAsia"/>
        </w:rPr>
        <w:t>在审计计划阶段，系统在上述基础上，进一步展示候选管理层认定和建议程序。本规则涉及的候选认定包括：收入的发生（收入是否真实发生）、应收账款的 existence（应收账款是否真实存在）、应收账款的 valuation and allocation（坏账准备是否充分、计价是否合理）。建议程序包括：在制定函证计划时将应收账款函证列为重点领域，适当扩大函证范围；安排收入截止性测试，重点关注资产负债表日前后若干天的收入确认；抽取大额收入交易样本，检查合同、发货单、客户验收单等原始凭证；在风险评估阶段将上述候选认定纳入计划考虑，适当配置审计资源。具体审计程序的选择和判断仍保留给审计人员，系统不替人决策。</w:t>
      </w:r>
    </w:p>
    <w:p w14:paraId="47D39356">
      <w:pPr>
        <w:rPr>
          <w:rFonts w:hint="eastAsia"/>
        </w:rPr>
      </w:pPr>
    </w:p>
    <w:p w14:paraId="3E70AA5E">
      <w:pPr>
        <w:pStyle w:val="2"/>
        <w:bidi w:val="0"/>
        <w:rPr>
          <w:rFonts w:hint="eastAsia"/>
        </w:rPr>
      </w:pPr>
      <w:r>
        <w:rPr>
          <w:rFonts w:hint="eastAsia"/>
        </w:rPr>
        <w:t>九、专业来源及核验状态</w:t>
      </w:r>
    </w:p>
    <w:p w14:paraId="01A79017">
      <w:pPr>
        <w:rPr>
          <w:rFonts w:hint="eastAsia"/>
        </w:rPr>
      </w:pPr>
      <w:r>
        <w:rPr>
          <w:rFonts w:hint="eastAsia"/>
        </w:rPr>
        <w:t>本规则的会计审计依据包括：《中国注册会计师审计准则第1201号——计划审计工作》《中国注册会计师审计准则第1211号——重大错报风险的识别和评估》《中国注册会计师审计准则第1313号——函证》，以及收入准则中关于收入确认时点、总额法与净额法的判断框架。规则设计与V2项目计划书附录A规则卡模板、附录B来源台账模板保持一致。在正式评估前，本规则须通过以下核验：输入字段可从年报中定位，公式可由另一名成员复算得到一致结果，正常解释均指向可核验来源，分场景输出不产生审计结论或承接决定，全文不包含禁用词。</w:t>
      </w:r>
    </w:p>
    <w:p w14:paraId="39A1E535">
      <w:pPr>
        <w:rPr>
          <w:rFonts w:hint="eastAsia"/>
        </w:rPr>
      </w:pPr>
    </w:p>
    <w:p w14:paraId="2C3B629A">
      <w:pPr>
        <w:pStyle w:val="2"/>
        <w:bidi w:val="0"/>
        <w:rPr>
          <w:rFonts w:hint="eastAsia"/>
        </w:rPr>
      </w:pPr>
      <w:r>
        <w:rPr>
          <w:rFonts w:hint="eastAsia"/>
        </w:rPr>
        <w:t>十、版本记录</w:t>
      </w:r>
      <w:bookmarkStart w:id="0" w:name="_GoBack"/>
      <w:bookmarkEnd w:id="0"/>
    </w:p>
    <w:p w14:paraId="47FF8C00">
      <w:pPr>
        <w:rPr>
          <w:rFonts w:hint="eastAsia"/>
        </w:rPr>
      </w:pPr>
      <w:r>
        <w:rPr>
          <w:rFonts w:hint="eastAsia"/>
        </w:rPr>
        <w:t>版本</w:t>
      </w:r>
      <w:r>
        <w:rPr>
          <w:rFonts w:hint="eastAsia"/>
        </w:rPr>
        <w:tab/>
      </w:r>
      <w:r>
        <w:rPr>
          <w:rFonts w:hint="eastAsia"/>
        </w:rPr>
        <w:t>日期</w:t>
      </w:r>
      <w:r>
        <w:rPr>
          <w:rFonts w:hint="eastAsia"/>
        </w:rPr>
        <w:tab/>
      </w:r>
      <w:r>
        <w:rPr>
          <w:rFonts w:hint="eastAsia"/>
        </w:rPr>
        <w:t>变更内容</w:t>
      </w:r>
      <w:r>
        <w:rPr>
          <w:rFonts w:hint="eastAsia"/>
        </w:rPr>
        <w:tab/>
      </w:r>
      <w:r>
        <w:rPr>
          <w:rFonts w:hint="eastAsia"/>
        </w:rPr>
        <w:t>负责人</w:t>
      </w:r>
    </w:p>
    <w:p w14:paraId="05AA74EC">
      <w:pPr>
        <w:rPr>
          <w:rFonts w:hint="eastAsia"/>
        </w:rPr>
      </w:pPr>
      <w:r>
        <w:rPr>
          <w:rFonts w:hint="eastAsia"/>
        </w:rPr>
        <w:t>v0.1</w:t>
      </w:r>
      <w:r>
        <w:rPr>
          <w:rFonts w:hint="eastAsia"/>
        </w:rPr>
        <w:tab/>
      </w:r>
      <w:r>
        <w:rPr>
          <w:rFonts w:hint="eastAsia"/>
        </w:rPr>
        <w:t>2026-07-18</w:t>
      </w:r>
      <w:r>
        <w:rPr>
          <w:rFonts w:hint="eastAsia"/>
        </w:rPr>
        <w:tab/>
      </w:r>
      <w:r>
        <w:rPr>
          <w:rFonts w:hint="eastAsia"/>
        </w:rPr>
        <w:t>初稿创建，采用平均应收账款余额口径，按V2计划书和W1任务分工完成R1规则卡</w:t>
      </w:r>
      <w:r>
        <w:rPr>
          <w:rFonts w:hint="eastAsia"/>
        </w:rPr>
        <w:tab/>
      </w:r>
      <w:r>
        <w:rPr>
          <w:rFonts w:hint="eastAsia"/>
        </w:rPr>
        <w:t>A</w:t>
      </w:r>
    </w:p>
    <w:p w14:paraId="7D644253">
      <w:r>
        <w:rPr>
          <w:rFonts w:hint="eastAsia"/>
        </w:rPr>
        <w:t>当前状态：草拟，待B数据验证和队长代码实现后升级为“已复核”。</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8841A2"/>
    <w:rsid w:val="548841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240" w:lineRule="auto"/>
      <w:outlineLvl w:val="0"/>
    </w:pPr>
    <w:rPr>
      <w:b/>
      <w:kern w:val="44"/>
      <w:sz w:val="28"/>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2026-07-18T14:41:00Z</dcterms:created>
  <dc:creator>梦清实易</dc:creator>
  <cp:lastModifiedBy>梦清实易</cp:lastModifiedBy>
  <dcterms:modified xsi:type="dcterms:W3CDTF">2026-07-18T14:46:12Z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190AABA108894A359240A2CDBDF2EE25_11</vt:lpwstr>
  </property>
  <property fmtid="{D5CDD505-2E9C-101B-9397-08002B2CF9AE}" pid="4" name="KSOTemplateDocerSaveRecord">
    <vt:lpwstr>eyJoZGlkIjoiZjFmZWIzNDg2MmIzZjExOTIzMmViNTBmYTMwYTk0ZWYiLCJ1c2VySWQiOiI5NTY1OTk4MjIifQ==</vt:lpwstr>
  </property>
</Properties>
</file>