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60"/>
        <w:jc w:val="center"/>
      </w:pPr>
      <w:r>
        <w:rPr>
          <w:rFonts w:ascii="Microsoft YaHei" w:hAnsi="Microsoft YaHei" w:eastAsia="Microsoft YaHei"/>
          <w:b/>
          <w:color w:val="1F4E78"/>
          <w:sz w:val="38"/>
        </w:rPr>
        <w:t>销售与收款循环映射表</w:t>
      </w:r>
    </w:p>
    <w:p>
      <w:pPr>
        <w:spacing w:after="180"/>
        <w:jc w:val="center"/>
      </w:pPr>
      <w:r>
        <w:rPr>
          <w:rFonts w:ascii="Microsoft YaHei" w:hAnsi="Microsoft YaHei" w:eastAsia="Microsoft YaHei"/>
          <w:b w:val="0"/>
          <w:color w:val="5B6573"/>
          <w:sz w:val="18"/>
        </w:rPr>
        <w:t>v0.2 ｜ 对齐 V3 方案书 ｜ 2026 年 7 月 24 日 ｜ W2 专业底稿</w:t>
      </w:r>
    </w:p>
    <w:tbl>
      <w:tblPr>
        <w:tblW w:type="dxa" w:w="13721"/>
        <w:tblLayout w:type="fixed"/>
        <w:tblLook w:firstColumn="1" w:firstRow="1" w:lastColumn="0" w:lastRow="0" w:noHBand="0" w:noVBand="1" w:val="04A0"/>
        <w:tblInd w:w="90" w:type="dxa"/>
      </w:tblPr>
      <w:tblGrid>
        <w:gridCol w:w="13721"/>
      </w:tblGrid>
      <w:tr>
        <w:tc>
          <w:tcPr>
            <w:tcW w:type="dxa" w:w="1372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DDEBF7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使用边界：本表用于把销售与收款循环的公开线索、资料缺口和计划阶段动作对应起来。它只提示“需要进一步了解什么”，不对违规、错报或交易真实性作定性，也不形成审计结论。R1、R2为当前开发资料上的工程版；R3—R8仍为候选规则，未接入时不得据此生成风险卡。</w:t>
            </w:r>
          </w:p>
        </w:tc>
      </w:tr>
    </w:tbl>
    <w:p>
      <w:pPr>
        <w:spacing w:before="200" w:after="80"/>
      </w:pPr>
      <w:r>
        <w:rPr>
          <w:rFonts w:ascii="Microsoft YaHei" w:hAnsi="Microsoft YaHei" w:eastAsia="Microsoft YaHei"/>
          <w:b/>
          <w:color w:val="1F4E78"/>
          <w:sz w:val="25"/>
        </w:rPr>
        <w:t>一、规则状态与使用口径</w:t>
      </w:r>
    </w:p>
    <w:tbl>
      <w:tblPr>
        <w:tblStyle w:val="TableGrid"/>
        <w:tblW w:type="dxa" w:w="13721"/>
        <w:tblLayout w:type="fixed"/>
        <w:tblLook w:firstColumn="1" w:firstRow="1" w:lastColumn="0" w:lastRow="0" w:noHBand="0" w:noVBand="1" w:val="04A0"/>
        <w:tblInd w:w="90" w:type="dxa"/>
      </w:tblPr>
      <w:tblGrid>
        <w:gridCol w:w="1701"/>
        <w:gridCol w:w="3459"/>
        <w:gridCol w:w="8561"/>
      </w:tblGrid>
      <w:tr>
        <w:trPr>
          <w:tblHeader w:val="true"/>
        </w:trPr>
        <w:tc>
          <w:tcPr>
            <w:tcW w:type="dxa" w:w="170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1F4E78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类别</w:t>
            </w:r>
          </w:p>
        </w:tc>
        <w:tc>
          <w:tcPr>
            <w:tcW w:type="dxa" w:w="345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1F4E78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本表中的规则</w:t>
            </w:r>
          </w:p>
        </w:tc>
        <w:tc>
          <w:tcPr>
            <w:tcW w:type="dxa" w:w="856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1F4E78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使用口径</w:t>
            </w:r>
          </w:p>
        </w:tc>
      </w:tr>
      <w:tr>
        <w:tc>
          <w:tcPr>
            <w:tcW w:type="dxa" w:w="1701"/>
            <w:shd w:fill="E2F0D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工程版</w:t>
            </w:r>
          </w:p>
        </w:tc>
        <w:tc>
          <w:tcPr>
            <w:tcW w:type="dxa" w:w="345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R1：应收—收入背离；R2：收入—经营现金流背离</w:t>
            </w:r>
          </w:p>
        </w:tc>
        <w:tc>
          <w:tcPr>
            <w:tcW w:type="dxa" w:w="856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R1/R2可以在当前 DEV_T0 开发资料上由程序计算，但仍待专业口径复核。R2遇上年现金流很小、为零或正负号翻转时，同比百分比不宜直接作为判断依据，应改看金额变动、现金流/收入与人工解释。</w:t>
            </w:r>
          </w:p>
        </w:tc>
      </w:tr>
      <w:tr>
        <w:tc>
          <w:tcPr>
            <w:tcW w:type="dxa" w:w="1701"/>
            <w:shd w:fill="FFF2CC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候选规则</w:t>
            </w:r>
          </w:p>
        </w:tc>
        <w:tc>
          <w:tcPr>
            <w:tcW w:type="dxa" w:w="345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R3 产销量；R4 客户集中度；R5 总额/净额；R8 期末交易与期后回款</w:t>
            </w:r>
          </w:p>
        </w:tc>
        <w:tc>
          <w:tcPr>
            <w:tcW w:type="dxa" w:w="856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仅作为资料检索、业务理解和后续索取资料的方向。资料、阈值、口径或专业复核未完成前，不生成风险卡。</w:t>
            </w:r>
          </w:p>
        </w:tc>
      </w:tr>
      <w:tr>
        <w:tc>
          <w:tcPr>
            <w:tcW w:type="dxa" w:w="1701"/>
            <w:shd w:fill="F2F4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本表范围外</w:t>
            </w:r>
          </w:p>
        </w:tc>
        <w:tc>
          <w:tcPr>
            <w:tcW w:type="dxa" w:w="345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R6 毛利率—行业；R7 管理层表述—数字</w:t>
            </w:r>
          </w:p>
        </w:tc>
        <w:tc>
          <w:tcPr>
            <w:tcW w:type="dxa" w:w="856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这两条属于行业/披露维度，不是单一销售与收款环节。本表不将其伪装成已覆盖的业务循环规则。</w:t>
            </w:r>
          </w:p>
        </w:tc>
      </w:tr>
    </w:tbl>
    <w:p>
      <w:pPr>
        <w:spacing w:before="200" w:after="80"/>
      </w:pPr>
      <w:r>
        <w:rPr>
          <w:rFonts w:ascii="Microsoft YaHei" w:hAnsi="Microsoft YaHei" w:eastAsia="Microsoft YaHei"/>
          <w:b/>
          <w:color w:val="1F4E78"/>
          <w:sz w:val="25"/>
        </w:rPr>
        <w:t>二、销售与收款循环映射矩阵</w:t>
      </w:r>
    </w:p>
    <w:p>
      <w:pPr>
        <w:spacing w:before="0" w:after="80" w:line="269" w:lineRule="auto"/>
      </w:pPr>
      <w:r>
        <w:rPr>
          <w:rFonts w:ascii="Microsoft YaHei" w:hAnsi="Microsoft YaHei" w:eastAsia="Microsoft YaHei"/>
          <w:b w:val="0"/>
          <w:color w:val="5B6573"/>
          <w:sz w:val="17"/>
        </w:rPr>
        <w:t>说明：公开年报未披露的信息统一表述为“目前未在公开资料中找到/需核验”，不据此推定公司从未发生相关事项。计划阶段动作是拟纳入进一步程序或资料索取清单，不表示已经执行函证、截止测试等审计程序。</w:t>
      </w:r>
    </w:p>
    <w:tbl>
      <w:tblPr>
        <w:tblStyle w:val="TableGrid"/>
        <w:tblW w:type="dxa" w:w="13721"/>
        <w:tblLayout w:type="fixed"/>
        <w:tblLook w:firstColumn="1" w:firstRow="1" w:lastColumn="0" w:lastRow="0" w:noHBand="0" w:noVBand="1" w:val="04A0"/>
        <w:tblInd w:w="90" w:type="dxa"/>
      </w:tblPr>
      <w:tblGrid>
        <w:gridCol w:w="1247"/>
        <w:gridCol w:w="2268"/>
        <w:gridCol w:w="1786"/>
        <w:gridCol w:w="2325"/>
        <w:gridCol w:w="2381"/>
        <w:gridCol w:w="3714"/>
      </w:tblGrid>
      <w:tr>
        <w:trPr>
          <w:tblHeader w:val="true"/>
        </w:trPr>
        <w:tc>
          <w:tcPr>
            <w:tcW w:type="dxa" w:w="124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1F4E78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业务环节</w:t>
            </w:r>
          </w:p>
        </w:tc>
        <w:tc>
          <w:tcPr>
            <w:tcW w:type="dxa" w:w="226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1F4E78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公开可观察信号 / 资料状态</w:t>
            </w:r>
          </w:p>
        </w:tc>
        <w:tc>
          <w:tcPr>
            <w:tcW w:type="dxa" w:w="178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1F4E78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关联规则与当前状态</w:t>
            </w:r>
          </w:p>
        </w:tc>
        <w:tc>
          <w:tcPr>
            <w:tcW w:type="dxa" w:w="232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1F4E78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待进一步了解的问题 / 候选认定</w:t>
            </w:r>
          </w:p>
        </w:tc>
        <w:tc>
          <w:tcPr>
            <w:tcW w:type="dxa" w:w="238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1F4E78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正常解释候选</w:t>
            </w:r>
          </w:p>
        </w:tc>
        <w:tc>
          <w:tcPr>
            <w:tcW w:type="dxa" w:w="371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1F4E78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资料缺口与计划阶段动作</w:t>
            </w:r>
          </w:p>
        </w:tc>
      </w:tr>
      <w:tr>
        <w:tc>
          <w:tcPr>
            <w:tcW w:type="dxa" w:w="124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1. 客户与信用政策管理</w:t>
            </w:r>
          </w:p>
        </w:tc>
        <w:tc>
          <w:tcPr>
            <w:tcW w:type="dxa" w:w="226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前五大客户集中度、客户结构或信用政策出现跨期变化；如公开年报未披露客户身份或信用期，标为资料缺口。</w:t>
            </w:r>
          </w:p>
        </w:tc>
        <w:tc>
          <w:tcPr>
            <w:tcW w:type="dxa" w:w="178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R4 候选；可为 R1/R2 的正常解释背景，但不是当前 R1/R2 的计算条件。</w:t>
            </w:r>
          </w:p>
        </w:tc>
        <w:tc>
          <w:tcPr>
            <w:tcW w:type="dxa" w:w="232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是否需要进一步了解客户结构、信用期与回款节奏的变化。候选关注：收入发生、关联方关系及披露。</w:t>
            </w:r>
          </w:p>
        </w:tc>
        <w:tc>
          <w:tcPr>
            <w:tcW w:type="dxa" w:w="238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新市场拓展；客户结构调整；行业账期整体变化。</w:t>
            </w:r>
          </w:p>
        </w:tc>
        <w:tc>
          <w:tcPr>
            <w:tcW w:type="dxa" w:w="371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缺口：前五大客户/新增客户信息、信用政策与授权摘要。</w:t>
              <w:br/>
              <w:t>动作：了解变化原因；把客户背景、关联关系与信用政策列入拟索取资料。</w:t>
            </w:r>
          </w:p>
        </w:tc>
      </w:tr>
      <w:tr>
        <w:tc>
          <w:tcPr>
            <w:tcW w:type="dxa" w:w="124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2. 合同签订与订单管理</w:t>
            </w:r>
          </w:p>
        </w:tc>
        <w:tc>
          <w:tcPr>
            <w:tcW w:type="dxa" w:w="226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收入政策或交易类型发生变化；公开披露的业务模式与同行口径存在需解释差异。</w:t>
            </w:r>
          </w:p>
        </w:tc>
        <w:tc>
          <w:tcPr>
            <w:tcW w:type="dxa" w:w="178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R5 候选；合同资料也可作为 R1 触发后的补充解释资料。</w:t>
            </w:r>
          </w:p>
        </w:tc>
        <w:tc>
          <w:tcPr>
            <w:tcW w:type="dxa" w:w="232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合同条款是否支持控制权转移、验收条件与结算安排；候选关注：准确性、截止、分类和列报。</w:t>
            </w:r>
          </w:p>
        </w:tc>
        <w:tc>
          <w:tcPr>
            <w:tcW w:type="dxa" w:w="238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业务模式真实变化；合同条款差异；准则判断存在合理专业差异。</w:t>
            </w:r>
          </w:p>
        </w:tc>
        <w:tc>
          <w:tcPr>
            <w:tcW w:type="dxa" w:w="371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缺口：主要合同关键条款、验收条件、结算安排。</w:t>
              <w:br/>
              <w:t>动作：选择代表性合同作为拟核验样本，核对收入政策与合同条款的对应关系。</w:t>
            </w:r>
          </w:p>
        </w:tc>
      </w:tr>
      <w:tr>
        <w:tc>
          <w:tcPr>
            <w:tcW w:type="dxa" w:w="124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3. 发货、履约与验收</w:t>
            </w:r>
          </w:p>
        </w:tc>
        <w:tc>
          <w:tcPr>
            <w:tcW w:type="dxa" w:w="226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第四季度或年末收入占比异常时，需先确认是否有可比的季度数据和公开业务解释。</w:t>
            </w:r>
          </w:p>
        </w:tc>
        <w:tc>
          <w:tcPr>
            <w:tcW w:type="dxa" w:w="178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R8 候选；若产销资料可得，可与 R3 候选联动。当前未接入程序。</w:t>
            </w:r>
          </w:p>
        </w:tc>
        <w:tc>
          <w:tcPr>
            <w:tcW w:type="dxa" w:w="232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是否需要进一步了解期末确认、发货、验收与控制权转移的时点；候选关注：截止、发生。</w:t>
            </w:r>
          </w:p>
        </w:tc>
        <w:tc>
          <w:tcPr>
            <w:tcW w:type="dxa" w:w="238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行业季节性；年末集中交付；大型项目在年末验收。</w:t>
            </w:r>
          </w:p>
        </w:tc>
        <w:tc>
          <w:tcPr>
            <w:tcW w:type="dxa" w:w="371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缺口：发货、签收、验收、期末前后交易摘要。</w:t>
              <w:br/>
              <w:t>动作：将期末前后交易和支持性凭证列入拟截止核验范围。</w:t>
            </w:r>
          </w:p>
        </w:tc>
      </w:tr>
      <w:tr>
        <w:tc>
          <w:tcPr>
            <w:tcW w:type="dxa" w:w="124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4. 收入确认与开票</w:t>
            </w:r>
          </w:p>
        </w:tc>
        <w:tc>
          <w:tcPr>
            <w:tcW w:type="dxa" w:w="226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R1：本年/上年收入与应收账款四字段增速背离。</w:t>
              <w:br/>
              <w:t>R2：收入正增长而经营现金流未同步改善。现金流基数很小、为零或正负号翻转时，不直接用同比百分比判断。</w:t>
            </w:r>
          </w:p>
        </w:tc>
        <w:tc>
          <w:tcPr>
            <w:tcW w:type="dxa" w:w="178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R1 当前工程版；R2 当前工程版，R2 可比性保护和阈值仍待专业/工程验收。</w:t>
            </w:r>
          </w:p>
        </w:tc>
        <w:tc>
          <w:tcPr>
            <w:tcW w:type="dxa" w:w="232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是否需要进一步了解收入、应收与现金回收之间的结算差异。候选关注：收入发生、准确性、截止及应收账款计价。</w:t>
            </w:r>
          </w:p>
        </w:tc>
        <w:tc>
          <w:tcPr>
            <w:tcW w:type="dxa" w:w="238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信用政策或结算周期变化；行业账期拉长；新增客户或季节性回款。</w:t>
            </w:r>
          </w:p>
        </w:tc>
        <w:tc>
          <w:tcPr>
            <w:tcW w:type="dxa" w:w="371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缺口：按客户/合同的收入—应收—回款勾稽、账龄明细、经营性应收应付变动。</w:t>
              <w:br/>
              <w:t>动作：保留来源、期间和公式；将差异原因与资料索取需求纳入风险卡草稿。</w:t>
            </w:r>
          </w:p>
        </w:tc>
      </w:tr>
      <w:tr>
        <w:tc>
          <w:tcPr>
            <w:tcW w:type="dxa" w:w="124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5. 应收账款与收款管理</w:t>
            </w:r>
          </w:p>
        </w:tc>
        <w:tc>
          <w:tcPr>
            <w:tcW w:type="dxa" w:w="226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在账龄或周转资料可得时，关注账龄结构、期后回款和坏账准备变化；目前缺少字段时不得估算或自动计算。</w:t>
            </w:r>
          </w:p>
        </w:tc>
        <w:tc>
          <w:tcPr>
            <w:tcW w:type="dxa" w:w="178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R1 增强方向（候选），不是当前四字段工程版的已实现条件。</w:t>
            </w:r>
          </w:p>
        </w:tc>
        <w:tc>
          <w:tcPr>
            <w:tcW w:type="dxa" w:w="232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是否需要进一步了解可收回性、账龄迁徙与坏账准备；候选关注：应收账款存在、计价和权利义务。</w:t>
            </w:r>
          </w:p>
        </w:tc>
        <w:tc>
          <w:tcPr>
            <w:tcW w:type="dxa" w:w="238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大客户固定付款周期；信用期延长；款项争议仍在正常协商。</w:t>
            </w:r>
          </w:p>
        </w:tc>
        <w:tc>
          <w:tcPr>
            <w:tcW w:type="dxa" w:w="371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缺口：账龄明细、期后回款、主要客户结算条款、坏账准备依据。</w:t>
              <w:br/>
              <w:t>动作：列入拟函证与期后回款核验范围，并由人工决定是否执行。</w:t>
            </w:r>
          </w:p>
        </w:tc>
      </w:tr>
      <w:tr>
        <w:tc>
          <w:tcPr>
            <w:tcW w:type="dxa" w:w="124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6. 退货、折让与销售返利</w:t>
            </w:r>
          </w:p>
        </w:tc>
        <w:tc>
          <w:tcPr>
            <w:tcW w:type="dxa" w:w="226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退货政策、历史退货率、期末后退货或返利信息披露不足，或存在需要共同解释的年末交易线索。</w:t>
            </w:r>
          </w:p>
        </w:tc>
        <w:tc>
          <w:tcPr>
            <w:tcW w:type="dxa" w:w="178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R8 候选方向；不把退货/折让直接写成 R1/R2 的已实现触发信号。</w:t>
            </w:r>
          </w:p>
        </w:tc>
        <w:tc>
          <w:tcPr>
            <w:tcW w:type="dxa" w:w="232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是否需要进一步了解期末发货后的退货、折让与预计退货处理；候选关注：截止、准确性和相关负债计量。</w:t>
            </w:r>
          </w:p>
        </w:tc>
        <w:tc>
          <w:tcPr>
            <w:tcW w:type="dxa" w:w="238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行业惯例；合同约定的正常退货或返利条款；季节性促销。</w:t>
            </w:r>
          </w:p>
        </w:tc>
        <w:tc>
          <w:tcPr>
            <w:tcW w:type="dxa" w:w="371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缺口：历史退货率、返利政策、期后退货/折让摘要及准备计提依据。</w:t>
              <w:br/>
              <w:t>动作：了解政策和历史波动，必要时列入期末前后交易的拟核验项目。</w:t>
            </w:r>
          </w:p>
        </w:tc>
      </w:tr>
    </w:tbl>
    <w:p>
      <w:pPr>
        <w:spacing w:before="200" w:after="80"/>
      </w:pPr>
      <w:r>
        <w:rPr>
          <w:rFonts w:ascii="Microsoft YaHei" w:hAnsi="Microsoft YaHei" w:eastAsia="Microsoft YaHei"/>
          <w:b/>
          <w:color w:val="1F4E78"/>
          <w:sz w:val="25"/>
        </w:rPr>
        <w:t>三、使用与复核要求</w:t>
      </w:r>
    </w:p>
    <w:tbl>
      <w:tblPr>
        <w:tblStyle w:val="TableGrid"/>
        <w:tblW w:type="dxa" w:w="13721"/>
        <w:tblLayout w:type="fixed"/>
        <w:tblLook w:firstColumn="1" w:firstRow="1" w:lastColumn="0" w:lastRow="0" w:noHBand="0" w:noVBand="1" w:val="04A0"/>
        <w:tblInd w:w="90" w:type="dxa"/>
      </w:tblPr>
      <w:tblGrid>
        <w:gridCol w:w="2948"/>
        <w:gridCol w:w="10773"/>
      </w:tblGrid>
      <w:tr>
        <w:trPr>
          <w:tblHeader w:val="true"/>
        </w:trPr>
        <w:tc>
          <w:tcPr>
            <w:tcW w:type="dxa" w:w="294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1F4E78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复核点</w:t>
            </w:r>
          </w:p>
        </w:tc>
        <w:tc>
          <w:tcPr>
            <w:tcW w:type="dxa" w:w="1077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1F4E78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要求</w:t>
            </w:r>
          </w:p>
        </w:tc>
      </w:tr>
      <w:tr>
        <w:tc>
          <w:tcPr>
            <w:tcW w:type="dxa" w:w="2948"/>
            <w:shd w:fill="F2F4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来源</w:t>
            </w:r>
          </w:p>
        </w:tc>
        <w:tc>
          <w:tcPr>
            <w:tcW w:type="dxa" w:w="1077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每一条公司特定线索进入网页或风险卡前，必须补齐 evidence_id、资料名、披露日、PDF/印刷页和定位；未找到原件时标“待核验”。</w:t>
            </w:r>
          </w:p>
        </w:tc>
      </w:tr>
      <w:tr>
        <w:tc>
          <w:tcPr>
            <w:tcW w:type="dxa" w:w="2948"/>
            <w:shd w:fill="F2F4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口径</w:t>
            </w:r>
          </w:p>
        </w:tc>
        <w:tc>
          <w:tcPr>
            <w:tcW w:type="dxa" w:w="1077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R1/R2计算只使用当前工程版登记字段。新增周转天数、客户集中度、退货率等指标前，先补字段定义、来源和异常样例。</w:t>
            </w:r>
          </w:p>
        </w:tc>
      </w:tr>
      <w:tr>
        <w:tc>
          <w:tcPr>
            <w:tcW w:type="dxa" w:w="2948"/>
            <w:shd w:fill="F2F4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表述</w:t>
            </w:r>
          </w:p>
        </w:tc>
        <w:tc>
          <w:tcPr>
            <w:tcW w:type="dxa" w:w="1077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使用“待进一步了解”“资料依据不足”“建议索取”；不得使用定性指控、法律判断或结论性措辞。</w:t>
            </w:r>
          </w:p>
        </w:tc>
      </w:tr>
      <w:tr>
        <w:tc>
          <w:tcPr>
            <w:tcW w:type="dxa" w:w="2948"/>
            <w:shd w:fill="F2F4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人工确认</w:t>
            </w:r>
          </w:p>
        </w:tc>
        <w:tc>
          <w:tcPr>
            <w:tcW w:type="dxa" w:w="1077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是否保留线索、是否索取内部资料、是否实施函证/截止测试等程序，均由审计人员决定并留痕。</w:t>
            </w:r>
          </w:p>
        </w:tc>
      </w:tr>
    </w:tbl>
    <w:p>
      <w:pPr>
        <w:spacing w:before="0" w:after="80" w:line="269" w:lineRule="auto"/>
      </w:pPr>
      <w:r>
        <w:rPr>
          <w:rFonts w:ascii="Microsoft YaHei" w:hAnsi="Microsoft YaHei" w:eastAsia="Microsoft YaHei"/>
          <w:b w:val="0"/>
          <w:color w:val="5B6573"/>
          <w:sz w:val="16"/>
        </w:rPr>
        <w:t>版本记录：v0.2（2026-07-24）将 v0.1 的段落式初稿改为六环节映射矩阵；补充规则实施状态、认定、资料边界与 R2 可比性提示；保留 v0.1 原件以便追溯。</w:t>
      </w:r>
    </w:p>
    <w:sectPr w:rsidR="00FC693F" w:rsidRPr="0006063C" w:rsidSect="00034616">
      <w:headerReference w:type="default" r:id="rId9"/>
      <w:footerReference w:type="default" r:id="rId10"/>
      <w:pgSz w:w="15840" w:h="12240" w:orient="landscape"/>
      <w:pgMar w:top="765" w:right="709" w:bottom="680" w:left="709" w:header="340" w:footer="34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YaHei" w:hAnsi="Microsoft YaHei" w:eastAsia="Microsoft YaHei"/>
        <w:b w:val="0"/>
        <w:color w:val="5B6573"/>
        <w:sz w:val="16"/>
      </w:rPr>
      <w:t>仅用于审计前置阶段的风险预筛与资料索取；不构成审计结论。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YaHei" w:hAnsi="Microsoft YaHei" w:eastAsia="Microsoft YaHei"/>
        <w:b w:val="0"/>
        <w:color w:val="5B6573"/>
        <w:sz w:val="16"/>
      </w:rPr>
      <w:t>审迹智链 AuditTrace ｜ W2 专业底稿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销售与收款循环映射表 v0.2</dc:title>
  <dc:subject>审迹智链第二周专业底稿</dc:subject>
  <dc:creator>审迹智链项目组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