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A5280">
      <w:pPr>
        <w:spacing w:before="480" w:after="480" w:line="288" w:lineRule="auto"/>
        <w:ind w:left="0"/>
        <w:jc w:val="center"/>
        <w:rPr>
          <w:rFonts w:hint="default" w:eastAsia="宋体"/>
          <w:b/>
          <w:bCs/>
          <w:sz w:val="36"/>
          <w:szCs w:val="40"/>
          <w:lang w:val="en-US" w:eastAsia="zh-CN"/>
        </w:rPr>
      </w:pPr>
      <w:r>
        <w:t>销售与收款循环映射表 v0.3（对齐 R1 v0.3.1 / R2 v0.2.1 草案）</w:t>
      </w:r>
    </w:p>
    <w:p w14:paraId="64B0EAE9">
      <w:pPr>
        <w:spacing w:before="120" w:after="120" w:line="288" w:lineRule="auto"/>
        <w:ind w:left="0"/>
        <w:jc w:val="left"/>
      </w:pPr>
      <w:r>
        <w:t>用途：业务承接、续聘复核和审计计划阶段的公开资料预筛；只形成待核查线索、资料缺口与建议索取资料，不形成审计结论。</w:t>
      </w:r>
    </w:p>
    <w:p>
      <w:pPr>
        <w:spacing w:before="100" w:after="100"/>
      </w:pPr>
      <w:r>
        <w:t>当前状态：R1、R2 工程版可进行来源绑定和方向计算；本表中的阈值分级、扩展字段、OCF 构成与 R3—R8 均为待专业确认或待接入内容，不能表述为已运行。</w:t>
      </w:r>
    </w:p>
    <w:p>
      <w:pPr>
        <w:spacing w:after="160"/>
      </w:pPr>
      <w:r>
        <w:t>修订说明：将原表的宽泛“异常信号”改为“公开资料线索 + 规则状态 + 正常解释 + 待补资料/人工后续”五列，以便与 R1/R2 规则底稿和主网页的运行边界一致。</w:t>
      </w:r>
    </w:p>
    <w:p>
      <w:pPr>
        <w:spacing w:before="160" w:after="0"/>
      </w:pPr>
      <w:r>
        <w:rPr>
          <w:i/>
          <w:color w:val="5B6F82"/>
          <w:sz w:val="17"/>
        </w:rPr>
        <w:t>编写说明：本表由团队成员负责专业复核；AI 仅辅助语言组织与格式，不作为资料来源、专业结论或人工复核记录。</w:t>
      </w:r>
    </w:p>
    <w:p>
      <w:pPr>
        <w:spacing w:before="100" w:after="100"/>
      </w:pPr>
      <w:r>
        <w:t>当前状态：R1、R2 工程版可进行来源绑定和方向计算；本表中的阈值分级、扩展字段、OCF 构成与 R3—R8 均为待专业确认或待接入内容，不能表述为已运行。</w:t>
      </w:r>
    </w:p>
    <w:p>
      <w:pPr>
        <w:spacing w:after="160"/>
      </w:pPr>
      <w:r>
        <w:t>修订说明：将原表的宽泛“异常信号”改为“公开资料线索 + 规则状态 + 正常解释 + 待补资料/人工后续”五列，以便与 R1/R2 规则底稿和主网页的运行边界一致。</w:t>
      </w:r>
    </w:p>
    <w:p>
      <w:pPr>
        <w:spacing w:before="160" w:after="0"/>
      </w:pPr>
      <w:r>
        <w:rPr>
          <w:i/>
          <w:color w:val="5B6F82"/>
          <w:sz w:val="17"/>
        </w:rPr>
        <w:t>编写说明：本表由团队成员负责专业复核；AI 仅辅助语言组织与格式，不作为资料来源、专业结论或人工复核记录。</w:t>
      </w:r>
    </w:p>
    <w:p>
      <w:pPr>
        <w:spacing w:before="100" w:after="100"/>
      </w:pPr>
      <w:r>
        <w:t>当前状态：R1、R2 工程版可进行来源绑定和方向计算；本表中的阈值分级、扩展字段、OCF 构成与 R3—R8 均为待专业确认或待接入内容，不能表述为已运行。</w:t>
      </w:r>
    </w:p>
    <w:p>
      <w:pPr>
        <w:spacing w:after="160"/>
      </w:pPr>
      <w:r>
        <w:t>修订说明：将原表的宽泛“异常信号”改为“公开资料线索 + 规则状态 + 正常解释 + 待补资料/人工后续”五列，以便与 R1/R2 规则底稿和主网页的运行边界一致。</w:t>
      </w:r>
    </w:p>
    <w:p>
      <w:pPr>
        <w:spacing w:before="160" w:after="0"/>
      </w:pPr>
      <w:r>
        <w:rPr>
          <w:i/>
          <w:color w:val="5B6F82"/>
          <w:sz w:val="17"/>
        </w:rPr>
        <w:t>编写说明：本表由团队成员负责专业复核；AI 仅辅助语言组织与格式，不作为资料来源、专业结论或人工复核记录。</w:t>
      </w:r>
    </w:p>
    <w:p>
      <w:pPr>
        <w:spacing w:before="100" w:after="100"/>
      </w:pPr>
      <w:r>
        <w:t>当前状态：R1、R2 工程版可进行来源绑定和方向计算；本表中的阈值分级、扩展字段、OCF 构成与 R3—R8 均为待专业确认或待接入内容，不能表述为已运行。</w:t>
      </w:r>
    </w:p>
    <w:p>
      <w:pPr>
        <w:spacing w:after="160"/>
      </w:pPr>
      <w:r>
        <w:t>修订说明：将原表的宽泛“异常信号”改为“公开资料线索 + 规则状态 + 正常解释 + 待补资料/人工后续”五列，以便与 R1/R2 规则底稿和主网页的运行边界一致。</w:t>
      </w:r>
    </w:p>
    <w:p>
      <w:pPr>
        <w:spacing w:before="160" w:after="0"/>
      </w:pPr>
      <w:r>
        <w:rPr>
          <w:i/>
          <w:color w:val="5B6F82"/>
          <w:sz w:val="17"/>
        </w:rPr>
        <w:t>编写说明：本表由团队成员负责专业复核；AI 仅辅助语言组织与格式，不作为资料来源、专业结论或人工复核记录。</w:t>
      </w:r>
    </w:p>
    <w:p>
      <w:pPr>
        <w:spacing w:before="100" w:after="100"/>
      </w:pPr>
      <w:r>
        <w:t>当前状态：R1、R2 工程版可进行来源绑定和方向计算；本表中的阈值分级、扩展字段、OCF 构成与 R3—R8 均为待专业确认或待接入内容，不能表述为已运行。</w:t>
      </w:r>
    </w:p>
    <w:p>
      <w:pPr>
        <w:spacing w:after="160"/>
      </w:pPr>
      <w:r>
        <w:t>修订说明：将原表的宽泛“异常信号”改为“公开资料线索 + 规则状态 + 正常解释 + 待补资料/人工后续”五列，以便与 R1/R2 规则底稿和主网页的运行边界一致。</w:t>
      </w:r>
    </w:p>
    <w:p>
      <w:pPr>
        <w:spacing w:before="160" w:after="0"/>
      </w:pPr>
      <w:r>
        <w:rPr>
          <w:i/>
          <w:color w:val="5B6F82"/>
          <w:sz w:val="17"/>
        </w:rPr>
        <w:t>编写说明：本表由团队成员负责专业复核；AI 仅辅助语言组织与格式，不作为资料来源、专业结论或人工复核记录。</w:t>
      </w:r>
    </w:p>
    <w:p>
      <w:pPr>
        <w:spacing w:before="100" w:after="100"/>
      </w:pPr>
      <w:r>
        <w:t>当前状态：R1、R2 工程版可进行来源绑定和方向计算；本表中的阈值分级、扩展字段、OCF 构成与 R3—R8 均为待专业确认或待接入内容，不能表述为已运行。</w:t>
      </w:r>
    </w:p>
    <w:p>
      <w:pPr>
        <w:spacing w:after="160"/>
      </w:pPr>
      <w:r>
        <w:t>修订说明：将原表的宽泛“异常信号”改为“公开资料线索 + 规则状态 + 正常解释 + 待补资料/人工后续”五列，以便与 R1/R2 规则底稿和主网页的运行边界一致。</w:t>
      </w:r>
    </w:p>
    <w:tbl>
      <w:tblPr>
        <w:tblW w:type="dxa" w:w="10800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100"/>
        <w:gridCol w:w="2150"/>
        <w:gridCol w:w="2400"/>
        <w:gridCol w:w="2700"/>
      </w:tblGrid>
      <w:tr>
        <w:trPr>
          <w:tblHeader w:val="true"/>
        </w:trPr>
        <w:tc>
          <w:tcPr>
            <w:tcW w:type="dxa" w:w="1450"/>
            <w:vAlign w:val="center"/>
            <w:shd w:fill="1E4E69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业务环节</w:t>
            </w:r>
          </w:p>
        </w:tc>
        <w:tc>
          <w:tcPr>
            <w:tcW w:type="dxa" w:w="2100"/>
            <w:vAlign w:val="center"/>
            <w:shd w:fill="1E4E69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规则及当前状态</w:t>
            </w:r>
          </w:p>
        </w:tc>
        <w:tc>
          <w:tcPr>
            <w:tcW w:type="dxa" w:w="2150"/>
            <w:vAlign w:val="center"/>
            <w:shd w:fill="1E4E69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公开资料线索</w:t>
            </w:r>
          </w:p>
        </w:tc>
        <w:tc>
          <w:tcPr>
            <w:tcW w:type="dxa" w:w="2400"/>
            <w:vAlign w:val="center"/>
            <w:shd w:fill="1E4E69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正常解释候选</w:t>
            </w:r>
          </w:p>
        </w:tc>
        <w:tc>
          <w:tcPr>
            <w:tcW w:type="dxa" w:w="2700"/>
            <w:vAlign w:val="center"/>
            <w:shd w:fill="1E4E69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待补资料 / 人工后续</w:t>
            </w:r>
          </w:p>
        </w:tc>
      </w:tr>
      <w:tr>
        <w:tc>
          <w:tcPr>
            <w:tcW w:type="dxa" w:w="1450"/>
            <w:vAlign w:val="center"/>
            <w:shd w:fill="F8FBFD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客户准入与信用政策</w:t>
            </w:r>
          </w:p>
        </w:tc>
        <w:tc>
          <w:tcPr>
            <w:tcW w:type="dxa" w:w="2100"/>
            <w:vAlign w:val="center"/>
            <w:shd w:fill="EAF2F8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R4 候选规则</w:t>
              <w:br/>
              <w:t>未接入计算</w:t>
            </w:r>
          </w:p>
        </w:tc>
        <w:tc>
          <w:tcPr>
            <w:tcW w:type="dxa" w:w="2150"/>
            <w:vAlign w:val="center"/>
            <w:shd w:fill="F8FBFD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前五大客户集中度、信用期或客户结构明显变化。</w:t>
            </w:r>
          </w:p>
        </w:tc>
        <w:tc>
          <w:tcPr>
            <w:tcW w:type="dxa" w:w="2400"/>
            <w:vAlign w:val="center"/>
            <w:shd w:fill="F8FBFD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拓展头部客户、退出低毛利客户、行业账期整体后移。</w:t>
            </w:r>
          </w:p>
        </w:tc>
        <w:tc>
          <w:tcPr>
            <w:tcW w:type="dxa" w:w="2700"/>
            <w:vAlign w:val="center"/>
            <w:shd w:fill="F8FBFD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客户清单、信用政策变更、主要合同账期；由项目组确认是否扩大客户背景核查。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合同、发货与验收</w:t>
            </w:r>
          </w:p>
        </w:tc>
        <w:tc>
          <w:tcPr>
            <w:tcW w:type="dxa" w:w="2100"/>
            <w:vAlign w:val="center"/>
            <w:shd w:fill="EAF2F8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R8 候选规则</w:t>
              <w:br/>
              <w:t>未接入计算</w:t>
            </w:r>
          </w:p>
        </w:tc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年末/第四季度收入集中，或发货、验收、结算时点可能跨期。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季节性订单、年末集中交付、合同验收周期差异。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分季度收入、期末大额合同、发货/验收/退货资料；人工判断是否安排截止性核查。</w:t>
            </w:r>
          </w:p>
        </w:tc>
      </w:tr>
      <w:tr>
        <w:tc>
          <w:tcPr>
            <w:tcW w:type="dxa" w:w="1450"/>
            <w:vAlign w:val="center"/>
            <w:shd w:fill="F8FBFD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收入确认与开票</w:t>
            </w:r>
          </w:p>
        </w:tc>
        <w:tc>
          <w:tcPr>
            <w:tcW w:type="dxa" w:w="2100"/>
            <w:vAlign w:val="center"/>
            <w:shd w:fill="EAF2F8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R1 v0.3.1 草案</w:t>
              <w:br/>
              <w:t>当前工程：四字段方向比较</w:t>
            </w:r>
          </w:p>
        </w:tc>
        <w:tc>
          <w:tcPr>
            <w:tcW w:type="dxa" w:w="2150"/>
            <w:vAlign w:val="center"/>
            <w:shd w:fill="F8FBFD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应收账款增速高于营业收入增速；当前工程仅比 revenue/ar 的本年、上年四个字段。</w:t>
            </w:r>
          </w:p>
        </w:tc>
        <w:tc>
          <w:tcPr>
            <w:tcW w:type="dxa" w:w="2400"/>
            <w:vAlign w:val="center"/>
            <w:shd w:fill="F8FBFD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信用政策放宽、新增客户、结算节奏变化、行业账期拉长。</w:t>
            </w:r>
          </w:p>
        </w:tc>
        <w:tc>
          <w:tcPr>
            <w:tcW w:type="dxa" w:w="2700"/>
            <w:vAlign w:val="center"/>
            <w:shd w:fill="F8FBFD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应收账款账龄、信用条款、期后回款、主要合同；阈值分级和应收票据/合同资产扩展待接入。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应收与回款管理</w:t>
            </w:r>
          </w:p>
        </w:tc>
        <w:tc>
          <w:tcPr>
            <w:tcW w:type="dxa" w:w="2100"/>
            <w:vAlign w:val="center"/>
            <w:shd w:fill="EAF2F8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R1 后续核查</w:t>
              <w:br/>
              <w:t>人工确认</w:t>
            </w:r>
          </w:p>
        </w:tc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期末应收规模、账龄迁徙、期后回款与收入变化需要解释。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年末集中发货、票据背书/贴现、催收节奏变化、合并范围变化。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账龄分段、期后回款、票据背书/贴现、客户往来对账；由人工判断可回收性和后续程序。</w:t>
            </w:r>
          </w:p>
        </w:tc>
      </w:tr>
      <w:tr>
        <w:tc>
          <w:tcPr>
            <w:tcW w:type="dxa" w:w="1450"/>
            <w:vAlign w:val="center"/>
            <w:shd w:fill="F8FBFD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销售收现与经营现金流</w:t>
            </w:r>
          </w:p>
        </w:tc>
        <w:tc>
          <w:tcPr>
            <w:tcW w:type="dxa" w:w="2100"/>
            <w:vAlign w:val="center"/>
            <w:shd w:fill="EAF2F8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R2 v0.2.1 草案</w:t>
              <w:br/>
              <w:t>当前工程：方向比较版</w:t>
            </w:r>
          </w:p>
        </w:tc>
        <w:tc>
          <w:tcPr>
            <w:tcW w:type="dxa" w:w="2150"/>
            <w:vAlign w:val="center"/>
            <w:shd w:fill="F8FBFD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收入增长而 OCF 未同步改善；OCF 跨期变号或基数很小时不展示同比百分比。</w:t>
            </w:r>
          </w:p>
        </w:tc>
        <w:tc>
          <w:tcPr>
            <w:tcW w:type="dxa" w:w="2400"/>
            <w:vAlign w:val="center"/>
            <w:shd w:fill="F8FBFD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存货备货、应付集中支付、税费缴纳、预收结转、票据背书等。</w:t>
            </w:r>
          </w:p>
        </w:tc>
        <w:tc>
          <w:tcPr>
            <w:tcW w:type="dxa" w:w="2700"/>
            <w:vAlign w:val="center"/>
            <w:shd w:fill="F8FBFD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销售收现、季度现金流、经营性应收应付和 OCF 构成明细；销售收现率、净利润现金含量与构成分析尚待接入。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产品结构、成本与毛利</w:t>
            </w:r>
          </w:p>
        </w:tc>
        <w:tc>
          <w:tcPr>
            <w:tcW w:type="dxa" w:w="2100"/>
            <w:vAlign w:val="center"/>
            <w:shd w:fill="EAF2F8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R3 / R6 候选规则</w:t>
              <w:br/>
              <w:t>未接入计算</w:t>
            </w:r>
          </w:p>
        </w:tc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产销量与收入、毛利率与同业趋势出现需解释的背离。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产品结构升级、外协补充产能、成本管控、原材料价格变化。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分产品产销量、成本结构、同行同口径数据；先完成来源与可比性复核。</w:t>
            </w:r>
          </w:p>
        </w:tc>
      </w:tr>
      <w:tr>
        <w:tc>
          <w:tcPr>
            <w:tcW w:type="dxa" w:w="1450"/>
            <w:vAlign w:val="center"/>
            <w:shd w:fill="F8FBFD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披露一致性与期后事项</w:t>
            </w:r>
          </w:p>
        </w:tc>
        <w:tc>
          <w:tcPr>
            <w:tcW w:type="dxa" w:w="2100"/>
            <w:vAlign w:val="center"/>
            <w:shd w:fill="EAF2F8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R7 / R8 候选规则</w:t>
              <w:br/>
              <w:t>未接入计算</w:t>
            </w:r>
          </w:p>
        </w:tc>
        <w:tc>
          <w:tcPr>
            <w:tcW w:type="dxa" w:w="2150"/>
            <w:vAlign w:val="center"/>
            <w:shd w:fill="F8FBFD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管理层表述与数据趋势不一致，或期末交易集中且缺少解释。</w:t>
            </w:r>
          </w:p>
        </w:tc>
        <w:tc>
          <w:tcPr>
            <w:tcW w:type="dxa" w:w="2400"/>
            <w:vAlign w:val="center"/>
            <w:shd w:fill="F8FBFD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披露统计口径差异、季节性、年末重大订单集中交付。</w:t>
            </w:r>
          </w:p>
        </w:tc>
        <w:tc>
          <w:tcPr>
            <w:tcW w:type="dxa" w:w="2700"/>
            <w:vAlign w:val="center"/>
            <w:shd w:fill="F8FBFD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年报披露原文、分季度数据、期后退货与结算资料；由人工判断是否保留披露一致性线索。</w:t>
            </w:r>
          </w:p>
        </w:tc>
      </w:tr>
    </w:tbl>
    <w:p>
      <w:pPr>
        <w:spacing w:before="160" w:after="0"/>
      </w:pPr>
      <w:r>
        <w:rPr>
          <w:i/>
          <w:color w:val="5B6F82"/>
          <w:sz w:val="17"/>
        </w:rPr>
        <w:t>编写说明：本表由团队成员负责专业复核；AI 仅辅助语言组织与格式，不作为资料来源、专业结论或人工复核记录。</w:t>
      </w:r>
    </w:p>
    <w:sectPr>
      <w:headerReference r:id="rId3" w:type="default"/>
      <w:footerReference r:id="rId4" w:type="default"/>
      <w:pgSz w:w="11905" w:h="16840" w:orient="landscape"/>
      <w:pgMar w:left="709" w:right="709" w:top="765" w:bottom="765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0FCAF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84E05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E5E77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1133</Words>
  <Characters>1134</Characters>
  <TotalTime>1</TotalTime>
  <ScaleCrop>false</ScaleCrop>
  <LinksUpToDate>false</LinksUpToDate>
  <CharactersWithSpaces>1144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2026-07-24T10:37:00Z</dcterms:created>
  <dc:creator>Apache POI</dc:creator>
  <cp:lastModifiedBy>梦清实易</cp:lastModifiedBy>
  <dcterms:modified xsi:type="dcterms:W3CDTF">2026-07-24T10:38:55Z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{"Label":"1","ContentProducer":"001191110102MACQD9K64010000","ProduceID":"7666041801888206010","ReservedCode1":"","ContentPropagator":"","PropagateID":"","ReservedCode2":""}</vt:lpwstr>
  </property>
  <property fmtid="{D5CDD505-2E9C-101B-9397-08002B2CF9AE}" pid="3" name="KSOTemplateDocerSaveRecord">
    <vt:lpwstr>eyJoZGlkIjoiZjFmZWIzNDg2MmIzZjExOTIzMmViNTBmYTMwYTk0ZWYiLCJ1c2VySWQiOiI5NTY1OTk4MjIifQ==</vt:lpwstr>
  </property>
  <property fmtid="{D5CDD505-2E9C-101B-9397-08002B2CF9AE}" pid="4" name="KSOProductBuildVer">
    <vt:lpwstr>2052-12.1.0.25865</vt:lpwstr>
  </property>
  <property fmtid="{D5CDD505-2E9C-101B-9397-08002B2CF9AE}" pid="5" name="ICV">
    <vt:lpwstr>89446AED55AC4B2D9AF381FA26656612_12</vt:lpwstr>
  </property>
</Properties>
</file>