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306AE">
      <w:pPr>
        <w:spacing w:before="480" w:after="480" w:line="288" w:lineRule="auto"/>
        <w:ind w:left="0"/>
      </w:pPr>
      <w:r>
        <w:t>R1 应收款项与营业收入增速匹配性预筛查规则 v0.3.1（审查修订稿）</w:t>
      </w:r>
    </w:p>
    <w:p w14:paraId="2080572C">
      <w:pPr>
        <w:spacing w:before="120" w:after="120" w:line="288" w:lineRule="auto"/>
        <w:ind w:left="0"/>
        <w:jc w:val="left"/>
      </w:pPr>
    </w:p>
    <w:p w14:paraId="70FB98C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AC373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核心修改要点</w:t>
      </w:r>
      <w:bookmarkEnd w:id="0"/>
    </w:p>
    <w:p w14:paraId="47D8B19C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一、核心专业口径修正（解决底层逻辑偏差）</w:t>
      </w:r>
      <w:bookmarkEnd w:id="1"/>
    </w:p>
    <w:p w14:paraId="4FD3795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应收款项口径从「账面价值」调整为「账面余额」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原规则使用扣除坏账准备的账面价值计算增速，会因坏账计提这一会计估计扭曲应收真实规模变动（如大额计提坏账会掩盖应收余额的实际增长）。审计分析回款与收入匹配性时，标准口径为应收账面余额，坏账准备单独作为计价风险分析项。</w:t>
      </w:r>
    </w:p>
    <w:p w14:paraId="30BF03C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扩充应收款项核算范围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默认纳入「应收账款 + 应收票据（含银行 / 商业承兑汇票）」账面余额，避免企业通过 “应收账款转应收票据” 的重分类规避指标；合同资产设为可选配置项，适配新收入准则下的业务模式。</w:t>
      </w:r>
    </w:p>
    <w:p w14:paraId="1893717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明确时点数 vs 时期数的口径差异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补充说明：收入为时期数、应收为期末时点数，单期增速对比可能受期末时点波动影响，建议结合多期或平均余额交叉验证。</w:t>
      </w:r>
    </w:p>
    <w:p w14:paraId="056DF0B0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二、触发逻辑全面升级（解决无阈值、噪音高、场景覆盖不全）</w:t>
      </w:r>
      <w:bookmarkEnd w:id="2"/>
    </w:p>
    <w:p w14:paraId="59A14CE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从「方向触发」升级为「差值阈值触发」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取消 “只要应收增速＞收入增速就触发” 的单层判断，设置两级量化阈值，大幅降低无意义噪音：</w:t>
      </w:r>
    </w:p>
    <w:p w14:paraId="4B575A02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t>草案参数：增速差值＞15 个百分点时，建议人工关注；不由当前工程自动分级。</w:t>
      </w:r>
    </w:p>
    <w:p w14:paraId="1EAEBF2C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t>草案参数：增速差值＞30 个百分点时，建议人工重点复核；不由当前工程自动升级。</w:t>
      </w:r>
    </w:p>
    <w:p w14:paraId="6EBE653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t>草案参数：增速差值＞30 个百分点时，建议人工重点复核；不由当前工程自动升级。</w:t>
      </w:r>
    </w:p>
    <w:p w14:paraId="332FBBC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补充极端背离场景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明确「收入负增长 + 应收正增长」为强背离信号，直接判定为「待重点核查」，覆盖收入下行期的回款恶化场景。</w:t>
      </w:r>
    </w:p>
    <w:p w14:paraId="4EC4E22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统一三级风险等级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完全对齐 R2 的「待重点核查 / 待关注 / 未见显著异常」三级分级，同时新增「数据不足 / 不可比」独立状态，规则库输出标准统一。</w:t>
      </w:r>
    </w:p>
    <w:p w14:paraId="649D239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三、与 R2 体系完全对齐（规则库标准化）</w:t>
      </w:r>
      <w:bookmarkEnd w:id="3"/>
    </w:p>
    <w:p w14:paraId="4F3F21C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结构框架统一</w:t>
      </w:r>
      <w:r>
        <w:rPr>
          <w:rFonts w:ascii="Arial" w:hAnsi="Arial" w:eastAsia="等线" w:cs="Arial"/>
          <w:sz w:val="22"/>
        </w:rPr>
        <w:t>：采用和 R2 完全一致的 11 章结构，便于团队统一管理、复核与迭代。</w:t>
      </w:r>
    </w:p>
    <w:p w14:paraId="507F161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要素标准化</w:t>
      </w:r>
      <w:r>
        <w:rPr>
          <w:rFonts w:ascii="Arial" w:hAnsi="Arial" w:eastAsia="等线" w:cs="Arial"/>
          <w:sz w:val="22"/>
        </w:rPr>
        <w:t>：同步补充可配置参数清单、版本验收标准、合规说明、证据硬校验要求，和 R2 规则的工程化标准对齐。</w:t>
      </w:r>
    </w:p>
    <w:p w14:paraId="7A26FBB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新增跨规则联动机制</w:t>
      </w:r>
      <w:r>
        <w:rPr>
          <w:rFonts w:ascii="Arial" w:hAnsi="Arial" w:eastAsia="等线" w:cs="Arial"/>
          <w:sz w:val="22"/>
        </w:rPr>
        <w:t>：明确 R1 与 R2（现金流背离）、R4（客户集中度）、R8（年末收入集中）的联动升级规则，解决单规则判断片面的问题。</w:t>
      </w:r>
    </w:p>
    <w:p w14:paraId="0A71CBD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四、匹配前端页面，明确输出规范</w:t>
      </w:r>
      <w:bookmarkEnd w:id="4"/>
    </w:p>
    <w:p w14:paraId="76F250F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区分触发 / 未触发的输出边界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明确：仅规则触发时，才展示正常解释候选、资料缺口、待索取资料；未触发状态下，仅展示计算结果、基础数据与局限性提示，避免无效信息干扰。</w:t>
      </w:r>
    </w:p>
    <w:p w14:paraId="486EF6B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明确 AGENT 模型调用规则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对应页面 “仅完成计算 / 未调用模型” 的状态：规则未触发时，仅执行基础计算，不调用 AGENT 检索解释；规则触发后，才启动智能检索与风险卡生成。</w:t>
      </w:r>
    </w:p>
    <w:p w14:paraId="129079E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规范人工复核环节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补充人工复核的可选结论、操作权限、记录要求，匹配页面的复核下拉框与说明输入框，明确系统不得自动降级 / 关闭线索，所有调整留痕。</w:t>
      </w:r>
    </w:p>
    <w:p w14:paraId="3441588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补充可追溯性要求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明确页面必须展示本期 / 上期绝对值、计算公式、字段来源与 evidence_id，满足审计底稿可验证、可追溯的基本要求。</w:t>
      </w:r>
    </w:p>
    <w:p w14:paraId="1658E65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五、严谨性与细节补全</w:t>
      </w:r>
      <w:bookmarkEnd w:id="5"/>
    </w:p>
    <w:p w14:paraId="2FDDDA2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正常解释按风险关联度分级</w:t>
      </w:r>
      <w:r>
        <w:rPr>
          <w:rFonts w:ascii="Arial" w:hAnsi="Arial" w:eastAsia="等线" w:cs="Arial"/>
          <w:sz w:val="22"/>
        </w:rPr>
        <w:t>：扩充至 8 项解释，按高 / 中 / 低关联度分类，匹配对应验证路径，避免审计人员混淆风险优先级。</w:t>
      </w:r>
    </w:p>
    <w:p w14:paraId="132BC3C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补充规则局限性说明</w:t>
      </w:r>
      <w:r>
        <w:rPr>
          <w:rFonts w:ascii="Arial" w:hAnsi="Arial" w:eastAsia="等线" w:cs="Arial"/>
          <w:sz w:val="22"/>
        </w:rPr>
        <w:t>：明确本规则的覆盖盲区，避免用户将 “未触发” 等同于 “无风险”。</w:t>
      </w:r>
    </w:p>
    <w:p w14:paraId="5C01F96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完善异常输入处理</w:t>
      </w:r>
      <w:r>
        <w:rPr>
          <w:rFonts w:ascii="Arial" w:hAnsi="Arial" w:eastAsia="等线" w:cs="Arial"/>
          <w:sz w:val="22"/>
        </w:rPr>
        <w:t>：覆盖分母为零、口径不一致、基数过小、合并范围变动等全部异常场景，统一输出规范。</w:t>
      </w:r>
    </w:p>
    <w:p w14:paraId="123DB69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修正周转天数规则</w:t>
      </w:r>
      <w:r>
        <w:rPr>
          <w:rFonts w:ascii="Arial" w:hAnsi="Arial" w:eastAsia="等线" w:cs="Arial"/>
          <w:sz w:val="22"/>
        </w:rPr>
        <w:t>：明确口径差异，补充不可比场景的判定标准，避免错误计算误导。</w:t>
      </w:r>
    </w:p>
    <w:p w14:paraId="1DEB2EE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213E15">
      <w:pPr>
        <w:spacing w:before="380" w:after="140" w:line="288" w:lineRule="auto"/>
        <w:ind w:left="0"/>
        <w:jc w:val="left"/>
        <w:outlineLvl w:val="0"/>
      </w:pPr>
      <w:r>
        <w:t>R1 应收 - 收入背离核查规则 v0.3.1（审查修订稿）</w:t>
      </w:r>
    </w:p>
    <w:p w14:paraId="17F838C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一、规则基本信息</w:t>
      </w:r>
      <w:bookmarkEnd w:id="7"/>
    </w:p>
    <w:p w14:paraId="1859821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规则编号</w:t>
      </w:r>
      <w:r>
        <w:rPr>
          <w:rFonts w:ascii="Arial" w:hAnsi="Arial" w:eastAsia="等线" w:cs="Arial"/>
          <w:sz w:val="22"/>
        </w:rPr>
        <w:t>：R1</w:t>
      </w:r>
    </w:p>
    <w:p w14:paraId="2F308A6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规则名称</w:t>
      </w:r>
      <w:r>
        <w:rPr>
          <w:rFonts w:ascii="Arial" w:hAnsi="Arial" w:eastAsia="等线" w:cs="Arial"/>
          <w:sz w:val="22"/>
        </w:rPr>
        <w:t>：应收款项与营业收入增速匹配性预筛查规则</w:t>
      </w:r>
    </w:p>
    <w:p w14:paraId="084CB1F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t>规则版本：v0.3.1（审查修订稿，待专业确认）</w:t>
      </w:r>
    </w:p>
    <w:p w14:paraId="43966DE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：销售与收款循环风险预筛查工具，基于公开财务数据识别应收与收入增速背离线索，不做舞弊定性结论</w:t>
      </w:r>
    </w:p>
    <w:p w14:paraId="044333B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t>专业依据：以《中国注册会计师审计准则第 1211 号——重大错报风险的识别和评估》与第 1313 号——分析程序为准则基础。本规则将应收—收入背离作为分析性程序下的风险识别线索，不将其作为错报、舞弊或收入真实性结论。</w:t>
      </w:r>
    </w:p>
    <w:p w14:paraId="55C6BE77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二、规则目的与适用边界</w:t>
      </w:r>
      <w:bookmarkEnd w:id="8"/>
    </w:p>
    <w:p w14:paraId="769E78F1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（一）规则目的</w:t>
      </w:r>
      <w:bookmarkEnd w:id="9"/>
    </w:p>
    <w:p w14:paraId="5EC8E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规则从销售回款视角切入，通过对比应收款项与营业收入的增速差异，识别赊销规模与收入规模的节奏背离现象，输出待核查线索、正常解释候选与资料需求清单，为业务承接评估、续聘风险复核、审计计划制定提供方向指引。</w:t>
      </w:r>
    </w:p>
    <w:p w14:paraId="2D3B6B17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（二）边界说明</w:t>
      </w:r>
      <w:bookmarkEnd w:id="10"/>
    </w:p>
    <w:p w14:paraId="0B01FCC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t>本规则仅分析应收款项与营业收入的增速匹配性，不覆盖收入确认政策、成本结转、关联方交易等其他收入相关风险；未触发本规则不代表不存在其他收入确认相关风险。当前工程版只读取 revenue_current、revenue_previous、ar_current、ar_previous 四个“应收账款”字段做方向比较；本稿中的应收票据、合同资产、阈值分级与跨规则联动均属于待专业确认、待代码对齐的规则草案。</w:t>
      </w:r>
    </w:p>
    <w:p>
      <w:r>
        <w:rPr>
          <w:i/>
          <w:color w:val="5B6F82"/>
          <w:sz w:val="18"/>
        </w:rPr>
        <w:t>口径提示：营业收入是不含税的期间流量，应收款项可能为含税的期末余额；本规则只观察增速趋势，不能把两者解释为一一对应的金额或回款比例。</w:t>
      </w:r>
    </w:p>
    <w:p w14:paraId="3972EBA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营业收入为时期数，应收款项为期末时点数，单期增速对比可能受期末集中发货、年末大额结算等时点性因素影响，需结合多期数据交叉验证。</w:t>
      </w:r>
    </w:p>
    <w:p w14:paraId="6AD679B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应收款项增速与收入增速背离不必然对应收入错报风险，需结合信用政策、行业特征、客户结构等因素进一步判断。本规则所有结论均落脚于</w:t>
      </w:r>
      <w:r>
        <w:rPr>
          <w:rFonts w:ascii="Arial" w:hAnsi="Arial" w:eastAsia="等线" w:cs="Arial"/>
          <w:b/>
          <w:sz w:val="22"/>
        </w:rPr>
        <w:t>匹配性待核查</w:t>
      </w:r>
      <w:r>
        <w:rPr>
          <w:rFonts w:ascii="Arial" w:hAnsi="Arial" w:eastAsia="等线" w:cs="Arial"/>
          <w:sz w:val="22"/>
        </w:rPr>
        <w:t>，不直接指向收入真实性问题。</w:t>
      </w:r>
    </w:p>
    <w:p w14:paraId="361F920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三、所需数据字段与口径定义</w:t>
      </w:r>
      <w:bookmarkEnd w:id="11"/>
    </w:p>
    <w:p w14:paraId="08F3E6E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（一）必选核心字段</w:t>
      </w:r>
      <w:bookmarkEnd w:id="12"/>
    </w:p>
    <w:tbl>
      <w:tblPr>
        <w:tblStyle w:val="2"/>
        <w:tblW w:w="8280" w:type="dxa"/>
        <w:tblInd w:w="12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CB70A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1DA0F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字段名称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1C62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 ID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3FCF5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精确口径说明</w:t>
            </w:r>
          </w:p>
        </w:tc>
      </w:tr>
      <w:tr w14:paraId="275FF1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1151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本年营业收入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50C2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revenue_current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894F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合并利润表 “营业收入” 项目本期金额，不含增值税；与利润表口径完全一致</w:t>
            </w:r>
          </w:p>
        </w:tc>
      </w:tr>
      <w:tr w14:paraId="343FC9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760A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上年营业收入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revenue_previous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DEB5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合并利润表 “营业收入” 项目上期金额，口径与本期保持一致</w:t>
            </w:r>
          </w:p>
        </w:tc>
      </w:tr>
      <w:tr w14:paraId="52067B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35FE54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本年末应收款项账面余额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5D4F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ar_current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合并资产负债表“应收账款”账面余额。当前工程版只支持该字段；应收票据和合同资产为专业规则草案扩展项，不得当作当前已运行字段。</w:t>
            </w:r>
          </w:p>
        </w:tc>
      </w:tr>
      <w:tr w14:paraId="60F96C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0826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上年末应收款项账面余额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ar_previous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63803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合并资产负债表应收款项账面余额期初数，口径与期末数保持一致</w:t>
            </w:r>
          </w:p>
        </w:tc>
      </w:tr>
    </w:tbl>
    <w:p w14:paraId="7151CA94"/>
    <w:tbl>
      <w:tblPr>
        <w:tblStyle w:val="2"/>
        <w:tblW w:w="8280" w:type="dxa"/>
        <w:tblInd w:w="12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7F6D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44F5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口径说明：选用账面余额而非账面价值，原因是坏账准备属于会计估计，其变动会干扰应收款项实际规模的判断，无法真实反映赊销与回款的节奏变化。</w:t>
            </w:r>
          </w:p>
        </w:tc>
      </w:tr>
    </w:tbl>
    <w:p w14:paraId="292E20A9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（二）可选分析字段（缺失不影响主规则运行）</w:t>
      </w:r>
      <w:bookmarkEnd w:id="13"/>
    </w:p>
    <w:tbl>
      <w:tblPr>
        <w:tblStyle w:val="2"/>
        <w:tblW w:w="8280" w:type="dxa"/>
        <w:tblInd w:w="12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7E158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1CE70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字段名称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7E7B6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 ID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29292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用途说明</w:t>
            </w:r>
          </w:p>
        </w:tc>
      </w:tr>
      <w:tr w14:paraId="3DCB60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2D60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上上年末应收款项账面余额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ar_previous_previous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42D1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用于计算应收账款周转天数，评估回款效率趋势</w:t>
            </w:r>
          </w:p>
        </w:tc>
      </w:tr>
      <w:tr w14:paraId="01F319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3C807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坏账准备期末 / 期初余额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bad_debt_current/bad_debt_previous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A0EE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用于校验账面余额与账面价值的勾稽关系，辅助分析坏账计提风险</w:t>
            </w:r>
          </w:p>
        </w:tc>
      </w:tr>
      <w:tr w14:paraId="1D61DA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7EFFA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合同资产期末 / 期初余额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contract_asset_current/contract_asset_previous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73459D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适配新收入准则业务，可配置纳入应收款项总规模计算</w:t>
            </w:r>
          </w:p>
        </w:tc>
      </w:tr>
      <w:tr w14:paraId="358566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644F7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应收票据本期背书转让金额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6E52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note_endorsement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52C5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用于验证 “应收票据背书导致余额下降” 的正常解释</w:t>
            </w:r>
          </w:p>
        </w:tc>
      </w:tr>
    </w:tbl>
    <w:p w14:paraId="7633D5A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四、核心指标体系</w:t>
      </w:r>
      <w:bookmarkEnd w:id="14"/>
    </w:p>
    <w:p w14:paraId="1D31A7FF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（一）核心指标一：应收 - 收入增速差值</w:t>
      </w:r>
      <w:bookmarkEnd w:id="15"/>
    </w:p>
    <w:p w14:paraId="1A9044A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计算公式</w:t>
      </w:r>
    </w:p>
    <w:p w14:paraId="3D231F5D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营业收入增速 = (本年营业收入 - 上年营业收入) / 上年营业收入 × 100%</w:t>
      </w:r>
    </w:p>
    <w:p w14:paraId="4CD1366F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应收款项增速 = (本年末应收款项账面余额 - 上年末应收款项账面余额) / 上年末应收款项账面余额 × 100%</w:t>
      </w:r>
    </w:p>
    <w:p w14:paraId="6603A53D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增速差值 = 应收款项增速 - 营业收入增速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结果保留两位小数，以百分比展示。</w:t>
      </w:r>
    </w:p>
    <w:p w14:paraId="453392B4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指标含义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衡量赊销规模相对收入规模的偏离程度，差值为正且越大，代表收入增长对应的现金回款节奏越慢，应收占用资金的幅度越高。</w:t>
      </w:r>
    </w:p>
    <w:p w14:paraId="4951F34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异常输入处理</w:t>
      </w:r>
    </w:p>
    <w:p w14:paraId="66778A12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上年营业收入或上年应收款项余额为 0、负值或缺失时，标记为「分母异常，无法计算」，不输出增速与风险结论；</w:t>
      </w:r>
    </w:p>
    <w:p w14:paraId="70ED4D12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t>上年应收款项余额绝对额过小（草案默认＜100 万元）或占上年营业收入比例过低（草案默认＜5%）时，标记为“基数过小，不可比”，不触发风险判定；参数须经专业确认后才可进入工程配置。</w:t>
      </w:r>
    </w:p>
    <w:p w14:paraId="7C9EF4C4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（二）辅助指标二：应收账款周转天数</w:t>
      </w:r>
      <w:bookmarkEnd w:id="16"/>
    </w:p>
    <w:p w14:paraId="326D948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计算公式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仅当本年、上年、上上年应收账面余额与两年营业收入全部齐全，且坏账计提口径一致时计算，统一采用 360 天口径：</w:t>
      </w:r>
    </w:p>
    <w:p w14:paraId="5C1FA2C4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本年周转天数 = [(上年末应收余额 + 本年末应收余额) / 2] / 本年营业收入 × 360</w:t>
      </w:r>
    </w:p>
    <w:p w14:paraId="74EBEC11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上年周转天数 = [(上上年末应收余额 + 上年末应收余额) / 2] / 上年营业收入 × 360</w:t>
      </w:r>
    </w:p>
    <w:p w14:paraId="4374415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指标含义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辅助验证回款效率的变动趋势，周转天数大幅上升与增速背离形成交叉验证时，风险等级上调。</w:t>
      </w:r>
    </w:p>
    <w:p w14:paraId="2379FB96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展示规则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数据不齐全、口径不一致时，统一展示「资料不足，周转趋势不可比」，不输出数值，不参与主触发判断。</w:t>
      </w:r>
    </w:p>
    <w:p w14:paraId="70A7DB5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口径提示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营业收入为不含税口径，应收款项为含税口径，周转天数仅用于趋势对比，不作为绝对精准的回款周期判定。</w:t>
      </w:r>
    </w:p>
    <w:p w14:paraId="718BF3E5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（三）触发阈值与适配规则</w:t>
      </w:r>
      <w:bookmarkEnd w:id="17"/>
    </w:p>
    <w:p w14:paraId="4A527B4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t>草案通用阈值（未接入当前工程）</w:t>
      </w:r>
    </w:p>
    <w:p w14:paraId="0B25634A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t>草案参数：增速差值＞15 个百分点时，建议人工关注；不由当前工程自动分级。</w:t>
      </w:r>
    </w:p>
    <w:p w14:paraId="247823B3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t>草案参数：增速差值＞30 个百分点时，建议人工重点复核；不由当前工程自动升级。</w:t>
      </w:r>
    </w:p>
    <w:p w14:paraId="6CB8F4F6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行业适配</w:t>
      </w:r>
    </w:p>
    <w:p w14:paraId="3C797322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t>行业阈值适配为后续专业配置项。v0.3.1 首版不按行业自动适配，不以“通用行业经验”替代经专业确认的行业参数。</w:t>
      </w:r>
    </w:p>
    <w:p w14:paraId="413CA604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t>未提供经专业确认的行业参数时，不输出行业阈值结论，只保留“待人工结合行业特征判断”的说明。</w:t>
      </w:r>
    </w:p>
    <w:p w14:paraId="596B729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t>极端场景（人工优先复核，不自动升级）</w:t>
      </w:r>
    </w:p>
    <w:p w14:paraId="5F88FEC5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五、触发逻辑与风险等级</w:t>
      </w:r>
      <w:bookmarkEnd w:id="18"/>
    </w:p>
    <w:p w14:paraId="1285FCB4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（一）可比前提校验</w:t>
      </w:r>
      <w:bookmarkEnd w:id="19"/>
    </w:p>
    <w:p w14:paraId="427E05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需同时满足以下条件，方可进入风险判定：</w:t>
      </w:r>
    </w:p>
    <w:p w14:paraId="6A42A066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t>草案可比前提：上年应收款项账面余额 ≥ 100 万元（待专业确认），且占上年营业收入比例 ≥ 5%（待专业确认）；</w:t>
      </w:r>
    </w:p>
    <w:p w14:paraId="1EB376B9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t>草案可比前提：上年营业收入 ≥ 1000 万元（待专业确认）；</w:t>
      </w:r>
    </w:p>
    <w:p w14:paraId="28F4699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本期无重大合并范围变动、重大资产剥离、债务重组等影响应收规模可比性的事项。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不满足可比前提的，标记为「不可比，不做风险判定」，仅展示可计算的指标数值。</w:t>
      </w:r>
    </w:p>
    <w:p w14:paraId="00E22F62">
      <w:pPr>
        <w:spacing w:before="300" w:after="120" w:line="288" w:lineRule="auto"/>
        <w:ind w:left="0"/>
        <w:jc w:val="left"/>
        <w:outlineLvl w:val="2"/>
      </w:pPr>
      <w:r>
        <w:t>（二）三级风险等级（规则草案；当前页面未按此分级）</w:t>
      </w:r>
    </w:p>
    <w:p w14:paraId="43025EC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待重点核查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满足任一条件：</w:t>
      </w:r>
    </w:p>
    <w:p w14:paraId="05C5902E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t>草案条件：应收 - 收入增速差值＞30 个百分点；</w:t>
      </w:r>
    </w:p>
    <w:p w14:paraId="7BD81028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t>草案条件：收入负增长且应收正增长；</w:t>
      </w:r>
    </w:p>
    <w:p w14:paraId="0BC31A1F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t>连续两期满足草案关注条件时，作为人工复核参考，不由系统自动升级。</w:t>
      </w:r>
    </w:p>
    <w:p w14:paraId="777AA0C3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t>单期满足草案关注条件且已接入的其他规则独立形成候选时，可提交人工评估是否合并线索；不得自动升级。</w:t>
      </w:r>
    </w:p>
    <w:p w14:paraId="517519E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待关注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满足：15 个百分点 ＜ 应收 - 收入增速差值 ≤ 30 个百分点，无其他升级信号。</w:t>
      </w:r>
    </w:p>
    <w:p w14:paraId="2FBCAC98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未见显著异常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应收 - 收入增速差值 ≤ 15 个百分点，无极端背离场景。</w:t>
      </w:r>
    </w:p>
    <w:p w14:paraId="058C7ECA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（三）独立状态：数据不足</w:t>
      </w:r>
      <w:bookmarkEnd w:id="21"/>
    </w:p>
    <w:p w14:paraId="7934BE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核心字段缺失≥2 项时，标记为「数据不足，无法判断」，不输出风险结论，仅列示缺失字段名称。</w:t>
      </w:r>
    </w:p>
    <w:p w14:paraId="6FDE3D9B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（四）触发判定与解释标注规则</w:t>
      </w:r>
      <w:bookmarkEnd w:id="22"/>
    </w:p>
    <w:p w14:paraId="62FCBDE0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t>当前工程版仅基于公开数据完成四字段方向比较并输出候选状态；v0.3.1 的阈值分级尚未接入。系统不得自动降级或关闭线索；所有正常解释仅作为参考标注，最终是否保留及后续处理由审计人员人工确认。</w:t>
      </w:r>
    </w:p>
    <w:p w14:paraId="768E3374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若从 T0 公开资料中检索到正常解释的支持依据，系统同步展示解释内容、原文页码和证据 ID，标记为「存在正常解释候选，建议人工复核」；是否降级或关闭线索，仅由审计人员人工操作。</w:t>
      </w:r>
    </w:p>
    <w:p w14:paraId="5CCFEC3E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t>AGENT 调用规则：当前工程版仅在四字段方向比较形成候选时调用模型；v0.3.1 的阈值等级完成代码与测试前，不得据此宣称模型已按“待关注/待重点核查”触发。</w:t>
      </w:r>
    </w:p>
    <w:p w14:paraId="6B067D50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六、正常解释候选清单</w:t>
      </w:r>
      <w:bookmarkEnd w:id="23"/>
    </w:p>
    <w:p w14:paraId="0C4E84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 8 项，按与收入风险的关联度分级：</w:t>
      </w:r>
    </w:p>
    <w:tbl>
      <w:tblPr>
        <w:tblStyle w:val="2"/>
        <w:tblW w:w="8280" w:type="dxa"/>
        <w:tblInd w:w="12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24B77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F8DA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30454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正常解释场景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4F67F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与收入风险关联度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2D5D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验证方向</w:t>
            </w:r>
          </w:p>
        </w:tc>
      </w:tr>
      <w:tr w14:paraId="1AF2CD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66C5A4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1A6F2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客户信用政策放宽，主动延长账期以拓展市场、应对竞争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897D2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30EF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信用政策变更文件、主要客户合同结算条款</w:t>
            </w:r>
          </w:p>
        </w:tc>
      </w:tr>
      <w:tr w14:paraId="79A7C7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1CFCD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7CF81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新增大额客户 / 新业务拓展，给予更长信用期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3B8FE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68EFF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新增客户名单、对应销售合同账期条款</w:t>
            </w:r>
          </w:p>
        </w:tc>
      </w:tr>
      <w:tr w14:paraId="23944A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7774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E8D70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年末 / 四季度集中发货验收，应收增长与收入确认存在时点差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126B9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609D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分季度收入数据、期末大额销售合同与物流凭证</w:t>
            </w:r>
          </w:p>
        </w:tc>
      </w:tr>
      <w:tr w14:paraId="399061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25680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6EC7E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行业整体回款周期拉长，上下游账期普遍后移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1C463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8925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同行业可比公司应收增速、账期数据</w:t>
            </w:r>
          </w:p>
        </w:tc>
      </w:tr>
      <w:tr w14:paraId="6DC172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1B5CD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19EC6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应收票据大额背书转让 / 贴现，导致期末应收余额下降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3BD5A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3A100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应收票据背书 / 贴现明细、年报披露信息</w:t>
            </w:r>
          </w:p>
        </w:tc>
      </w:tr>
      <w:tr w14:paraId="1BB97B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7900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8E31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本期加大回款催收力度，集中收回往期逾期款项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48B1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14D2E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期后回款明细、回款考核制度</w:t>
            </w:r>
          </w:p>
        </w:tc>
      </w:tr>
      <w:tr w14:paraId="5D08DD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7FB44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79C33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合并范围变动、处置子公司导致应收规模异常变动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BF9D3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03A1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合并范围变更说明、资产处置协议</w:t>
            </w:r>
          </w:p>
        </w:tc>
      </w:tr>
      <w:tr w14:paraId="36A71F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0F45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7EE5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业务季节性波动，对比区间不具备可比性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B000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14258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分季度 / 月度收入与应收明细</w:t>
            </w:r>
          </w:p>
        </w:tc>
      </w:tr>
    </w:tbl>
    <w:p w14:paraId="598015C2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七、资料缺口与待索取资料清单</w:t>
      </w:r>
      <w:bookmarkEnd w:id="24"/>
    </w:p>
    <w:p w14:paraId="28C3BBA4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（一）公开资料可补充获取</w:t>
      </w:r>
      <w:bookmarkEnd w:id="25"/>
    </w:p>
    <w:p w14:paraId="173EF30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分季度营业收入与应收款项明细数据</w:t>
      </w:r>
    </w:p>
    <w:p w14:paraId="459DD43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同行业可比公司应收增速、周转天数数据</w:t>
      </w:r>
    </w:p>
    <w:p w14:paraId="7C7F6B9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年报管理层讨论与分析中关于信用政策、回款情况的说明</w:t>
      </w:r>
    </w:p>
    <w:p w14:paraId="5072DD0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应收票据背书转让、贴现的披露信息</w:t>
      </w:r>
    </w:p>
    <w:p w14:paraId="762858EF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（二）需向被审计单位索取</w:t>
      </w:r>
      <w:bookmarkEnd w:id="26"/>
    </w:p>
    <w:p w14:paraId="25267F19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应收账款明细表及账龄分析表（含客户名称、金额、账龄分段、坏账计提情况）</w:t>
      </w:r>
    </w:p>
    <w:p w14:paraId="06225130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资产负债表日后 3 个月期后回款明细及对应凭证</w:t>
      </w:r>
    </w:p>
    <w:p w14:paraId="7AD4ED87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前五大应收客户对应的销售合同关键页（信用期、验收条件、结算方式）</w:t>
      </w:r>
    </w:p>
    <w:p w14:paraId="3843B3B4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客户信用政策文件及本期变更记录</w:t>
      </w:r>
    </w:p>
    <w:p w14:paraId="7FE9148B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期末大额收入交易的支持性凭证（发票、出库单、发运记录、验收单）</w:t>
      </w:r>
    </w:p>
    <w:p w14:paraId="7C072194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管理层对应收增速变动原因的书面说明</w:t>
      </w:r>
    </w:p>
    <w:p w14:paraId="2A34E5BC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八、与其他规则及系统架构的协同</w:t>
      </w:r>
      <w:bookmarkEnd w:id="27"/>
    </w:p>
    <w:p w14:paraId="1F4E3582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（一）跨规则联动规则</w:t>
      </w:r>
      <w:bookmarkEnd w:id="28"/>
    </w:p>
    <w:p w14:paraId="2E0DB59B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t>R1+R2 联动：仅当两条规则均完成独立字段、来源与可比性校验并形成候选时，才提交人工评估是否合并为一项线索。当前工程无法识别 OCF 变动“主因”，不得据此自动升级。</w:t>
      </w:r>
    </w:p>
    <w:p w14:paraId="7C110987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t>R1+R8 联动为后续规则库设计：R8 当前未接入计算，不得因勾选 R8 自动改变 R1 结果；取得分季度收入、退货折让和期后资料后由人工判断是否开展截止性核查。</w:t>
      </w:r>
    </w:p>
    <w:p w14:paraId="7BBA2CD0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t>R1+R4 联动为后续规则库设计：R4 当前未接入计算，客户集中度与公开特征资料须先核验；不得自动扩大函证范围。</w:t>
      </w:r>
    </w:p>
    <w:p w14:paraId="0F595FDD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t>仅 R1 形成候选、R2 未形成候选时：仅说明在当前已接入字段及可比条件下未出现 R2 方向候选；仍需人工结合应收可回收性、坏账计提与现金流构成判断，不能推导“收入现金质量无异常”。</w:t>
      </w:r>
    </w:p>
    <w:p w14:paraId="0AA7D3FA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（二）系统对接与证据硬校验要求</w:t>
      </w:r>
      <w:bookmarkEnd w:id="29"/>
    </w:p>
    <w:p w14:paraId="3EB8D4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本规则所有指标计算必须绑定对应字段的</w:t>
      </w:r>
      <w:r>
        <w:rPr>
          <w:rFonts w:ascii="Consolas" w:hAnsi="Consolas" w:eastAsia="Consolas" w:cs="Consolas"/>
          <w:sz w:val="22"/>
          <w:shd w:val="clear" w:fill="EFF0F1"/>
        </w:rPr>
        <w:t>evidence_id</w:t>
      </w:r>
      <w:r>
        <w:rPr>
          <w:rFonts w:ascii="Arial" w:hAnsi="Arial" w:eastAsia="等线" w:cs="Arial"/>
          <w:sz w:val="22"/>
        </w:rPr>
        <w:t>（来源文件、页码、原文片段）；触发结果随风险卡同步输出计算公式、计算过程、字段来源；无来源 ID 的字段不得参与计算，直接标记为数据缺失。</w:t>
      </w:r>
    </w:p>
    <w:p w14:paraId="12A0DC28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（三）人工复核环节规则</w:t>
      </w:r>
      <w:bookmarkEnd w:id="30"/>
    </w:p>
    <w:p w14:paraId="6E722567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t>复核结论统一设置 5 类选项：未复核、人工确认不保留</w:t>
      </w:r>
    </w:p>
    <w:p w14:paraId="615A72E7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所有复核操作必须填写复核说明，记录核查过程、依据与结论，系统自动留存操作人与操作时间。</w:t>
      </w:r>
    </w:p>
    <w:p w14:paraId="741AC37C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系统不得自动关闭或降级风险线索，所有状态调整必须经人工确认。</w:t>
      </w:r>
    </w:p>
    <w:p w14:paraId="1EED7CCE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九、可配置参数清单</w:t>
      </w:r>
      <w:bookmarkEnd w:id="31"/>
    </w:p>
    <w:tbl>
      <w:tblPr>
        <w:tblStyle w:val="2"/>
        <w:tblW w:w="8280" w:type="dxa"/>
        <w:tblInd w:w="12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DE1BE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3DA61F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144B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3E104B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7CC96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41FC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待关注增速差值阈值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5F0E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 个百分点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差值高于该值触发待关注（草案参数，待专业确认）</w:t>
            </w:r>
          </w:p>
        </w:tc>
      </w:tr>
      <w:tr w14:paraId="6B1010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10A211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待重点核查增速差值阈值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39E7B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 个百分点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差值高于该值触发待重点核查（草案参数，待专业确认）</w:t>
            </w:r>
          </w:p>
        </w:tc>
      </w:tr>
      <w:tr w14:paraId="09AB41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9413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应收余额最低绝对额门槛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A4ABA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 万元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低于该值标记基数过小（草案参数，待专业确认）</w:t>
            </w:r>
          </w:p>
        </w:tc>
      </w:tr>
      <w:tr w14:paraId="6E0ABC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E6E92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应收余额占收入比例门槛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BF04B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低于该值标记基数过小（草案参数，待专业确认）</w:t>
            </w:r>
          </w:p>
        </w:tc>
      </w:tr>
      <w:tr w14:paraId="2CAFF4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F2744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营业收入最低规模门槛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6801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1000 万元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低于该值标记规模不足（草案参数，待专业确认）</w:t>
            </w:r>
          </w:p>
        </w:tc>
      </w:tr>
      <w:tr w14:paraId="3AB84B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0059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周转天数计算天数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7803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360 天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FEAD7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周转天数计算的年度天数口径</w:t>
            </w:r>
          </w:p>
        </w:tc>
      </w:tr>
      <w:tr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是否纳入合同资产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false（草案默认）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仅适用于未来扩展口径；当前工程未接入。</w:t>
            </w:r>
          </w:p>
        </w:tc>
      </w:tr>
    </w:tbl>
    <w:p w14:paraId="6EFA6B80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十、版本验收标准</w:t>
      </w:r>
      <w:bookmarkEnd w:id="32"/>
    </w:p>
    <w:p w14:paraId="6A885445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t>专业复核完成：经审计专业成员审核，准则依据准确、公式逻辑无误、禁用表述控制到位、口径无歧义；</w:t>
      </w:r>
    </w:p>
    <w:p w14:paraId="64994CFC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t>工程对齐完成：后端编码完成并能按本稿字段、可比性与阈值逻辑输出结果，与 Excel 人工复算偏差≤0.01%。本条仅为验收条件，当前未完成；</w:t>
      </w:r>
    </w:p>
    <w:p w14:paraId="54D4C526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t>测试完成：通过≥5 组测试用例（正常、草案关注、草案重点复核、数据缺失、基数不可比），输出与预期一致；</w:t>
      </w:r>
    </w:p>
    <w:p w14:paraId="50EAB698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十一、合规说明</w:t>
      </w:r>
      <w:bookmarkEnd w:id="33"/>
    </w:p>
    <w:p w14:paraId="489BA3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本规则严格遵循项目「证据约束、预筛查定位、不下结论」的核心原则，全文禁用「舞弊」「造假」「虚假收入」等定性表述，所有输出均为风险线索与核查建议，不构成任何审计结论。</w:t>
      </w:r>
    </w:p>
    <w:p w14:paraId="357D6FD1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版本记录</w:t>
      </w:r>
      <w:bookmarkEnd w:id="34"/>
    </w:p>
    <w:p w14:paraId="6F994AC5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v0.1，2026 年 7 月 18 日：初稿创建，采用平均应收账款余额口径，完成基础规则框架。</w:t>
      </w:r>
    </w:p>
    <w:p w14:paraId="0B241530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v0.2，2026 年 7 月 20 日：优化标题与定位，调整为单年方向比较，明确周转天数计算条件，补充 T0 边界、异常输入处理与字段提取细节。</w:t>
      </w:r>
    </w:p>
    <w:p w14:paraId="040D573A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v0.3，2026 年 7 月 24 日：全面升级框架，与 R2 体系对齐；修正应收口径为账面余额，从方向触发升级为差值阈值触发，建立三级风险等级；补充可比前提、跨规则联动、人工复核规则与可配置参数；扩充正常解释清单，明确页面输出与 AGENT 调用规范。</w:t>
      </w:r>
    </w:p>
    <w:p w14:paraId="04B7BB8B">
      <w:pPr>
        <w:spacing w:before="120" w:after="120" w:line="288" w:lineRule="auto"/>
        <w:ind w:left="0"/>
        <w:jc w:val="left"/>
      </w:pPr>
      <w:bookmarkStart w:id="35" w:name="_GoBack"/>
      <w:bookmarkEnd w:id="35"/>
    </w:p>
    <w:p>
      <w:r>
        <w:t>v0.3.1，2026 年 7 月 24 日：审查修订。统一字段 ID 为网页/后端的 *_previous 命名；明确当前工程仅为四字段方向比较；将阈值、行业适配、扩展应收口径与跨规则联动标注为待专业确认、待代码对齐的规则草案；补充含税应收与不含税收入不可直接作金额对应的口径提示。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CC61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69B4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A0C93552"/>
    <w:multiLevelType w:val="singleLevel"/>
    <w:tmpl w:val="A0C935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BB64CFA9"/>
    <w:multiLevelType w:val="singleLevel"/>
    <w:tmpl w:val="BB64CF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C4E0D24A"/>
    <w:multiLevelType w:val="singleLevel"/>
    <w:tmpl w:val="C4E0D24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DAD3A854"/>
    <w:multiLevelType w:val="singleLevel"/>
    <w:tmpl w:val="DAD3A8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E504947C"/>
    <w:multiLevelType w:val="singleLevel"/>
    <w:tmpl w:val="E504947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E7B27C5B"/>
    <w:multiLevelType w:val="singleLevel"/>
    <w:tmpl w:val="E7B27C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F0E89278"/>
    <w:multiLevelType w:val="singleLevel"/>
    <w:tmpl w:val="F0E892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18F74015"/>
    <w:multiLevelType w:val="singleLevel"/>
    <w:tmpl w:val="18F740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23E97754"/>
    <w:multiLevelType w:val="singleLevel"/>
    <w:tmpl w:val="23E977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2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5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6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7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2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700FDCEF"/>
    <w:multiLevelType w:val="singleLevel"/>
    <w:tmpl w:val="700FDC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8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9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0">
    <w:nsid w:val="77633216"/>
    <w:multiLevelType w:val="singleLevel"/>
    <w:tmpl w:val="7763321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1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79AA4FA4"/>
    <w:multiLevelType w:val="singleLevel"/>
    <w:tmpl w:val="79AA4F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37"/>
  </w:num>
  <w:num w:numId="2">
    <w:abstractNumId w:val="24"/>
  </w:num>
  <w:num w:numId="3">
    <w:abstractNumId w:val="69"/>
  </w:num>
  <w:num w:numId="4">
    <w:abstractNumId w:val="20"/>
  </w:num>
  <w:num w:numId="5">
    <w:abstractNumId w:val="14"/>
  </w:num>
  <w:num w:numId="6">
    <w:abstractNumId w:val="40"/>
  </w:num>
  <w:num w:numId="7">
    <w:abstractNumId w:val="52"/>
  </w:num>
  <w:num w:numId="8">
    <w:abstractNumId w:val="78"/>
  </w:num>
  <w:num w:numId="9">
    <w:abstractNumId w:val="38"/>
  </w:num>
  <w:num w:numId="10">
    <w:abstractNumId w:val="5"/>
  </w:num>
  <w:num w:numId="11">
    <w:abstractNumId w:val="53"/>
  </w:num>
  <w:num w:numId="12">
    <w:abstractNumId w:val="71"/>
  </w:num>
  <w:num w:numId="13">
    <w:abstractNumId w:val="23"/>
  </w:num>
  <w:num w:numId="14">
    <w:abstractNumId w:val="66"/>
  </w:num>
  <w:num w:numId="15">
    <w:abstractNumId w:val="33"/>
  </w:num>
  <w:num w:numId="16">
    <w:abstractNumId w:val="51"/>
  </w:num>
  <w:num w:numId="17">
    <w:abstractNumId w:val="28"/>
  </w:num>
  <w:num w:numId="18">
    <w:abstractNumId w:val="26"/>
  </w:num>
  <w:num w:numId="19">
    <w:abstractNumId w:val="8"/>
  </w:num>
  <w:num w:numId="20">
    <w:abstractNumId w:val="64"/>
  </w:num>
  <w:num w:numId="21">
    <w:abstractNumId w:val="74"/>
  </w:num>
  <w:num w:numId="22">
    <w:abstractNumId w:val="43"/>
  </w:num>
  <w:num w:numId="23">
    <w:abstractNumId w:val="63"/>
  </w:num>
  <w:num w:numId="24">
    <w:abstractNumId w:val="11"/>
  </w:num>
  <w:num w:numId="25">
    <w:abstractNumId w:val="83"/>
  </w:num>
  <w:num w:numId="26">
    <w:abstractNumId w:val="81"/>
  </w:num>
  <w:num w:numId="27">
    <w:abstractNumId w:val="19"/>
  </w:num>
  <w:num w:numId="28">
    <w:abstractNumId w:val="75"/>
  </w:num>
  <w:num w:numId="29">
    <w:abstractNumId w:val="6"/>
  </w:num>
  <w:num w:numId="30">
    <w:abstractNumId w:val="60"/>
  </w:num>
  <w:num w:numId="31">
    <w:abstractNumId w:val="2"/>
  </w:num>
  <w:num w:numId="32">
    <w:abstractNumId w:val="68"/>
  </w:num>
  <w:num w:numId="33">
    <w:abstractNumId w:val="84"/>
  </w:num>
  <w:num w:numId="34">
    <w:abstractNumId w:val="0"/>
  </w:num>
  <w:num w:numId="35">
    <w:abstractNumId w:val="50"/>
  </w:num>
  <w:num w:numId="36">
    <w:abstractNumId w:val="67"/>
  </w:num>
  <w:num w:numId="37">
    <w:abstractNumId w:val="35"/>
  </w:num>
  <w:num w:numId="38">
    <w:abstractNumId w:val="29"/>
  </w:num>
  <w:num w:numId="39">
    <w:abstractNumId w:val="56"/>
  </w:num>
  <w:num w:numId="40">
    <w:abstractNumId w:val="82"/>
  </w:num>
  <w:num w:numId="41">
    <w:abstractNumId w:val="17"/>
  </w:num>
  <w:num w:numId="42">
    <w:abstractNumId w:val="4"/>
  </w:num>
  <w:num w:numId="43">
    <w:abstractNumId w:val="16"/>
  </w:num>
  <w:num w:numId="44">
    <w:abstractNumId w:val="72"/>
  </w:num>
  <w:num w:numId="45">
    <w:abstractNumId w:val="1"/>
  </w:num>
  <w:num w:numId="46">
    <w:abstractNumId w:val="47"/>
  </w:num>
  <w:num w:numId="47">
    <w:abstractNumId w:val="3"/>
  </w:num>
  <w:num w:numId="48">
    <w:abstractNumId w:val="73"/>
  </w:num>
  <w:num w:numId="49">
    <w:abstractNumId w:val="79"/>
  </w:num>
  <w:num w:numId="50">
    <w:abstractNumId w:val="65"/>
  </w:num>
  <w:num w:numId="51">
    <w:abstractNumId w:val="57"/>
  </w:num>
  <w:num w:numId="52">
    <w:abstractNumId w:val="76"/>
  </w:num>
  <w:num w:numId="53">
    <w:abstractNumId w:val="41"/>
  </w:num>
  <w:num w:numId="54">
    <w:abstractNumId w:val="42"/>
  </w:num>
  <w:num w:numId="55">
    <w:abstractNumId w:val="25"/>
  </w:num>
  <w:num w:numId="56">
    <w:abstractNumId w:val="58"/>
  </w:num>
  <w:num w:numId="57">
    <w:abstractNumId w:val="48"/>
  </w:num>
  <w:num w:numId="58">
    <w:abstractNumId w:val="32"/>
  </w:num>
  <w:num w:numId="59">
    <w:abstractNumId w:val="49"/>
  </w:num>
  <w:num w:numId="60">
    <w:abstractNumId w:val="13"/>
  </w:num>
  <w:num w:numId="61">
    <w:abstractNumId w:val="62"/>
  </w:num>
  <w:num w:numId="62">
    <w:abstractNumId w:val="44"/>
  </w:num>
  <w:num w:numId="63">
    <w:abstractNumId w:val="59"/>
  </w:num>
  <w:num w:numId="64">
    <w:abstractNumId w:val="39"/>
  </w:num>
  <w:num w:numId="65">
    <w:abstractNumId w:val="21"/>
  </w:num>
  <w:num w:numId="66">
    <w:abstractNumId w:val="45"/>
  </w:num>
  <w:num w:numId="67">
    <w:abstractNumId w:val="12"/>
  </w:num>
  <w:num w:numId="68">
    <w:abstractNumId w:val="61"/>
  </w:num>
  <w:num w:numId="69">
    <w:abstractNumId w:val="10"/>
  </w:num>
  <w:num w:numId="70">
    <w:abstractNumId w:val="34"/>
  </w:num>
  <w:num w:numId="71">
    <w:abstractNumId w:val="55"/>
  </w:num>
  <w:num w:numId="72">
    <w:abstractNumId w:val="36"/>
  </w:num>
  <w:num w:numId="73">
    <w:abstractNumId w:val="46"/>
  </w:num>
  <w:num w:numId="74">
    <w:abstractNumId w:val="77"/>
  </w:num>
  <w:num w:numId="75">
    <w:abstractNumId w:val="30"/>
  </w:num>
  <w:num w:numId="76">
    <w:abstractNumId w:val="22"/>
  </w:num>
  <w:num w:numId="77">
    <w:abstractNumId w:val="9"/>
  </w:num>
  <w:num w:numId="78">
    <w:abstractNumId w:val="80"/>
  </w:num>
  <w:num w:numId="79">
    <w:abstractNumId w:val="27"/>
  </w:num>
  <w:num w:numId="80">
    <w:abstractNumId w:val="15"/>
  </w:num>
  <w:num w:numId="81">
    <w:abstractNumId w:val="54"/>
  </w:num>
  <w:num w:numId="82">
    <w:abstractNumId w:val="31"/>
  </w:num>
  <w:num w:numId="83">
    <w:abstractNumId w:val="7"/>
  </w:num>
  <w:num w:numId="84">
    <w:abstractNumId w:val="70"/>
  </w:num>
  <w:num w:numId="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6D705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4180</Words>
  <Characters>4389</Characters>
  <TotalTime>0</TotalTime>
  <ScaleCrop>false</ScaleCrop>
  <LinksUpToDate>false</LinksUpToDate>
  <CharactersWithSpaces>4567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2026-07-24T10:24:00Z</dcterms:created>
  <dc:creator>Apache POI</dc:creator>
  <cp:lastModifiedBy>梦清实易</cp:lastModifiedBy>
  <dcterms:modified xsi:type="dcterms:W3CDTF">2026-07-24T10:25:07Z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{"Label":"1","ContentProducer":"001191110102MACQD9K64010000","ProduceID":"7666038419902581691","ReservedCode1":"","ContentPropagator":"","PropagateID":"","ReservedCode2":""}</vt:lpwstr>
  </property>
  <property fmtid="{D5CDD505-2E9C-101B-9397-08002B2CF9AE}" pid="3" name="KSOTemplateDocerSaveRecord">
    <vt:lpwstr>eyJoZGlkIjoiZjFmZWIzNDg2MmIzZjExOTIzMmViNTBmYTMwYTk0ZWYiLCJ1c2VySWQiOiI5NTY1OTk4MjIifQ==</vt:lpwstr>
  </property>
  <property fmtid="{D5CDD505-2E9C-101B-9397-08002B2CF9AE}" pid="4" name="KSOProductBuildVer">
    <vt:lpwstr>2052-12.1.0.25865</vt:lpwstr>
  </property>
  <property fmtid="{D5CDD505-2E9C-101B-9397-08002B2CF9AE}" pid="5" name="ICV">
    <vt:lpwstr>4E320472471646739F703D3AE27BA051_12</vt:lpwstr>
  </property>
</Properties>
</file>