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04B94">
      <w:pPr>
        <w:jc w:val="center"/>
        <w:rPr>
          <w:rFonts w:hint="eastAsia"/>
        </w:rPr>
      </w:pPr>
      <w:r>
        <w:rPr>
          <w:rFonts w:hint="eastAsia"/>
          <w:sz w:val="28"/>
          <w:szCs w:val="36"/>
        </w:rPr>
        <w:t>R1规则说明：应收账款增速高于收入增速的待核查线索</w:t>
      </w:r>
    </w:p>
    <w:p w14:paraId="1D317AF9">
      <w:pPr>
        <w:rPr>
          <w:rFonts w:hint="eastAsia"/>
        </w:rPr>
      </w:pPr>
      <w:r>
        <w:rPr>
          <w:rFonts w:hint="eastAsia"/>
        </w:rPr>
        <w:t>规则ID：R1 | 版本：v0.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| 状态：草拟</w:t>
      </w:r>
    </w:p>
    <w:p w14:paraId="2ECF02EF">
      <w:pPr>
        <w:rPr>
          <w:rFonts w:hint="eastAsia"/>
        </w:rPr>
      </w:pPr>
    </w:p>
    <w:p w14:paraId="1DB8C1DD">
      <w:pPr>
        <w:pStyle w:val="2"/>
        <w:bidi w:val="0"/>
        <w:rPr>
          <w:rFonts w:hint="eastAsia"/>
        </w:rPr>
      </w:pPr>
      <w:r>
        <w:rPr>
          <w:rFonts w:hint="eastAsia"/>
        </w:rPr>
        <w:t>一、规则目的与业务循环定位</w:t>
      </w:r>
    </w:p>
    <w:p w14:paraId="38ADA3AE">
      <w:pPr>
        <w:rPr>
          <w:rFonts w:hint="eastAsia"/>
        </w:rPr>
      </w:pPr>
      <w:r>
        <w:rPr>
          <w:rFonts w:hint="eastAsia"/>
        </w:rPr>
        <w:t>本规则定位于销售与收款循环，旨在识别一项需要进一步了解的业务现象：当公司收入增长平稳，但应收账款以更快速度增长时，收入确认与现金回款之间可能存在节奏不一致，需要在业务承接、续聘复核或审计计划阶段予以关注。</w:t>
      </w:r>
    </w:p>
    <w:p w14:paraId="44A03C66">
      <w:pPr>
        <w:rPr>
          <w:rFonts w:hint="eastAsia"/>
        </w:rPr>
      </w:pPr>
    </w:p>
    <w:p w14:paraId="672DFCCA">
      <w:pPr>
        <w:rPr>
          <w:rFonts w:hint="eastAsia"/>
        </w:rPr>
      </w:pPr>
      <w:r>
        <w:rPr>
          <w:rFonts w:hint="eastAsia"/>
        </w:rPr>
        <w:t>本规则不判断收入是否真实，也不得出“公司存在舞弊”的结论，而是提示审计师关注该领域并进一步了解背后的业务原因。通俗地说，如果收入增长百分之五，但应收账款增长百分之三十，说明公司每实现一元收入，对应的现金回收节奏在放缓。这可能源于商业策略调整，也可能指向需要进一步核查的潜在风险。本规则将这一现象转化为“待核查线索”，并输出正常解释候选、资料依据缺口和待索取资料清单，供审计师后续专业判断。</w:t>
      </w:r>
    </w:p>
    <w:p w14:paraId="7E48584A">
      <w:pPr>
        <w:rPr>
          <w:rFonts w:hint="eastAsia"/>
        </w:rPr>
      </w:pPr>
    </w:p>
    <w:p w14:paraId="06CA56C7">
      <w:pPr>
        <w:pStyle w:val="2"/>
        <w:bidi w:val="0"/>
        <w:rPr>
          <w:rFonts w:hint="eastAsia"/>
        </w:rPr>
      </w:pPr>
      <w:r>
        <w:rPr>
          <w:rFonts w:hint="eastAsia"/>
        </w:rPr>
        <w:t>二、所需数据字段</w:t>
      </w:r>
    </w:p>
    <w:p w14:paraId="6C221BEF">
      <w:pPr>
        <w:rPr>
          <w:rFonts w:hint="eastAsia"/>
        </w:rPr>
      </w:pPr>
      <w:r>
        <w:rPr>
          <w:rFonts w:hint="eastAsia"/>
        </w:rPr>
        <w:t>运行本规则需要从年报中提取以下四个核心字段。四个字段均为合并报表口径，金额单位保留年报原始单位（标准股份为元），录入时在来源台账中记录单位，计算前统一换算为同单位。</w:t>
      </w:r>
    </w:p>
    <w:p w14:paraId="05773ED1">
      <w:pPr>
        <w:rPr>
          <w:rFonts w:hint="eastAsia"/>
        </w:rPr>
      </w:pPr>
    </w:p>
    <w:p w14:paraId="57C8ECC1">
      <w:pPr>
        <w:rPr>
          <w:rFonts w:hint="eastAsia"/>
        </w:rPr>
      </w:pPr>
      <w:r>
        <w:rPr>
          <w:rFonts w:hint="eastAsia"/>
        </w:rPr>
        <w:t>字段一：本年营业收入</w:t>
      </w:r>
    </w:p>
    <w:p w14:paraId="6846AFFA">
      <w:pPr>
        <w:rPr>
          <w:rFonts w:hint="eastAsia"/>
        </w:rPr>
      </w:pPr>
    </w:p>
    <w:p w14:paraId="0D05C032">
      <w:pPr>
        <w:rPr>
          <w:rFonts w:hint="eastAsia"/>
        </w:rPr>
      </w:pPr>
      <w:r>
        <w:rPr>
          <w:rFonts w:hint="eastAsia"/>
        </w:rPr>
        <w:t>字段ID：revenue_current</w:t>
      </w:r>
    </w:p>
    <w:p w14:paraId="524F5E29">
      <w:pPr>
        <w:rPr>
          <w:rFonts w:hint="eastAsia"/>
        </w:rPr>
      </w:pPr>
    </w:p>
    <w:p w14:paraId="1E0559B6">
      <w:pPr>
        <w:rPr>
          <w:rFonts w:hint="eastAsia"/>
        </w:rPr>
      </w:pPr>
      <w:r>
        <w:rPr>
          <w:rFonts w:hint="eastAsia"/>
        </w:rPr>
        <w:t>数据类型：数值，浮点数</w:t>
      </w:r>
    </w:p>
    <w:p w14:paraId="236F8DBE">
      <w:pPr>
        <w:rPr>
          <w:rFonts w:hint="eastAsia"/>
        </w:rPr>
      </w:pPr>
    </w:p>
    <w:p w14:paraId="7783BC37">
      <w:pPr>
        <w:rPr>
          <w:rFonts w:hint="eastAsia"/>
        </w:rPr>
      </w:pPr>
      <w:r>
        <w:rPr>
          <w:rFonts w:hint="eastAsia"/>
        </w:rPr>
        <w:t>提取说明：取自合并利润表“本期金额”栏。标准股份2025年报中位于PDF第64页，合并利润表部分，对应2025年度金额。</w:t>
      </w:r>
    </w:p>
    <w:p w14:paraId="68B163A0">
      <w:pPr>
        <w:rPr>
          <w:rFonts w:hint="eastAsia"/>
        </w:rPr>
      </w:pPr>
    </w:p>
    <w:p w14:paraId="2F264C5B">
      <w:pPr>
        <w:rPr>
          <w:rFonts w:hint="eastAsia"/>
        </w:rPr>
      </w:pPr>
      <w:r>
        <w:rPr>
          <w:rFonts w:hint="eastAsia"/>
        </w:rPr>
        <w:t>字段二：上年营业收入</w:t>
      </w:r>
    </w:p>
    <w:p w14:paraId="1F9C47F7">
      <w:pPr>
        <w:rPr>
          <w:rFonts w:hint="eastAsia"/>
        </w:rPr>
      </w:pPr>
    </w:p>
    <w:p w14:paraId="5BC98F6A">
      <w:pPr>
        <w:rPr>
          <w:rFonts w:hint="eastAsia"/>
        </w:rPr>
      </w:pPr>
      <w:r>
        <w:rPr>
          <w:rFonts w:hint="eastAsia"/>
        </w:rPr>
        <w:t>字段ID：revenue_previous</w:t>
      </w:r>
    </w:p>
    <w:p w14:paraId="7EBC2BDB">
      <w:pPr>
        <w:rPr>
          <w:rFonts w:hint="eastAsia"/>
        </w:rPr>
      </w:pPr>
    </w:p>
    <w:p w14:paraId="1FB1C714">
      <w:pPr>
        <w:rPr>
          <w:rFonts w:hint="eastAsia"/>
        </w:rPr>
      </w:pPr>
      <w:r>
        <w:rPr>
          <w:rFonts w:hint="eastAsia"/>
        </w:rPr>
        <w:t>数据类型：数值，浮点数</w:t>
      </w:r>
    </w:p>
    <w:p w14:paraId="2E6D8D33">
      <w:pPr>
        <w:rPr>
          <w:rFonts w:hint="eastAsia"/>
        </w:rPr>
      </w:pPr>
    </w:p>
    <w:p w14:paraId="2BE63887">
      <w:pPr>
        <w:rPr>
          <w:rFonts w:hint="eastAsia"/>
        </w:rPr>
      </w:pPr>
      <w:r>
        <w:rPr>
          <w:rFonts w:hint="eastAsia"/>
        </w:rPr>
        <w:t>提取说明：取自合并利润表“上期金额”栏。标准股份2025年报中位于PDF第64页，合并利润表部分，对应2024年度金额。注意该字段与字段一在同一张报表的上下两行，不在不同页面。</w:t>
      </w:r>
    </w:p>
    <w:p w14:paraId="6F5D6539">
      <w:pPr>
        <w:rPr>
          <w:rFonts w:hint="eastAsia"/>
        </w:rPr>
      </w:pPr>
    </w:p>
    <w:p w14:paraId="5D5070C4">
      <w:pPr>
        <w:rPr>
          <w:rFonts w:hint="eastAsia"/>
        </w:rPr>
      </w:pPr>
      <w:r>
        <w:rPr>
          <w:rFonts w:hint="eastAsia"/>
        </w:rPr>
        <w:t>字段三：本年末应收账款账面价值</w:t>
      </w:r>
    </w:p>
    <w:p w14:paraId="3E981EE8">
      <w:pPr>
        <w:rPr>
          <w:rFonts w:hint="eastAsia"/>
        </w:rPr>
      </w:pPr>
    </w:p>
    <w:p w14:paraId="1EA2B101">
      <w:pPr>
        <w:rPr>
          <w:rFonts w:hint="eastAsia"/>
        </w:rPr>
      </w:pPr>
      <w:r>
        <w:rPr>
          <w:rFonts w:hint="eastAsia"/>
        </w:rPr>
        <w:t>字段ID：ar_current</w:t>
      </w:r>
    </w:p>
    <w:p w14:paraId="65447C00">
      <w:pPr>
        <w:rPr>
          <w:rFonts w:hint="eastAsia"/>
        </w:rPr>
      </w:pPr>
    </w:p>
    <w:p w14:paraId="1CE26050">
      <w:pPr>
        <w:rPr>
          <w:rFonts w:hint="eastAsia"/>
        </w:rPr>
      </w:pPr>
      <w:r>
        <w:rPr>
          <w:rFonts w:hint="eastAsia"/>
        </w:rPr>
        <w:t>数据类型：数值，浮点数</w:t>
      </w:r>
    </w:p>
    <w:p w14:paraId="01C58738">
      <w:pPr>
        <w:rPr>
          <w:rFonts w:hint="eastAsia"/>
        </w:rPr>
      </w:pPr>
    </w:p>
    <w:p w14:paraId="3609A018">
      <w:pPr>
        <w:rPr>
          <w:rFonts w:hint="eastAsia"/>
        </w:rPr>
      </w:pPr>
      <w:r>
        <w:rPr>
          <w:rFonts w:hint="eastAsia"/>
        </w:rPr>
        <w:t>提取说明：取自合并资产负债表“期末余额”栏。标准股份2025年报中位于PDF第59页，合并资产负债表部分，对应2025年12月31日余额。账面价值为扣除坏账准备后的净额。若年报同时列示原值和坏账准备，则分别记录两项并确认净额=原值-坏账准备。</w:t>
      </w:r>
    </w:p>
    <w:p w14:paraId="61211326">
      <w:pPr>
        <w:rPr>
          <w:rFonts w:hint="eastAsia"/>
        </w:rPr>
      </w:pPr>
    </w:p>
    <w:p w14:paraId="205EE07B">
      <w:pPr>
        <w:rPr>
          <w:rFonts w:hint="eastAsia"/>
        </w:rPr>
      </w:pPr>
      <w:r>
        <w:rPr>
          <w:rFonts w:hint="eastAsia"/>
        </w:rPr>
        <w:t>字段四：上年末应收账款账面价值</w:t>
      </w:r>
    </w:p>
    <w:p w14:paraId="2F9F74F1">
      <w:pPr>
        <w:rPr>
          <w:rFonts w:hint="eastAsia"/>
        </w:rPr>
      </w:pPr>
    </w:p>
    <w:p w14:paraId="7BCF8629">
      <w:pPr>
        <w:rPr>
          <w:rFonts w:hint="eastAsia"/>
        </w:rPr>
      </w:pPr>
      <w:r>
        <w:rPr>
          <w:rFonts w:hint="eastAsia"/>
        </w:rPr>
        <w:t>字段ID：ar_previous</w:t>
      </w:r>
    </w:p>
    <w:p w14:paraId="3A3BB11F">
      <w:pPr>
        <w:rPr>
          <w:rFonts w:hint="eastAsia"/>
        </w:rPr>
      </w:pPr>
    </w:p>
    <w:p w14:paraId="45DBD764">
      <w:pPr>
        <w:rPr>
          <w:rFonts w:hint="eastAsia"/>
        </w:rPr>
      </w:pPr>
      <w:r>
        <w:rPr>
          <w:rFonts w:hint="eastAsia"/>
        </w:rPr>
        <w:t>数据类型：数值，浮点数</w:t>
      </w:r>
    </w:p>
    <w:p w14:paraId="3ABE6CD2">
      <w:pPr>
        <w:rPr>
          <w:rFonts w:hint="eastAsia"/>
        </w:rPr>
      </w:pPr>
    </w:p>
    <w:p w14:paraId="3D666933">
      <w:pPr>
        <w:rPr>
          <w:rFonts w:hint="eastAsia"/>
        </w:rPr>
      </w:pPr>
      <w:r>
        <w:rPr>
          <w:rFonts w:hint="eastAsia"/>
        </w:rPr>
        <w:t>提取说明：取自合并资产负债表“上年年末余额”或“期初余额”栏。该字段直接在本年资产负债表中提取，不需翻阅去年PDF。标准股份2025年报中位于PDF第59页，合并资产负债表部分，与字段三在同一张报表的左右两列。</w:t>
      </w:r>
    </w:p>
    <w:p w14:paraId="0348E5CC">
      <w:pPr>
        <w:rPr>
          <w:rFonts w:hint="eastAsia"/>
        </w:rPr>
      </w:pPr>
    </w:p>
    <w:p w14:paraId="3FBB8197">
      <w:pPr>
        <w:rPr>
          <w:rFonts w:hint="eastAsia"/>
        </w:rPr>
      </w:pPr>
      <w:r>
        <w:rPr>
          <w:rFonts w:hint="eastAsia"/>
        </w:rPr>
        <w:t>增强字段五：上上年末应收账款账面价值</w:t>
      </w:r>
    </w:p>
    <w:p w14:paraId="2005AFFB">
      <w:pPr>
        <w:rPr>
          <w:rFonts w:hint="eastAsia"/>
        </w:rPr>
      </w:pPr>
    </w:p>
    <w:p w14:paraId="68A9EE79">
      <w:pPr>
        <w:rPr>
          <w:rFonts w:hint="eastAsia"/>
        </w:rPr>
      </w:pPr>
      <w:r>
        <w:rPr>
          <w:rFonts w:hint="eastAsia"/>
        </w:rPr>
        <w:t>字段ID：ar_previous_previous</w:t>
      </w:r>
    </w:p>
    <w:p w14:paraId="6A7CE62F">
      <w:pPr>
        <w:rPr>
          <w:rFonts w:hint="eastAsia"/>
        </w:rPr>
      </w:pPr>
    </w:p>
    <w:p w14:paraId="6F4A7BE0">
      <w:pPr>
        <w:rPr>
          <w:rFonts w:hint="eastAsia"/>
        </w:rPr>
      </w:pPr>
      <w:r>
        <w:rPr>
          <w:rFonts w:hint="eastAsia"/>
        </w:rPr>
        <w:t>数据类型：数值，浮点数，可空</w:t>
      </w:r>
    </w:p>
    <w:p w14:paraId="24BD9587">
      <w:pPr>
        <w:rPr>
          <w:rFonts w:hint="eastAsia"/>
        </w:rPr>
      </w:pPr>
    </w:p>
    <w:p w14:paraId="1C9A51F0">
      <w:pPr>
        <w:rPr>
          <w:rFonts w:hint="eastAsia"/>
        </w:rPr>
      </w:pPr>
      <w:r>
        <w:rPr>
          <w:rFonts w:hint="eastAsia"/>
        </w:rPr>
        <w:t>提取说明：取自前一年合并资产负债表“期末余额”栏。仅用于周转天数计算。若该字段缺失，周转天数标记为“资料不足，周转趋势不可比”，不降级，不影响主规则触发。</w:t>
      </w:r>
    </w:p>
    <w:p w14:paraId="02C79BF5">
      <w:pPr>
        <w:rPr>
          <w:rFonts w:hint="eastAsia"/>
        </w:rPr>
      </w:pPr>
    </w:p>
    <w:p w14:paraId="50771E4D">
      <w:pPr>
        <w:pStyle w:val="2"/>
        <w:bidi w:val="0"/>
        <w:rPr>
          <w:rFonts w:hint="eastAsia"/>
        </w:rPr>
      </w:pPr>
      <w:r>
        <w:rPr>
          <w:rFonts w:hint="eastAsia"/>
        </w:rPr>
        <w:t>三、计算公式</w:t>
      </w:r>
    </w:p>
    <w:p w14:paraId="3CF2FF15">
      <w:pPr>
        <w:rPr>
          <w:rFonts w:hint="eastAsia"/>
        </w:rPr>
      </w:pPr>
      <w:r>
        <w:rPr>
          <w:rFonts w:hint="eastAsia"/>
        </w:rPr>
        <w:t>核心公式一：收入增长率</w:t>
      </w:r>
    </w:p>
    <w:p w14:paraId="185400FE">
      <w:pPr>
        <w:rPr>
          <w:rFonts w:hint="eastAsia"/>
        </w:rPr>
      </w:pPr>
    </w:p>
    <w:p w14:paraId="57FD5431">
      <w:pPr>
        <w:rPr>
          <w:rFonts w:hint="eastAsia"/>
        </w:rPr>
      </w:pPr>
      <w:r>
        <w:rPr>
          <w:rFonts w:hint="eastAsia"/>
        </w:rPr>
        <w:t>revenue_growth = (revenue_current - revenue_previous) / revenue_previous × 100%</w:t>
      </w:r>
    </w:p>
    <w:p w14:paraId="40BB9198">
      <w:pPr>
        <w:rPr>
          <w:rFonts w:hint="eastAsia"/>
        </w:rPr>
      </w:pPr>
    </w:p>
    <w:p w14:paraId="262E1AC1">
      <w:pPr>
        <w:rPr>
          <w:rFonts w:hint="eastAsia"/>
        </w:rPr>
      </w:pPr>
      <w:r>
        <w:rPr>
          <w:rFonts w:hint="eastAsia"/>
        </w:rPr>
        <w:t>结果保留两位小数，以百分比展示。若revenue_previous为零或负值，标记为“无法计算”，页面提示“上年营业收入为零/负，无法计算收入增长率”。</w:t>
      </w:r>
    </w:p>
    <w:p w14:paraId="0B6C5317">
      <w:pPr>
        <w:rPr>
          <w:rFonts w:hint="eastAsia"/>
        </w:rPr>
      </w:pPr>
    </w:p>
    <w:p w14:paraId="453E3596">
      <w:pPr>
        <w:rPr>
          <w:rFonts w:hint="eastAsia"/>
        </w:rPr>
      </w:pPr>
      <w:r>
        <w:rPr>
          <w:rFonts w:hint="eastAsia"/>
        </w:rPr>
        <w:t>核心公式二：应收账款增长率</w:t>
      </w:r>
    </w:p>
    <w:p w14:paraId="218CF522">
      <w:pPr>
        <w:rPr>
          <w:rFonts w:hint="eastAsia"/>
        </w:rPr>
      </w:pPr>
    </w:p>
    <w:p w14:paraId="4B8003F9">
      <w:pPr>
        <w:rPr>
          <w:rFonts w:hint="eastAsia"/>
        </w:rPr>
      </w:pPr>
      <w:r>
        <w:rPr>
          <w:rFonts w:hint="eastAsia"/>
        </w:rPr>
        <w:t>ar_growth = (ar_current - ar_previous) / ar_previous × 100%</w:t>
      </w:r>
    </w:p>
    <w:p w14:paraId="533BA29F">
      <w:pPr>
        <w:rPr>
          <w:rFonts w:hint="eastAsia"/>
        </w:rPr>
      </w:pPr>
    </w:p>
    <w:p w14:paraId="46EA4492">
      <w:pPr>
        <w:rPr>
          <w:rFonts w:hint="eastAsia"/>
        </w:rPr>
      </w:pPr>
      <w:r>
        <w:rPr>
          <w:rFonts w:hint="eastAsia"/>
        </w:rPr>
        <w:t>结果保留两位小数，以百分比展示。若ar_previous为零或负值，标记为“无法计算”，页面提示“上年末应收账款为零/负，无法计算应收增长率”。</w:t>
      </w:r>
    </w:p>
    <w:p w14:paraId="68F56B5B">
      <w:pPr>
        <w:rPr>
          <w:rFonts w:hint="eastAsia"/>
        </w:rPr>
      </w:pPr>
    </w:p>
    <w:p w14:paraId="6646AFC7">
      <w:pPr>
        <w:rPr>
          <w:rFonts w:hint="eastAsia"/>
        </w:rPr>
      </w:pPr>
      <w:r>
        <w:rPr>
          <w:rFonts w:hint="eastAsia"/>
        </w:rPr>
        <w:t>辅助指标三：两者差额</w:t>
      </w:r>
    </w:p>
    <w:p w14:paraId="05FDFB36">
      <w:pPr>
        <w:rPr>
          <w:rFonts w:hint="eastAsia"/>
        </w:rPr>
      </w:pPr>
    </w:p>
    <w:p w14:paraId="7D077F5B">
      <w:pPr>
        <w:rPr>
          <w:rFonts w:hint="eastAsia"/>
        </w:rPr>
      </w:pPr>
      <w:r>
        <w:rPr>
          <w:rFonts w:hint="eastAsia"/>
        </w:rPr>
        <w:t>gap = ar_growth - revenue_growth</w:t>
      </w:r>
    </w:p>
    <w:p w14:paraId="1C02EE36">
      <w:pPr>
        <w:rPr>
          <w:rFonts w:hint="eastAsia"/>
        </w:rPr>
      </w:pPr>
    </w:p>
    <w:p w14:paraId="46871518">
      <w:pPr>
        <w:rPr>
          <w:rFonts w:hint="eastAsia"/>
        </w:rPr>
      </w:pPr>
      <w:r>
        <w:rPr>
          <w:rFonts w:hint="eastAsia"/>
        </w:rPr>
        <w:t>gap &gt; 0 时触发“待进一步了解”；gap ≤ 0 时不触发。</w:t>
      </w:r>
    </w:p>
    <w:p w14:paraId="7DFC35E1">
      <w:pPr>
        <w:rPr>
          <w:rFonts w:hint="eastAsia"/>
        </w:rPr>
      </w:pPr>
    </w:p>
    <w:p w14:paraId="3BFF716C">
      <w:pPr>
        <w:rPr>
          <w:rFonts w:hint="eastAsia"/>
        </w:rPr>
      </w:pPr>
      <w:r>
        <w:rPr>
          <w:rFonts w:hint="eastAsia"/>
        </w:rPr>
        <w:t>补充指标四：应收账款周转天数</w:t>
      </w:r>
    </w:p>
    <w:p w14:paraId="1A9D8A89">
      <w:pPr>
        <w:rPr>
          <w:rFonts w:hint="eastAsia"/>
        </w:rPr>
      </w:pPr>
    </w:p>
    <w:p w14:paraId="277BE351">
      <w:pPr>
        <w:rPr>
          <w:rFonts w:hint="eastAsia"/>
        </w:rPr>
      </w:pPr>
      <w:r>
        <w:rPr>
          <w:rFonts w:hint="eastAsia"/>
        </w:rPr>
        <w:t>周转天数采用平均余额口径，作为补充项，不参与主触发判断。仅在 ar_previous_previous、ar_previous、ar_current、revenue_previous、revenue_current 五项全部齐全、且两年坏账准备口径一致时计算。</w:t>
      </w:r>
    </w:p>
    <w:p w14:paraId="09EE5EC4">
      <w:pPr>
        <w:rPr>
          <w:rFonts w:hint="eastAsia"/>
        </w:rPr>
      </w:pPr>
    </w:p>
    <w:p w14:paraId="18847420">
      <w:pPr>
        <w:rPr>
          <w:rFonts w:hint="eastAsia"/>
        </w:rPr>
      </w:pPr>
      <w:r>
        <w:rPr>
          <w:rFonts w:hint="eastAsia"/>
        </w:rPr>
        <w:t>本年周转天数 = (ar_previous + ar_current) / 2 / revenue_current × 360</w:t>
      </w:r>
    </w:p>
    <w:p w14:paraId="3D8BA65D">
      <w:pPr>
        <w:rPr>
          <w:rFonts w:hint="eastAsia"/>
        </w:rPr>
      </w:pPr>
    </w:p>
    <w:p w14:paraId="59FB8B3D">
      <w:pPr>
        <w:rPr>
          <w:rFonts w:hint="eastAsia"/>
        </w:rPr>
      </w:pPr>
      <w:r>
        <w:rPr>
          <w:rFonts w:hint="eastAsia"/>
        </w:rPr>
        <w:t>上年周转天数 = (ar_previous_previous + ar_previous) / 2 / revenue_previous × 360</w:t>
      </w:r>
    </w:p>
    <w:p w14:paraId="718FE7D1">
      <w:pPr>
        <w:rPr>
          <w:rFonts w:hint="eastAsia"/>
        </w:rPr>
      </w:pPr>
    </w:p>
    <w:p w14:paraId="09FA085E">
      <w:pPr>
        <w:rPr>
          <w:rFonts w:hint="eastAsia"/>
        </w:rPr>
      </w:pPr>
      <w:r>
        <w:rPr>
          <w:rFonts w:hint="eastAsia"/>
        </w:rPr>
        <w:t>若任一条件不满足，页面显示“资料不足，周转趋势不可比”，不输出数字。所有年份统一使用360天。</w:t>
      </w:r>
    </w:p>
    <w:p w14:paraId="19557B49">
      <w:pPr>
        <w:rPr>
          <w:rFonts w:hint="eastAsia"/>
        </w:rPr>
      </w:pPr>
    </w:p>
    <w:p w14:paraId="5CBA7065">
      <w:pPr>
        <w:pStyle w:val="2"/>
        <w:bidi w:val="0"/>
        <w:rPr>
          <w:rFonts w:hint="eastAsia"/>
        </w:rPr>
      </w:pPr>
      <w:r>
        <w:rPr>
          <w:rFonts w:hint="eastAsia"/>
        </w:rPr>
        <w:t>四、触发逻辑</w:t>
      </w:r>
    </w:p>
    <w:p w14:paraId="25AF92A5">
      <w:pPr>
        <w:rPr>
          <w:rFonts w:hint="eastAsia"/>
        </w:rPr>
      </w:pPr>
      <w:r>
        <w:rPr>
          <w:rFonts w:hint="eastAsia"/>
        </w:rPr>
        <w:t>本规则采用单层判断逻辑，仅做本年与上年两个年度的方向性比较。</w:t>
      </w:r>
    </w:p>
    <w:p w14:paraId="2F787D4F">
      <w:pPr>
        <w:rPr>
          <w:rFonts w:hint="eastAsia"/>
        </w:rPr>
      </w:pPr>
    </w:p>
    <w:p w14:paraId="49D97BFC">
      <w:pPr>
        <w:rPr>
          <w:rFonts w:hint="eastAsia"/>
        </w:rPr>
      </w:pPr>
      <w:r>
        <w:rPr>
          <w:rFonts w:hint="eastAsia"/>
        </w:rPr>
        <w:t>当应收增长率大于收入增长率时，规则触发，该线索标记为“待进一步了解”，页面展示提示语：“应收增速高于收入增速，需进一步了解信用政策变化及结算周期。”</w:t>
      </w:r>
    </w:p>
    <w:p w14:paraId="288A98BB">
      <w:pPr>
        <w:rPr>
          <w:rFonts w:hint="eastAsia"/>
        </w:rPr>
      </w:pPr>
    </w:p>
    <w:p w14:paraId="3565194E">
      <w:pPr>
        <w:rPr>
          <w:rFonts w:hint="eastAsia"/>
        </w:rPr>
      </w:pPr>
      <w:r>
        <w:rPr>
          <w:rFonts w:hint="eastAsia"/>
        </w:rPr>
        <w:t>当应收增长率小于或等于收入增长率时，规则不触发，页面展示“未出现应收增速高于收入增速的方向”，但计算过程和来源定位仍正常展示。</w:t>
      </w:r>
    </w:p>
    <w:p w14:paraId="329A3D67">
      <w:pPr>
        <w:rPr>
          <w:rFonts w:hint="eastAsia"/>
        </w:rPr>
      </w:pPr>
    </w:p>
    <w:p w14:paraId="224034C1">
      <w:pPr>
        <w:rPr>
          <w:rFonts w:hint="eastAsia"/>
        </w:rPr>
      </w:pPr>
      <w:r>
        <w:rPr>
          <w:rFonts w:hint="eastAsia"/>
        </w:rPr>
        <w:t>关于“增长率高出多少才算显著”，即具体的数值阈值，目前暂不设定。队长编码时先按方向性比较搭建框架，阈值作为可配置参数预留，待开发样例测试后由团队根据实际数据分布共同确认。</w:t>
      </w:r>
    </w:p>
    <w:p w14:paraId="72B4A814">
      <w:pPr>
        <w:rPr>
          <w:rFonts w:hint="eastAsia"/>
        </w:rPr>
      </w:pPr>
    </w:p>
    <w:p w14:paraId="68945AF8">
      <w:pPr>
        <w:pStyle w:val="2"/>
        <w:bidi w:val="0"/>
        <w:rPr>
          <w:rFonts w:hint="eastAsia"/>
        </w:rPr>
      </w:pPr>
      <w:r>
        <w:rPr>
          <w:rFonts w:hint="eastAsia"/>
        </w:rPr>
        <w:t>五、正常解释候选</w:t>
      </w:r>
    </w:p>
    <w:p w14:paraId="756397F7">
      <w:pPr>
        <w:rPr>
          <w:rFonts w:hint="eastAsia"/>
        </w:rPr>
      </w:pPr>
      <w:r>
        <w:rPr>
          <w:rFonts w:hint="eastAsia"/>
        </w:rPr>
        <w:t>在得出“需进一步核查”的判断前，系统应检索以下正常商业解释，作为人工判断的参考依据。若检索不到任何正常解释的支持依据，反证智能体应输出“未检索到可核验的正常解释”，该线索不得自动驳回，进入人工复核。</w:t>
      </w:r>
    </w:p>
    <w:p w14:paraId="12B3FEA1">
      <w:pPr>
        <w:rPr>
          <w:rFonts w:hint="eastAsia"/>
        </w:rPr>
      </w:pPr>
    </w:p>
    <w:p w14:paraId="39464BC9">
      <w:pPr>
        <w:rPr>
          <w:rFonts w:hint="eastAsia"/>
        </w:rPr>
      </w:pPr>
      <w:r>
        <w:rPr>
          <w:rFonts w:hint="eastAsia"/>
        </w:rPr>
        <w:t>第一个正常解释候选，公司放宽了对主要客户的信用账期。公司本年度为拓展市场或应对竞争，主动延长了客户的信用期。支持证据可从年报管理层讨论中“信用政策调整”“结算方式优化”等表述检索。</w:t>
      </w:r>
    </w:p>
    <w:p w14:paraId="7A20FBCE">
      <w:pPr>
        <w:rPr>
          <w:rFonts w:hint="eastAsia"/>
        </w:rPr>
      </w:pPr>
    </w:p>
    <w:p w14:paraId="19D58435">
      <w:pPr>
        <w:rPr>
          <w:rFonts w:hint="eastAsia"/>
        </w:rPr>
      </w:pPr>
      <w:r>
        <w:rPr>
          <w:rFonts w:hint="eastAsia"/>
        </w:rPr>
        <w:t>第二个正常解释候选，所在行业整体回款周期延长。受宏观经济或行业惯例变化影响，上下游账期普遍后移。支持证据可从同行年报或行业公开统计中检索。</w:t>
      </w:r>
    </w:p>
    <w:p w14:paraId="5E86BEF6">
      <w:pPr>
        <w:rPr>
          <w:rFonts w:hint="eastAsia"/>
        </w:rPr>
      </w:pPr>
    </w:p>
    <w:p w14:paraId="41996C3B">
      <w:pPr>
        <w:rPr>
          <w:rFonts w:hint="eastAsia"/>
        </w:rPr>
      </w:pPr>
      <w:r>
        <w:rPr>
          <w:rFonts w:hint="eastAsia"/>
        </w:rPr>
        <w:t>第三个正常解释候选，收入确认存在季节性集中，年末应收尚未到期。公司业务具有季节性特征，或工程项目在年末集中验收交付。支持证据可从分季度收入数据或业务模式描述中检索。</w:t>
      </w:r>
    </w:p>
    <w:p w14:paraId="61F58F94">
      <w:pPr>
        <w:rPr>
          <w:rFonts w:hint="eastAsia"/>
        </w:rPr>
      </w:pPr>
    </w:p>
    <w:p w14:paraId="028E5547">
      <w:pPr>
        <w:rPr>
          <w:rFonts w:hint="eastAsia"/>
        </w:rPr>
      </w:pPr>
      <w:r>
        <w:rPr>
          <w:rFonts w:hint="eastAsia"/>
        </w:rPr>
        <w:t>第四个正常解释候选，新增大客户或大额订单，给予该客户更长信用期。支持证据可从年报中“新增大客户”“拓展新市场”等表述检索。</w:t>
      </w:r>
    </w:p>
    <w:p w14:paraId="11A283D5">
      <w:pPr>
        <w:rPr>
          <w:rFonts w:hint="eastAsia"/>
        </w:rPr>
      </w:pPr>
    </w:p>
    <w:p w14:paraId="743588B1">
      <w:pPr>
        <w:rPr>
          <w:rFonts w:hint="eastAsia"/>
        </w:rPr>
      </w:pPr>
      <w:r>
        <w:rPr>
          <w:rFonts w:hint="eastAsia"/>
        </w:rPr>
        <w:t>正常解释的处理规则如下：以上解释均作为候选方向，仅在T0公开资料中找到原文支持时才予以展示，并在风险卡中标注“以上为候选方向，尚未从T0资料中检索到支持/反对证据”。系统不得因存在正常解释候选而自动降级或关闭线索。最终由审计师经人工复核后决定是否保留、降级或关闭，全程保留人工确认记录。</w:t>
      </w:r>
    </w:p>
    <w:p w14:paraId="46AF654C">
      <w:pPr>
        <w:rPr>
          <w:rFonts w:hint="eastAsia"/>
        </w:rPr>
      </w:pPr>
    </w:p>
    <w:p w14:paraId="2C2B0DC2">
      <w:pPr>
        <w:pStyle w:val="2"/>
        <w:bidi w:val="0"/>
        <w:rPr>
          <w:rFonts w:hint="eastAsia"/>
        </w:rPr>
      </w:pPr>
      <w:r>
        <w:rPr>
          <w:rFonts w:hint="eastAsia"/>
        </w:rPr>
        <w:t>六、证据缺口</w:t>
      </w:r>
    </w:p>
    <w:p w14:paraId="2DB12A5E">
      <w:pPr>
        <w:rPr>
          <w:rFonts w:hint="eastAsia"/>
        </w:rPr>
      </w:pPr>
      <w:r>
        <w:rPr>
          <w:rFonts w:hint="eastAsia"/>
        </w:rPr>
        <w:t>仅凭年报和公开公告，以下问题无法直接回答，构成资料依据缺口：</w:t>
      </w:r>
    </w:p>
    <w:p w14:paraId="22ABFC79">
      <w:pPr>
        <w:rPr>
          <w:rFonts w:hint="eastAsia"/>
        </w:rPr>
      </w:pPr>
    </w:p>
    <w:p w14:paraId="6E66C103">
      <w:pPr>
        <w:rPr>
          <w:rFonts w:hint="eastAsia"/>
        </w:rPr>
      </w:pPr>
      <w:r>
        <w:rPr>
          <w:rFonts w:hint="eastAsia"/>
        </w:rPr>
        <w:t>第一个缺口，按账龄划分的应收明细。若T0公开年报未披露账龄分段，则无法判断是否存在长期挂账的款项，形成资料依据缺口。</w:t>
      </w:r>
    </w:p>
    <w:p w14:paraId="5E62855B">
      <w:pPr>
        <w:rPr>
          <w:rFonts w:hint="eastAsia"/>
        </w:rPr>
      </w:pPr>
    </w:p>
    <w:p w14:paraId="3BE5FEDE">
      <w:pPr>
        <w:rPr>
          <w:rFonts w:hint="eastAsia"/>
        </w:rPr>
      </w:pPr>
      <w:r>
        <w:rPr>
          <w:rFonts w:hint="eastAsia"/>
        </w:rPr>
        <w:t>第二个缺口，资产负债表日后的期后回款金额。年报截止于十二月三十一日，但次年一月到三月是否有收回款项，年报正文中通常不披露。没有期后回款信息，无法验证年末余额是否在正常周期内收回。期后回款仅作为待索取资料和建议程序的方向，不作为T0计算输入。</w:t>
      </w:r>
    </w:p>
    <w:p w14:paraId="1716A6EE">
      <w:pPr>
        <w:rPr>
          <w:rFonts w:hint="eastAsia"/>
        </w:rPr>
      </w:pPr>
    </w:p>
    <w:p w14:paraId="21C8D9E6">
      <w:pPr>
        <w:rPr>
          <w:rFonts w:hint="eastAsia"/>
        </w:rPr>
      </w:pPr>
      <w:r>
        <w:rPr>
          <w:rFonts w:hint="eastAsia"/>
        </w:rPr>
        <w:t>第三个缺口，主要客户合同关键条款摘要。若T0公开年报未披露具体信用期安排和结算条件，则无法核实信用政策是否真实。</w:t>
      </w:r>
    </w:p>
    <w:p w14:paraId="6613B1AF">
      <w:pPr>
        <w:rPr>
          <w:rFonts w:hint="eastAsia"/>
        </w:rPr>
      </w:pPr>
    </w:p>
    <w:p w14:paraId="2688F75F">
      <w:pPr>
        <w:rPr>
          <w:rFonts w:hint="eastAsia"/>
        </w:rPr>
      </w:pPr>
      <w:r>
        <w:rPr>
          <w:rFonts w:hint="eastAsia"/>
        </w:rPr>
        <w:t>第四个缺口，大额销售明细及支持性凭证。年报披露了收入总额，但无法从中判断收入确认政策是否被严格执行。</w:t>
      </w:r>
    </w:p>
    <w:p w14:paraId="2C20827B">
      <w:pPr>
        <w:rPr>
          <w:rFonts w:hint="eastAsia"/>
        </w:rPr>
      </w:pPr>
    </w:p>
    <w:p w14:paraId="43618F7A">
      <w:pPr>
        <w:rPr>
          <w:rFonts w:hint="eastAsia"/>
        </w:rPr>
      </w:pPr>
      <w:r>
        <w:rPr>
          <w:rFonts w:hint="eastAsia"/>
        </w:rPr>
        <w:t>以上缺口均为年报本身信息范围的客观局限，不作为对公司的负面判断。</w:t>
      </w:r>
    </w:p>
    <w:p w14:paraId="11E0B97D">
      <w:pPr>
        <w:rPr>
          <w:rFonts w:hint="eastAsia"/>
        </w:rPr>
      </w:pPr>
    </w:p>
    <w:p w14:paraId="2B3E14D7">
      <w:pPr>
        <w:pStyle w:val="2"/>
        <w:bidi w:val="0"/>
        <w:rPr>
          <w:rFonts w:hint="eastAsia"/>
        </w:rPr>
      </w:pPr>
      <w:r>
        <w:rPr>
          <w:rFonts w:hint="eastAsia"/>
        </w:rPr>
        <w:t>七、待索取资料清单</w:t>
      </w:r>
    </w:p>
    <w:p w14:paraId="555EC7BD">
      <w:pPr>
        <w:rPr>
          <w:rFonts w:hint="eastAsia"/>
        </w:rPr>
      </w:pPr>
      <w:r>
        <w:rPr>
          <w:rFonts w:hint="eastAsia"/>
        </w:rPr>
        <w:t>针对上述证据缺口，建议在取得客户授权并脱敏后，向客户索取以下资料：</w:t>
      </w:r>
    </w:p>
    <w:p w14:paraId="2F07D1FD">
      <w:pPr>
        <w:rPr>
          <w:rFonts w:hint="eastAsia"/>
        </w:rPr>
      </w:pPr>
    </w:p>
    <w:p w14:paraId="51B11AF7">
      <w:pPr>
        <w:rPr>
          <w:rFonts w:hint="eastAsia"/>
        </w:rPr>
      </w:pPr>
      <w:r>
        <w:rPr>
          <w:rFonts w:hint="eastAsia"/>
        </w:rPr>
        <w:t>第一项，应收账款明细表及账龄分析表，需包含每笔应收账款的客户名称、金额、账龄分段及坏账计提情况。</w:t>
      </w:r>
    </w:p>
    <w:p w14:paraId="549AC020">
      <w:pPr>
        <w:rPr>
          <w:rFonts w:hint="eastAsia"/>
        </w:rPr>
      </w:pPr>
    </w:p>
    <w:p w14:paraId="1B06AAC2">
      <w:pPr>
        <w:rPr>
          <w:rFonts w:hint="eastAsia"/>
        </w:rPr>
      </w:pPr>
      <w:r>
        <w:rPr>
          <w:rFonts w:hint="eastAsia"/>
        </w:rPr>
        <w:t>第二项，资产负债表日后的期后回款统计，需提供次年一季度或三个月内的回款金额及对应银行流水摘要。</w:t>
      </w:r>
    </w:p>
    <w:p w14:paraId="30813431">
      <w:pPr>
        <w:rPr>
          <w:rFonts w:hint="eastAsia"/>
        </w:rPr>
      </w:pPr>
    </w:p>
    <w:p w14:paraId="0881334E">
      <w:pPr>
        <w:rPr>
          <w:rFonts w:hint="eastAsia"/>
        </w:rPr>
      </w:pPr>
      <w:r>
        <w:rPr>
          <w:rFonts w:hint="eastAsia"/>
        </w:rPr>
        <w:t>第三项，前五大或大额应收账款对应的销售合同关键页，重点查看信用期条款、验收条件、结算方式和退货政策。</w:t>
      </w:r>
    </w:p>
    <w:p w14:paraId="0C85BD34">
      <w:pPr>
        <w:rPr>
          <w:rFonts w:hint="eastAsia"/>
        </w:rPr>
      </w:pPr>
    </w:p>
    <w:p w14:paraId="52564B6B">
      <w:pPr>
        <w:rPr>
          <w:rFonts w:hint="eastAsia"/>
        </w:rPr>
      </w:pPr>
      <w:r>
        <w:rPr>
          <w:rFonts w:hint="eastAsia"/>
        </w:rPr>
        <w:t>第四项，大额收入交易的销售明细及支持性凭证，包括发票、出库单、发运记录、客户签收或验收单等。</w:t>
      </w:r>
    </w:p>
    <w:p w14:paraId="60D48164">
      <w:pPr>
        <w:rPr>
          <w:rFonts w:hint="eastAsia"/>
        </w:rPr>
      </w:pPr>
    </w:p>
    <w:p w14:paraId="64590D9A">
      <w:pPr>
        <w:rPr>
          <w:rFonts w:hint="eastAsia"/>
        </w:rPr>
      </w:pPr>
      <w:r>
        <w:rPr>
          <w:rFonts w:hint="eastAsia"/>
        </w:rPr>
        <w:t>以上资料仅作为可选补充输入，不属于R1运行的必需输入。</w:t>
      </w:r>
    </w:p>
    <w:p w14:paraId="102797C6">
      <w:pPr>
        <w:rPr>
          <w:rFonts w:hint="eastAsia"/>
        </w:rPr>
      </w:pPr>
    </w:p>
    <w:p w14:paraId="67816D39">
      <w:pPr>
        <w:pStyle w:val="2"/>
        <w:bidi w:val="0"/>
        <w:rPr>
          <w:rFonts w:hint="eastAsia"/>
        </w:rPr>
      </w:pPr>
      <w:r>
        <w:rPr>
          <w:rFonts w:hint="eastAsia"/>
        </w:rPr>
        <w:t>八、分场景输出</w:t>
      </w:r>
    </w:p>
    <w:p w14:paraId="060EC37F">
      <w:pPr>
        <w:rPr>
          <w:rFonts w:hint="eastAsia"/>
        </w:rPr>
      </w:pPr>
      <w:r>
        <w:rPr>
          <w:rFonts w:hint="eastAsia"/>
        </w:rPr>
        <w:t>本规则在不同场景下输出不同内容，统一遵守“只输出待核查线索，不输出审计结论或承接决定”的原则。</w:t>
      </w:r>
    </w:p>
    <w:p w14:paraId="245751AC">
      <w:pPr>
        <w:rPr>
          <w:rFonts w:hint="eastAsia"/>
        </w:rPr>
      </w:pPr>
    </w:p>
    <w:p w14:paraId="18EABC44">
      <w:pPr>
        <w:rPr>
          <w:rFonts w:hint="eastAsia"/>
        </w:rPr>
      </w:pPr>
      <w:r>
        <w:rPr>
          <w:rFonts w:hint="eastAsia"/>
        </w:rPr>
        <w:t>在业务承接阶段，系统仅输出风险线索及资料依据缺口，表述为：该公司收入增长与应收账款回款节奏存在不一致，建议进一步了解行业信用政策和主要客户质量，作为承接评估的参考信息。系统不决定是否承接，该决定保留给人。</w:t>
      </w:r>
    </w:p>
    <w:p w14:paraId="1A1B9519">
      <w:pPr>
        <w:rPr>
          <w:rFonts w:hint="eastAsia"/>
        </w:rPr>
      </w:pPr>
    </w:p>
    <w:p w14:paraId="54100A12">
      <w:pPr>
        <w:rPr>
          <w:rFonts w:hint="eastAsia"/>
        </w:rPr>
      </w:pPr>
      <w:r>
        <w:rPr>
          <w:rFonts w:hint="eastAsia"/>
        </w:rPr>
        <w:t>在续聘复核阶段，系统表述为：本年应收增速高于收入增速，建议项目组在续聘风险讨论中进一步了解信用政策变化、客户结构及期后回款情况，并判断是否影响审计资源安排。系统不决定是否续聘，该决定保留给人。</w:t>
      </w:r>
    </w:p>
    <w:p w14:paraId="2C7A6765">
      <w:pPr>
        <w:rPr>
          <w:rFonts w:hint="eastAsia"/>
        </w:rPr>
      </w:pPr>
    </w:p>
    <w:p w14:paraId="0F427904">
      <w:pPr>
        <w:rPr>
          <w:rFonts w:hint="eastAsia"/>
        </w:rPr>
      </w:pPr>
      <w:r>
        <w:rPr>
          <w:rFonts w:hint="eastAsia"/>
        </w:rPr>
        <w:t>在审计计划阶段，系统在上述基础上，进一步展示候选管理层认定和建议程序。候选认定包括收入的发生、应收账款的存在、应收账款的权利和义务、应收账款的计价和分摊，以上均为候选映射，由审计人员根据具体风险选择，不机械全选。建议程序包括在制定函证计划时将应收账款函证列为重点领域、安排收入截止性测试、抽取大额收入交易样本检查原始凭证，以及在风险评估阶段将上述候选认定纳入计划考虑。具体审计程序的选择和判断仍保留给审计人员。</w:t>
      </w:r>
    </w:p>
    <w:p w14:paraId="66E5BDFD">
      <w:pPr>
        <w:rPr>
          <w:rFonts w:hint="eastAsia"/>
        </w:rPr>
      </w:pPr>
    </w:p>
    <w:p w14:paraId="49B2906C">
      <w:pPr>
        <w:pStyle w:val="2"/>
        <w:bidi w:val="0"/>
        <w:rPr>
          <w:rFonts w:hint="eastAsia"/>
        </w:rPr>
      </w:pPr>
      <w:r>
        <w:rPr>
          <w:rFonts w:hint="eastAsia"/>
        </w:rPr>
        <w:t>九、专业来源</w:t>
      </w:r>
    </w:p>
    <w:p w14:paraId="3B0198C6">
      <w:pPr>
        <w:rPr>
          <w:rFonts w:hint="eastAsia"/>
        </w:rPr>
      </w:pPr>
      <w:r>
        <w:rPr>
          <w:rFonts w:hint="eastAsia"/>
        </w:rPr>
        <w:t>本规则的会计审计依据包括：《中国注册会计师审计准则第1201号——计划审计工作》《中国注册会计师审计准则第1211号——重大错报风险的识别和评估》《中国注册会计师审计准则第1312号——函证》，以及《中国注册会计师审计准则第1313号——分析程序》。收入准则中关于收入确认时点的判断框架作为扩展参考。</w:t>
      </w:r>
    </w:p>
    <w:p w14:paraId="5CBC2ED2">
      <w:pPr>
        <w:rPr>
          <w:rFonts w:hint="eastAsia"/>
        </w:rPr>
      </w:pPr>
    </w:p>
    <w:p w14:paraId="58A9E451">
      <w:pPr>
        <w:rPr>
          <w:rFonts w:hint="eastAsia"/>
        </w:rPr>
      </w:pPr>
      <w:r>
        <w:rPr>
          <w:rFonts w:hint="eastAsia"/>
        </w:rPr>
        <w:t>规则设计与V2项目计划书附录A规则卡模板、附录B来源台账模板保持一致。</w:t>
      </w:r>
    </w:p>
    <w:p w14:paraId="7E2DF93F">
      <w:pPr>
        <w:rPr>
          <w:rFonts w:hint="eastAsia"/>
        </w:rPr>
      </w:pPr>
    </w:p>
    <w:p w14:paraId="0D61980E">
      <w:pPr>
        <w:pStyle w:val="2"/>
        <w:bidi w:val="0"/>
        <w:rPr>
          <w:rFonts w:hint="eastAsia"/>
        </w:rPr>
      </w:pPr>
      <w:r>
        <w:rPr>
          <w:rFonts w:hint="eastAsia"/>
        </w:rPr>
        <w:t>十、状态分层</w:t>
      </w:r>
    </w:p>
    <w:p w14:paraId="4FC3433C">
      <w:pPr>
        <w:rPr>
          <w:rFonts w:hint="eastAsia"/>
        </w:rPr>
      </w:pPr>
      <w:r>
        <w:rPr>
          <w:rFonts w:hint="eastAsia"/>
        </w:rPr>
        <w:t>本规则设置了三个递进状态，分别对应不同阶段的验收结果：</w:t>
      </w:r>
    </w:p>
    <w:p w14:paraId="360B6189">
      <w:pPr>
        <w:rPr>
          <w:rFonts w:hint="eastAsia"/>
        </w:rPr>
      </w:pPr>
    </w:p>
    <w:p w14:paraId="4DBC1EC5">
      <w:pPr>
        <w:rPr>
          <w:rFonts w:hint="eastAsia"/>
        </w:rPr>
      </w:pPr>
      <w:r>
        <w:rPr>
          <w:rFonts w:hint="eastAsia"/>
        </w:rPr>
        <w:t>“已复核”状态，指经人工对照专业要求或年报原文核对过，专业口径通过，准则条款与公式经另一名成员复算一致，全文无禁用词。此状态由A完成专业复核后标记。</w:t>
      </w:r>
    </w:p>
    <w:p w14:paraId="1EE0F1A4">
      <w:pPr>
        <w:rPr>
          <w:rFonts w:hint="eastAsia"/>
        </w:rPr>
      </w:pPr>
    </w:p>
    <w:p w14:paraId="6632B2B2">
      <w:pPr>
        <w:rPr>
          <w:rFonts w:hint="eastAsia"/>
        </w:rPr>
      </w:pPr>
      <w:r>
        <w:rPr>
          <w:rFonts w:hint="eastAsia"/>
        </w:rPr>
        <w:t>“已实现”状态，指对应功能已在网页中编码完成并可正常运行，程序计算结果与人工复算一致。此状态由队长完成代码集成后标记。</w:t>
      </w:r>
    </w:p>
    <w:p w14:paraId="60FD68F6">
      <w:pPr>
        <w:rPr>
          <w:rFonts w:hint="eastAsia"/>
        </w:rPr>
      </w:pPr>
    </w:p>
    <w:p w14:paraId="5B240956">
      <w:pPr>
        <w:rPr>
          <w:rFonts w:hint="eastAsia"/>
        </w:rPr>
      </w:pPr>
      <w:r>
        <w:rPr>
          <w:rFonts w:hint="eastAsia"/>
        </w:rPr>
        <w:t>“已测试”状态，指使用正常和异常两类样例数据验证过运行结果。B提供测试数据，含正常触发、不触发、数据缺失三种情形，预期状态全部通过后标记。</w:t>
      </w:r>
    </w:p>
    <w:p w14:paraId="68FB1084">
      <w:pPr>
        <w:rPr>
          <w:rFonts w:hint="eastAsia"/>
        </w:rPr>
      </w:pPr>
    </w:p>
    <w:p w14:paraId="5332C6C8">
      <w:pPr>
        <w:rPr>
          <w:rFonts w:hint="eastAsia"/>
        </w:rPr>
      </w:pPr>
      <w:r>
        <w:rPr>
          <w:rFonts w:hint="eastAsia"/>
        </w:rPr>
        <w:t>以上三个状态不可混用。代码完成不等于专业已复核。本周状态保持为草拟，待专业复核通过后升级为“已复核”，待代码集成后升级为“已实现”，待样例测试通过后升级为“已测试”。</w:t>
      </w:r>
    </w:p>
    <w:p w14:paraId="42935EEE">
      <w:pPr>
        <w:rPr>
          <w:rFonts w:hint="eastAsia"/>
        </w:rPr>
      </w:pPr>
    </w:p>
    <w:p w14:paraId="7EDC2B7A">
      <w:pPr>
        <w:pStyle w:val="2"/>
        <w:bidi w:val="0"/>
        <w:rPr>
          <w:rFonts w:hint="eastAsia"/>
        </w:rPr>
      </w:pPr>
      <w:r>
        <w:rPr>
          <w:rFonts w:hint="eastAsia"/>
        </w:rPr>
        <w:t>十一、T0时点边界与资料可得性</w:t>
      </w:r>
    </w:p>
    <w:p w14:paraId="365D9FC8">
      <w:pPr>
        <w:rPr>
          <w:rFonts w:hint="eastAsia"/>
        </w:rPr>
      </w:pPr>
      <w:r>
        <w:rPr>
          <w:rFonts w:hint="eastAsia"/>
        </w:rPr>
        <w:t>本规则所有输入数据仅限于分析截止日前已公开的资料。B在提取数据时，须确认每份文件的披露日期早于或等于分析截止日，并记录于来源台账。披露日期晚于分析截止日的文件不得进入T0输入库，只能存放于T1后验对照区，在全部T0运行锁定前不得读取。</w:t>
      </w:r>
    </w:p>
    <w:p w14:paraId="732379AD">
      <w:pPr>
        <w:rPr>
          <w:rFonts w:hint="eastAsia"/>
        </w:rPr>
      </w:pPr>
    </w:p>
    <w:p w14:paraId="5B74D00F">
      <w:pPr>
        <w:rPr>
          <w:rFonts w:hint="eastAsia"/>
        </w:rPr>
      </w:pPr>
      <w:r>
        <w:rPr>
          <w:rFonts w:hint="eastAsia"/>
        </w:rPr>
        <w:t>每条R1风险卡须标记资料可得性状态。“可得”表示B已从T0公开资料中找到该字段，且来源、页码、原文已记录。“部分可得”表示字段存在但口径不可比，如本年用净额、上年用原值。“不可得”表示T0公开资料未披露该字段。资料缺失时，系统只输出资料依据缺口和待索取资料，不猜测、不推断。</w:t>
      </w:r>
    </w:p>
    <w:p w14:paraId="6A861BB7">
      <w:pPr>
        <w:rPr>
          <w:rFonts w:hint="eastAsia"/>
        </w:rPr>
      </w:pPr>
    </w:p>
    <w:p w14:paraId="7418FCD1">
      <w:pPr>
        <w:pStyle w:val="2"/>
        <w:bidi w:val="0"/>
        <w:rPr>
          <w:rFonts w:hint="eastAsia"/>
        </w:rPr>
      </w:pPr>
      <w:r>
        <w:rPr>
          <w:rFonts w:hint="eastAsia"/>
        </w:rPr>
        <w:t>十二、异常输入处理</w:t>
      </w:r>
    </w:p>
    <w:p w14:paraId="04D315B9">
      <w:pPr>
        <w:rPr>
          <w:rFonts w:hint="eastAsia"/>
        </w:rPr>
      </w:pPr>
      <w:r>
        <w:rPr>
          <w:rFonts w:hint="eastAsia"/>
        </w:rPr>
        <w:t>规则运行中可能遇到以下异常情形，处理方式如下：</w:t>
      </w:r>
    </w:p>
    <w:p w14:paraId="6B75B9BB">
      <w:pPr>
        <w:rPr>
          <w:rFonts w:hint="eastAsia"/>
        </w:rPr>
      </w:pPr>
    </w:p>
    <w:p w14:paraId="68D4904B">
      <w:pPr>
        <w:rPr>
          <w:rFonts w:hint="eastAsia"/>
        </w:rPr>
      </w:pPr>
      <w:r>
        <w:rPr>
          <w:rFonts w:hint="eastAsia"/>
        </w:rPr>
        <w:t>上年营业收入或上年末应收账款缺失时，停止计算对应指标，页面提示具体缺失项，不静默输出。</w:t>
      </w:r>
    </w:p>
    <w:p w14:paraId="1D1936AA">
      <w:pPr>
        <w:rPr>
          <w:rFonts w:hint="eastAsia"/>
        </w:rPr>
      </w:pPr>
    </w:p>
    <w:p w14:paraId="4607AF53">
      <w:pPr>
        <w:rPr>
          <w:rFonts w:hint="eastAsia"/>
        </w:rPr>
      </w:pPr>
      <w:r>
        <w:rPr>
          <w:rFonts w:hint="eastAsia"/>
        </w:rPr>
        <w:t>上年营业收入或上年末应收账款为零或负值时，停止计算对应增长率，页面提示“分母为零/负，无法计算增长率”，不输出数字。</w:t>
      </w:r>
    </w:p>
    <w:p w14:paraId="07645D96">
      <w:pPr>
        <w:rPr>
          <w:rFonts w:hint="eastAsia"/>
        </w:rPr>
      </w:pPr>
    </w:p>
    <w:p w14:paraId="44952B22">
      <w:pPr>
        <w:rPr>
          <w:rFonts w:hint="eastAsia"/>
        </w:rPr>
      </w:pPr>
      <w:r>
        <w:rPr>
          <w:rFonts w:hint="eastAsia"/>
        </w:rPr>
        <w:t>周转天数所需的上上年末应收账款缺失时，直接标注“资料不足，周转趋势不可比”，不自动降级为期末余额口径，不输出数字。</w:t>
      </w:r>
    </w:p>
    <w:p w14:paraId="65C063E8">
      <w:pPr>
        <w:rPr>
          <w:rFonts w:hint="eastAsia"/>
        </w:rPr>
      </w:pPr>
    </w:p>
    <w:p w14:paraId="7120CD22">
      <w:pPr>
        <w:rPr>
          <w:rFonts w:hint="eastAsia"/>
        </w:rPr>
      </w:pPr>
      <w:r>
        <w:rPr>
          <w:rFonts w:hint="eastAsia"/>
        </w:rPr>
        <w:t>周转天数两年口径不一致时，标注“口径不一致，周转趋势不可比”，不输出数字。</w:t>
      </w:r>
    </w:p>
    <w:p w14:paraId="4FABDD6A">
      <w:pPr>
        <w:rPr>
          <w:rFonts w:hint="eastAsia"/>
        </w:rPr>
      </w:pPr>
    </w:p>
    <w:p w14:paraId="693615FB">
      <w:pPr>
        <w:rPr>
          <w:rFonts w:hint="eastAsia"/>
        </w:rPr>
      </w:pPr>
      <w:r>
        <w:rPr>
          <w:rFonts w:hint="eastAsia"/>
        </w:rPr>
        <w:t>所有异常处理均以显式错误提示替代隐性错误结果。</w:t>
      </w:r>
    </w:p>
    <w:p w14:paraId="02659AB2">
      <w:pPr>
        <w:rPr>
          <w:rFonts w:hint="eastAsia"/>
        </w:rPr>
      </w:pPr>
      <w:bookmarkStart w:id="0" w:name="_GoBack"/>
      <w:bookmarkEnd w:id="0"/>
    </w:p>
    <w:p w14:paraId="5D2909B7">
      <w:pPr>
        <w:pStyle w:val="2"/>
        <w:bidi w:val="0"/>
        <w:rPr>
          <w:rFonts w:hint="eastAsia"/>
        </w:rPr>
      </w:pPr>
      <w:r>
        <w:rPr>
          <w:rFonts w:hint="eastAsia"/>
        </w:rPr>
        <w:t>十三、版本记录</w:t>
      </w:r>
    </w:p>
    <w:p w14:paraId="0B421670">
      <w:pPr>
        <w:rPr>
          <w:rFonts w:hint="eastAsia"/>
        </w:rPr>
      </w:pPr>
      <w:r>
        <w:rPr>
          <w:rFonts w:hint="eastAsia"/>
        </w:rPr>
        <w:t>v0.1，2026年7月18日，初稿创建，采用平均应收账款余额口径，按V2计划书和W1任务分工完成R1规则卡。</w:t>
      </w:r>
    </w:p>
    <w:p w14:paraId="2E7ED943">
      <w:pPr>
        <w:rPr>
          <w:rFonts w:hint="eastAsia"/>
        </w:rPr>
      </w:pPr>
    </w:p>
    <w:p w14:paraId="333D8914">
      <w:pPr>
        <w:rPr>
          <w:rFonts w:hint="eastAsia"/>
        </w:rPr>
      </w:pPr>
      <w:r>
        <w:rPr>
          <w:rFonts w:hint="eastAsia"/>
        </w:rPr>
        <w:t>v0.2，2026年7月20日，按修改建议逐项修订。主要变更包括：标题简化，明确规则定位为“应收增速高于收入增速的待核查线索”；时间跨度改为单年方向比较，不要求连续两年；周转天数仅在两期数据齐全且口径一致时计算，否则标注“不可比”，不降级；金额单位保留年报原始单位；正常解释仅为人工参考，系统不自动降级或关闭线索；审计准则编号更正；管理层认定全部使用中文规范表述；资料缺口表述使用条件句而非绝对化判断；续聘场景措辞客观化；状态分层明确区分；新增T0时点边界与资料可得性章节；补充异常输入处理规则。补充字段提取细节（含字段ID、数据类型、具体提取说明）；补充阈值代码常量预留示例；补充资料可得性判定标准；补充不触发状态下的页面展示规范；修正周转天数描述，明确“五项全部齐全、两年口径一致”才可计算。</w:t>
      </w:r>
    </w:p>
    <w:p>
      <w:r>
        <w:t>v0.3（2026年7月21日）：字段ID统一为网页Schema口径；revenue_prior改为revenue_previous，ar_prior改为ar_previous，增强字段同步改为ar_previous_previous；上一年度数值固定回溯至该年度自身年报，避免同一evidence_id绑定多个来源文件。</w:t>
      </w:r>
    </w:p>
    <w:p w14:paraId="4C095B22">
      <w:pPr>
        <w:rPr>
          <w:rFonts w:hint="eastAsia"/>
        </w:rPr>
      </w:pPr>
      <w:r>
        <w:t>当前状态：草拟；字段接口已与网页Schema统一，Codex已完成独立技术复核，仍待A进行专业口径人工复核。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3E7BD8"/>
    <w:rsid w:val="733E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240" w:lineRule="auto"/>
      <w:outlineLvl w:val="0"/>
    </w:pPr>
    <w:rPr>
      <w:rFonts w:asciiTheme="minorAscii" w:hAnsiTheme="minorAscii"/>
      <w:b/>
      <w:kern w:val="44"/>
      <w:sz w:val="2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2026-07-20T13:18:00Z</dcterms:created>
  <dc:creator>梦清实易</dc:creator>
  <cp:lastModifiedBy>梦清实易</cp:lastModifiedBy>
  <dcterms:modified xsi:type="dcterms:W3CDTF">2026-07-20T13:24:21Z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6AECB9E31B6C49FEB39D1D75870AA0AE_11</vt:lpwstr>
  </property>
  <property fmtid="{D5CDD505-2E9C-101B-9397-08002B2CF9AE}" pid="4" name="KSOTemplateDocerSaveRecord">
    <vt:lpwstr>eyJoZGlkIjoiZjFmZWIzNDg2MmIzZjExOTIzMmViNTBmYTMwYTk0ZWYiLCJ1c2VySWQiOiI5NTY1OTk4MjIifQ==</vt:lpwstr>
  </property>
</Properties>
</file>