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0E9F5">
      <w:pPr>
        <w:spacing w:before="480" w:after="480" w:line="288" w:lineRule="auto"/>
        <w:ind w:left="0"/>
        <w:rPr>
          <w:rFonts w:hint="eastAsia" w:eastAsia="等线"/>
          <w:lang w:val="en-US" w:eastAsia="zh-CN"/>
        </w:rPr>
      </w:pPr>
      <w:r>
        <w:t>R2 收入现金质量核查规则 v0.2.1（审查修订稿）</w:t>
      </w:r>
    </w:p>
    <w:p w14:paraId="2CF77EF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一、规则基本信息</w:t>
      </w:r>
      <w:bookmarkEnd w:id="0"/>
    </w:p>
    <w:p w14:paraId="259D085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规则编号</w:t>
      </w:r>
      <w:r>
        <w:rPr>
          <w:rFonts w:ascii="Arial" w:hAnsi="Arial" w:eastAsia="等线" w:cs="Arial"/>
          <w:sz w:val="22"/>
        </w:rPr>
        <w:t>：R2</w:t>
      </w:r>
    </w:p>
    <w:p w14:paraId="0D9E7CA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规则名称</w:t>
      </w:r>
      <w:r>
        <w:rPr>
          <w:rFonts w:ascii="Arial" w:hAnsi="Arial" w:eastAsia="等线" w:cs="Arial"/>
          <w:sz w:val="22"/>
        </w:rPr>
        <w:t>：收入与经营现金流匹配性预筛查规则</w:t>
      </w:r>
    </w:p>
    <w:p w14:paraId="03DCC4D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t>规则版本：v0.2.1（审查修订稿，待专业确认）</w:t>
      </w:r>
    </w:p>
    <w:p w14:paraId="37F18F9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：销售与收款循环风险预筛查工具，基于公开财务数据识别收入与现金流背离线索，不做舞弊定性结论</w:t>
      </w:r>
    </w:p>
    <w:p w14:paraId="307D5ED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t>专业依据：以《中国注册会计师审计准则第 1211 号——重大错报风险的识别和评估》与第 1313 号——分析程序为准则基础。R2 只用于识别收入、经营现金流和收现质量之间需要解释的线索，不构成错报、舞弊或收入真实性结论。</w:t>
      </w:r>
    </w:p>
    <w:p w14:paraId="0D4DD17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二、规则目的与适用边界</w:t>
      </w:r>
      <w:bookmarkEnd w:id="1"/>
    </w:p>
    <w:p w14:paraId="66CDA5A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（一）规则目的</w:t>
      </w:r>
      <w:bookmarkEnd w:id="2"/>
    </w:p>
    <w:p w14:paraId="028FF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本规则从销售收款视角切入，通过多维度现金流指标分析收入现金质量，识别收入与经营活动现金流趋势背离、回款质量异常等待核查线索，为后续审计程序提供方向指引。</w:t>
      </w:r>
    </w:p>
    <w:p w14:paraId="7B25CF4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（二）边界说明</w:t>
      </w:r>
      <w:bookmarkEnd w:id="3"/>
    </w:p>
    <w:p w14:paraId="73F55035">
      <w:pPr>
        <w:spacing w:before="120" w:after="120" w:line="288" w:lineRule="auto"/>
        <w:ind w:left="0"/>
        <w:jc w:val="left"/>
      </w:pPr>
      <w:r>
        <w:t>本规则分析收入与经营活动现金流量、销售收现和净利润现金含量之间的待解释线索，不覆盖全部现金流风险。当前工程版只读取 revenue_current、revenue_previous、operating_cash_flow_current、operating_cash_flow_previous、net_profit_current，按“收入正增长下的经营现金流方向比较”运行；销售收现率、OCF 构成分析、行业阈值与本稿完整分级尚待接入和验收。</w:t>
      </w:r>
    </w:p>
    <w:p>
      <w:r>
        <w:rPr>
          <w:i/>
          <w:color w:val="5B6F82"/>
          <w:sz w:val="18"/>
        </w:rPr>
        <w:t>可比性提示：经营现金流跨期变号、上年 OCF 基数很小或来源口径不一致时，不展示经营现金流同比百分比或增速差，应标记为“同比不宜比较”，改看金额、收现资料与构成说明。</w:t>
      </w:r>
    </w:p>
    <w:p w14:paraId="67EC36E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三、所需数据字段与口径定义</w:t>
      </w:r>
      <w:bookmarkEnd w:id="4"/>
    </w:p>
    <w:p w14:paraId="64E2D66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（一）必选核心字段</w:t>
      </w:r>
      <w:bookmarkEnd w:id="5"/>
    </w:p>
    <w:tbl>
      <w:tblPr>
        <w:tblStyle w:val="2"/>
        <w:tblW w:w="6000" w:type="dxa"/>
        <w:tblInd w:w="12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15DA7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8583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字段名称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CFAF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精确口径说明</w:t>
            </w:r>
          </w:p>
        </w:tc>
      </w:tr>
      <w:tr w14:paraId="36F699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C529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营业收入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合并利润表“营业收入”项目，通常为不含税口径；与销售收现只作趋势与解释性比较，不直接作价税一致性或一一对应判断。</w:t>
            </w:r>
          </w:p>
        </w:tc>
      </w:tr>
      <w:tr w14:paraId="102CD5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9F6CD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净利润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9E95B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合并利润表 “净利润” 项目（含少数股东损益），与合并 OCF 口径一致；若使用归母净利润需单独标注</w:t>
            </w:r>
          </w:p>
        </w:tc>
      </w:tr>
      <w:tr w14:paraId="71F7FB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DE67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销售商品、提供劳务收到的现金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直接取自合并现金流量表对应行次，通常含增值税并受应收、预收变动影响；本字段为 v0.2.1 草案收现率所需字段，当前工程未接入。</w:t>
            </w:r>
          </w:p>
        </w:tc>
      </w:tr>
      <w:tr w14:paraId="733650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DA82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经营活动产生的现金流量净额（OCF）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BEE2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合并现金流量表经营活动现金流量净额项目</w:t>
            </w:r>
          </w:p>
        </w:tc>
      </w:tr>
    </w:tbl>
    <w:p w14:paraId="16B1B94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（二）可选分析字段（用于 OCF 构成拆解，缺失不影响主规则运行）</w:t>
      </w:r>
      <w:bookmarkEnd w:id="6"/>
    </w:p>
    <w:p w14:paraId="78999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现金流量表补充资料项目：资产减值准备、固定资产折旧、无形资产摊销、长期待摊费用摊销、处置长期资产损益、公允价值变动损益、投资收益、递延所得税资产 / 负债变动、存货的减少、经营性应收项目的减少、经营性应付项目的增加。</w:t>
      </w:r>
    </w:p>
    <w:p w14:paraId="4F83DE3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四、核心指标体系</w:t>
      </w:r>
      <w:bookmarkEnd w:id="7"/>
    </w:p>
    <w:p w14:paraId="706AD08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（一）核心指标一：销售收现率</w:t>
      </w:r>
      <w:bookmarkEnd w:id="8"/>
    </w:p>
    <w:p w14:paraId="4D8F796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销售收现率 = 销售商品、提供劳务收到的现金 / 营业收入</w:t>
      </w:r>
    </w:p>
    <w:p w14:paraId="0BF2528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指标含义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衡量每一元营业收入对应的实际现金流入，反映销售回款的即时性与质量。</w:t>
      </w:r>
    </w:p>
    <w:p w14:paraId="542F290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t>销售收现率受应收票据背书转让、销售退回、合同负债结转等因素影响。销售商品、提供劳务收到的现金通常含增值税，并受应收、预收变动影响；营业收入通常不含税，因此该比率可能超过 1，不能被视为收入的机械现金对应关系。</w:t>
      </w:r>
    </w:p>
    <w:p w14:paraId="66CDDDB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阈值与适配规则</w:t>
      </w:r>
    </w:p>
    <w:p w14:paraId="6403784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t>草案通用阈值：收现率＜0.8 仅作为后续测试候选，不是当前工程触发条件，也不是已验证的行业标准。</w:t>
      </w:r>
    </w:p>
    <w:p w14:paraId="52F3FE8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t>行业差异需在取得经专业确认的行业口径后另行配置。v0.2.1 首版不按行业自动适配，也不以笼统行业经验替代参数。</w:t>
      </w:r>
    </w:p>
    <w:p w14:paraId="53421D7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t>未提供经专业确认的行业参数时，只标记为“待人工结合行业与合同结算条件判断”，不输出行业阈值结论。</w:t>
      </w:r>
    </w:p>
    <w:p w14:paraId="4AA118D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正常解释候选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应收票据背书支付占比较高，对应证据为「应收票据本期减少额中背书转让金额」。</w:t>
      </w:r>
    </w:p>
    <w:p w14:paraId="73279D5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（二）核心指标二：净利润现金含量</w:t>
      </w:r>
      <w:bookmarkEnd w:id="9"/>
    </w:p>
    <w:p w14:paraId="036E4E0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计算公式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净利润现金含量 = OCF / 净利润</w:t>
      </w:r>
    </w:p>
    <w:p w14:paraId="3C6F3C8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指标含义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衡量每一元净利润对应的经营现金净流入，反映盈利的现金支撑能力。</w:t>
      </w:r>
    </w:p>
    <w:p w14:paraId="35DF7A8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展示规则</w:t>
      </w:r>
    </w:p>
    <w:p w14:paraId="52A050D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t>仅当净利润为正时，展示净利润现金含量具体比率数值；净利润为零或负数时不计算、不展示该比例。</w:t>
      </w:r>
    </w:p>
    <w:p w14:paraId="711E408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t>净利润为负且 OCF 为非负时，显示“亏损期 OCF 非负，需人工结合利润构成与营运资本变动解释”；净利润为负且 OCF 也为负时，显示“亏损期 OCF 为负，需补充收现和构成资料”。两种情形均不以该指标自动升级 R2。</w:t>
      </w:r>
    </w:p>
    <w:p w14:paraId="66E61F3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补充说明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若净利润中包含大额投资收益、资产处置收益等非经营性项目，会导致净利润现金含量偏低，但与收入质量无关，需在构成分析中单独提示。</w:t>
      </w:r>
    </w:p>
    <w:p w14:paraId="428E53E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t>草案参数：净利润为正且净利润现金含量＜0.5 可作为待人工关注的候选条件；当前工程不以此触发。</w:t>
      </w:r>
    </w:p>
    <w:p w14:paraId="5443BE1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（三）辅助指标三：OCF 与收入趋势背离</w:t>
      </w:r>
      <w:bookmarkEnd w:id="10"/>
    </w:p>
    <w:p w14:paraId="116C836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可比前提条件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需同时满足以下条件方可进行趋势对比：</w:t>
      </w:r>
    </w:p>
    <w:p w14:paraId="63CF733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t>草案可比前提：上年 OCF 绝对值 ≥ 上年营业收入 × 3%，且本期与上期 OCF 不跨期变号。未满足时标记“同比不宜比较”；当前工程正按此方向对齐。</w:t>
      </w:r>
    </w:p>
    <w:p w14:paraId="0B59071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t>上年营业收入 ≥ 草案可比基数（默认 1000 万元，待专业确认）</w:t>
      </w:r>
    </w:p>
    <w:p w14:paraId="3B5DD62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本年 OCF 与上年 OCF 同号</w:t>
      </w:r>
    </w:p>
    <w:p w14:paraId="3B819D0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t>草案参数：收入增速 - OCF 增速超过默认 20 个百分点（待专业确认）且满足可比前提时，才可作为趋势背离候选；跨期变号或基数过小时不适用。</w:t>
      </w:r>
    </w:p>
    <w:p w14:paraId="53BC2DC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收入正增长、OCF 增长更慢或负增长；</w:t>
      </w:r>
    </w:p>
    <w:p w14:paraId="4BD1377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收入负增长、OCF 下滑幅度显著大于收入下滑幅度。</w:t>
      </w:r>
    </w:p>
    <w:p w14:paraId="783099E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指标含义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识别收入与经营现金流增长节奏不一致的异常区间。</w:t>
      </w:r>
    </w:p>
    <w:p w14:paraId="01986CE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（四）核心指标四：OCF 构成分析</w:t>
      </w:r>
      <w:bookmarkEnd w:id="11"/>
    </w:p>
    <w:p w14:paraId="0FFE0AC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分析逻辑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基于现金流量表补充资料，拆解 OCF 与净利润的差异来源，定位背离的驱动因素。</w:t>
      </w:r>
    </w:p>
    <w:p w14:paraId="72FA21D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风险指向规则</w:t>
      </w:r>
    </w:p>
    <w:p w14:paraId="4AFDF61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t>较强收入端关联（需有 OCF 构成证据）：若差异主要由经营性应收项目增加、合同负债减少导致，可作为与 R1 联动的人工复核参考；不得由系统自动提高风险等级。</w:t>
      </w:r>
    </w:p>
    <w:p w14:paraId="7127417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t>较弱收入端关联（需有 OCF 构成证据）：若差异主要由存货备货增加、经营性应付项目减少导致，提示同时关注采购、生产或付款循环；不自动降低、关闭或移除 R2 线索。</w:t>
      </w:r>
    </w:p>
    <w:p w14:paraId="7A123F3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t>若差异主要由折旧摊销、资产减值、投资收益等非现金或非经营项目导致，作为解释候选并要求补充构成明细；是否保留线索由人工确认。</w:t>
      </w:r>
    </w:p>
    <w:p w14:paraId="25D09AE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五、触发逻辑与风险等级</w:t>
      </w:r>
      <w:bookmarkEnd w:id="12"/>
    </w:p>
    <w:p w14:paraId="1BDFF30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（一）触发判定原则</w:t>
      </w:r>
      <w:bookmarkEnd w:id="13"/>
    </w:p>
    <w:p w14:paraId="0219B1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系统仅基于公开数据自动计算指标并判定触发状态，</w:t>
      </w:r>
      <w:r>
        <w:rPr>
          <w:rFonts w:ascii="Arial" w:hAnsi="Arial" w:eastAsia="等线" w:cs="Arial"/>
          <w:b/>
          <w:sz w:val="22"/>
        </w:rPr>
        <w:t>不得自动降级或关闭线索</w:t>
      </w:r>
      <w:r>
        <w:rPr>
          <w:rFonts w:ascii="Arial" w:hAnsi="Arial" w:eastAsia="等线" w:cs="Arial"/>
          <w:sz w:val="22"/>
        </w:rPr>
        <w:t>；所有解释性依据仅作为参考标注，最终风险等级调整由审计人员人工确认。</w:t>
      </w:r>
    </w:p>
    <w:p w14:paraId="0671227E">
      <w:pPr>
        <w:spacing w:before="300" w:after="120" w:line="288" w:lineRule="auto"/>
        <w:ind w:left="0"/>
        <w:jc w:val="left"/>
        <w:outlineLvl w:val="2"/>
      </w:pPr>
      <w:r>
        <w:t>（二）三级风险等级（规则草案；当前页面未按此分级）</w:t>
      </w:r>
    </w:p>
    <w:p w14:paraId="436DFF4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待重点核查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满足 2 项及以上主触发条件，或 1 项主触发 + 1 项增强触发条件。</w:t>
      </w:r>
    </w:p>
    <w:p w14:paraId="11FEB65A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待关注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满足 1 项主触发条件，无增强触发信号。</w:t>
      </w:r>
    </w:p>
    <w:p w14:paraId="51B2B49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未见显著异常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未触发任何主条件，正常展示全部指标数值。</w:t>
      </w:r>
    </w:p>
    <w:p w14:paraId="5D847B71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（三）独立状态：数据不足</w:t>
      </w:r>
      <w:bookmarkEnd w:id="15"/>
    </w:p>
    <w:p w14:paraId="0E2A2B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核心字段缺失≥2 项时，标记为「数据不足，无法判断」，不输出风险结论，仅列示缺失字段名称。</w:t>
      </w:r>
    </w:p>
    <w:p w14:paraId="6695717D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（四）解释标注规则</w:t>
      </w:r>
      <w:bookmarkEnd w:id="16"/>
    </w:p>
    <w:p w14:paraId="10E191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若从公开资料中检索到正常解释的支持依据，系统同步展示解释内容、原文页码和证据 ID，标记为「存在正常解释候选，建议人工复核」；是否降级或关闭线索，仅由审计人员人工操作。</w:t>
      </w:r>
    </w:p>
    <w:p w14:paraId="4DD075D9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六、正常解释候选清单</w:t>
      </w:r>
      <w:bookmarkEnd w:id="17"/>
    </w:p>
    <w:p w14:paraId="2EE54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 8 项，按与收入风险的关联度分级：</w:t>
      </w:r>
    </w:p>
    <w:tbl>
      <w:tblPr>
        <w:tblStyle w:val="2"/>
        <w:tblW w:w="8280" w:type="dxa"/>
        <w:tblInd w:w="12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E39EA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7EEB7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1E8D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正常解释场景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969F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与收入风险关联度</w:t>
            </w:r>
          </w:p>
        </w:tc>
      </w:tr>
      <w:tr w14:paraId="42C3F0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D5EC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AC9E0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应收票据背书转让占比较高：本期大量使用应收票据支付采购款，未体现在销售收现中，导致收现率偏低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1BFD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1E1554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B55F6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BF64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合同负债 / 预收款项大幅减少：上期预收款在本期结转收入，无对应现金流入，拉低本期收现率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DDDF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ECB70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F5FC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87A8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期末集中发货导致应收账款大幅增加，信用期内尚未回款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1F138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100E0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8882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5A62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本期加大存货备货力度，采购付款增加导致 OCF 下降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A5B41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347A66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32ED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4221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本期缴纳上期大额税费，导致经营现金流出增加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DD9C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58307A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26F4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38AD1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客户信用政策放宽，账期延长，回款节奏延后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11AA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E6A5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3E22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F00E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存在大额政府补助等其他经营现金流入变动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0310B2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</w:tr>
      <w:tr w14:paraId="76AB8E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D68D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7442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收入存在明显季节性波动，对比区间不具备可比性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32FC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024EE84E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七、待索取资料清单</w:t>
      </w:r>
      <w:bookmarkEnd w:id="18"/>
    </w:p>
    <w:p w14:paraId="759112C3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（一）公开资料可补充获取</w:t>
      </w:r>
      <w:bookmarkEnd w:id="19"/>
    </w:p>
    <w:p w14:paraId="220942E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季度报告现金流明细数据</w:t>
      </w:r>
    </w:p>
    <w:p w14:paraId="68CCC32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同行业可比公司收现率、净利润现金含量数据</w:t>
      </w:r>
    </w:p>
    <w:p w14:paraId="30FED23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应收票据背书转让披露信息</w:t>
      </w:r>
    </w:p>
    <w:p w14:paraId="431E365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年报中管理层讨论与分析部分的现金流说明</w:t>
      </w:r>
    </w:p>
    <w:p w14:paraId="7800EB87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（二）需向被审计单位索取</w:t>
      </w:r>
      <w:bookmarkEnd w:id="20"/>
    </w:p>
    <w:p w14:paraId="6D69039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收入与销售收现调节表</w:t>
      </w:r>
    </w:p>
    <w:p w14:paraId="2BBD3D2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大额应收应付变动支持凭证</w:t>
      </w:r>
    </w:p>
    <w:p w14:paraId="6C4C7A8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存货备货对应的订单、采购合同</w:t>
      </w:r>
    </w:p>
    <w:p w14:paraId="16CE1B9C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客户信用政策文件及本期变更记录</w:t>
      </w:r>
    </w:p>
    <w:p w14:paraId="754E0F1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资产负债表日后回款明细</w:t>
      </w:r>
    </w:p>
    <w:p w14:paraId="57E30F3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管理层对现金流变动原因的书面说明</w:t>
      </w:r>
    </w:p>
    <w:p w14:paraId="7086E776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八、与 R1 规则及系统架构的协同</w:t>
      </w:r>
      <w:bookmarkEnd w:id="21"/>
    </w:p>
    <w:p w14:paraId="61E01A95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（一）R1&amp;R2 联动规则</w:t>
      </w:r>
      <w:bookmarkEnd w:id="22"/>
    </w:p>
    <w:p w14:paraId="4D957FB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t>R1、R2 同时形成候选且经构成资料证实 OCF 变动与应收端相关时，可提交人工评估是否合并为一项“收入与回款匹配性待核查线索”；不得自动升级，也不得使用“真实性风险最高”等定性表述。</w:t>
      </w:r>
    </w:p>
    <w:p w14:paraId="78BC993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t>仅 R2 形成候选、R1 未形成候选且经构成资料显示 OCF 变动主要来自存货或应付时：提示该说明需要人工核验并可建议联动存货、付款循环；不自动降低 R2 或断言收入端风险较低。</w:t>
      </w:r>
    </w:p>
    <w:p w14:paraId="0A07D356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t>仅 R1 形成候选、R2 未形成候选时：仅说明当前 R2 已接入字段及可比条件下未形成方向候选；不得据此推导收入现金质量不存在异常。</w:t>
      </w:r>
    </w:p>
    <w:p w14:paraId="7C3C1A9E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（二）系统对接与证据硬校验要求</w:t>
      </w:r>
      <w:bookmarkEnd w:id="23"/>
    </w:p>
    <w:p w14:paraId="473AD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本规则所有指标计算必须绑定对应字段的</w:t>
      </w:r>
      <w:r>
        <w:rPr>
          <w:rFonts w:ascii="Consolas" w:hAnsi="Consolas" w:eastAsia="Consolas" w:cs="Consolas"/>
          <w:sz w:val="22"/>
          <w:shd w:val="clear" w:fill="EFF0F1"/>
        </w:rPr>
        <w:t>evidence_id</w:t>
      </w:r>
      <w:r>
        <w:rPr>
          <w:rFonts w:ascii="Arial" w:hAnsi="Arial" w:eastAsia="等线" w:cs="Arial"/>
          <w:sz w:val="22"/>
        </w:rPr>
        <w:t>（来源文件、页码、原文片段）；触发结果随风险卡同步输出计算公式、计算过程、字段来源；无来源 ID 的字段不得参与计算，直接标记为数据缺失。</w:t>
      </w:r>
    </w:p>
    <w:p w14:paraId="48706580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九、可配置参数清单</w:t>
      </w:r>
      <w:bookmarkEnd w:id="24"/>
    </w:p>
    <w:tbl>
      <w:tblPr>
        <w:tblStyle w:val="2"/>
        <w:tblW w:w="8280" w:type="dxa"/>
        <w:tblInd w:w="12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FD21C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0A7A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参数名称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904B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248EB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48348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6E42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销售收现率异常阈值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768E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低于该值触发主条件（草案参数，待专业确认；当前工程未以此触发）</w:t>
            </w:r>
          </w:p>
        </w:tc>
      </w:tr>
      <w:tr w14:paraId="4752B9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56CBE6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净利润现金含量异常阈值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8E8A7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低于该值触发主条件（草案参数，待专业确认；当前工程未以此触发）</w:t>
            </w:r>
          </w:p>
        </w:tc>
      </w:tr>
      <w:tr w14:paraId="4F5F6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40F31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OCF 可比基数占比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79D9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3%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上年 OCF 占上年收入比例门槛（草案参数，待专业确认；当前工程未以此触发）</w:t>
            </w:r>
          </w:p>
        </w:tc>
      </w:tr>
      <w:tr w14:paraId="4673D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ED3C2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营业收入可比基数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72A4A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 万元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收入规模最低门槛（草案参数，待专业确认；当前工程未以此触发）</w:t>
            </w:r>
          </w:p>
        </w:tc>
      </w:tr>
      <w:tr w14:paraId="23545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17A53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趋势背离差值阈值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 w14:paraId="654F9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 个百分点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  <w:start w:w="120" w:type="dxa"/>
              <w:end w:w="120" w:type="dxa"/>
            </w:tcMar>
          </w:tcPr>
          <w:p>
            <w:r>
              <w:t>收入增速与 OCF 增速差值门槛（草案参数，待专业确认；当前工程未以此触发）</w:t>
            </w:r>
          </w:p>
        </w:tc>
      </w:tr>
      <w:tr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行业阈值适配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未启用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v0.2.1 首版不自动按行业适配；需专业确认后另行配置。</w:t>
            </w:r>
          </w:p>
        </w:tc>
      </w:tr>
    </w:tbl>
    <w:p w14:paraId="2D9CA9F6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十、版本验收标准</w:t>
      </w:r>
      <w:bookmarkEnd w:id="25"/>
    </w:p>
    <w:p w14:paraId="2070D5F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t>专业复核完成：经审计专业成员审核，准则依据准确、公式逻辑无误、禁用表述控制到位、口径无歧义；</w:t>
      </w:r>
    </w:p>
    <w:p w14:paraId="3D8D8C0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t>工程对齐完成：后端编码完成并能按本稿字段、可比性与阈值逻辑输出结果，与 Excel 人工复算偏差≤0.01%。本条仅为验收条件，当前未完成；</w:t>
      </w:r>
    </w:p>
    <w:p w14:paraId="16CB1FD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t>测试完成：通过≥5 组测试用例（正常、草案触发、未触发、数据缺失、不可比），输出与预期一致；</w:t>
      </w:r>
    </w:p>
    <w:p w14:paraId="6BB9A40A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十一、合规说明</w:t>
      </w:r>
      <w:bookmarkEnd w:id="26"/>
    </w:p>
    <w:p w14:paraId="30249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本规则严格遵循项目「证据约束、预筛查定位、不下结论」的核心原则，全文禁用「舞弊」「造假」「虚假收入」等定性表述，所有输出均为风险线索与核查建议，不构成任何审计结论。</w:t>
      </w:r>
    </w:p>
    <w:p w14:paraId="09A49FA1">
      <w:pPr>
        <w:spacing w:before="120" w:after="120" w:line="288" w:lineRule="auto"/>
        <w:ind w:left="0"/>
        <w:jc w:val="left"/>
      </w:pPr>
      <w:bookmarkStart w:id="27" w:name="_GoBack"/>
      <w:bookmarkEnd w:id="27"/>
    </w:p>
    <w:p>
      <w:r>
        <w:t>v0.2.1，2026 年 7 月 24 日：审查修订。补足 1211/1313 的规则边界；明确销售收现含税与收入不含税不能直接比值定性；规定净利润为负时不展示现金含量比率；经营现金流跨期变号或基数过小时标记“同比不宜比较”；取消 OCF 构成对风险线索的自动升降级表述；明确当前工程仍为方向比较版。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809A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3EE3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9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6"/>
  </w:num>
  <w:num w:numId="9">
    <w:abstractNumId w:val="22"/>
  </w:num>
  <w:num w:numId="10">
    <w:abstractNumId w:val="5"/>
  </w:num>
  <w:num w:numId="11">
    <w:abstractNumId w:val="29"/>
  </w:num>
  <w:num w:numId="12">
    <w:abstractNumId w:val="40"/>
  </w:num>
  <w:num w:numId="13">
    <w:abstractNumId w:val="14"/>
  </w:num>
  <w:num w:numId="14">
    <w:abstractNumId w:val="36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4"/>
  </w:num>
  <w:num w:numId="21">
    <w:abstractNumId w:val="43"/>
  </w:num>
  <w:num w:numId="22">
    <w:abstractNumId w:val="24"/>
  </w:num>
  <w:num w:numId="23">
    <w:abstractNumId w:val="33"/>
  </w:num>
  <w:num w:numId="24">
    <w:abstractNumId w:val="8"/>
  </w:num>
  <w:num w:numId="25">
    <w:abstractNumId w:val="50"/>
  </w:num>
  <w:num w:numId="26">
    <w:abstractNumId w:val="48"/>
  </w:num>
  <w:num w:numId="27">
    <w:abstractNumId w:val="12"/>
  </w:num>
  <w:num w:numId="28">
    <w:abstractNumId w:val="44"/>
  </w:num>
  <w:num w:numId="29">
    <w:abstractNumId w:val="6"/>
  </w:num>
  <w:num w:numId="30">
    <w:abstractNumId w:val="32"/>
  </w:num>
  <w:num w:numId="31">
    <w:abstractNumId w:val="2"/>
  </w:num>
  <w:num w:numId="32">
    <w:abstractNumId w:val="38"/>
  </w:num>
  <w:num w:numId="33">
    <w:abstractNumId w:val="51"/>
  </w:num>
  <w:num w:numId="34">
    <w:abstractNumId w:val="0"/>
  </w:num>
  <w:num w:numId="35">
    <w:abstractNumId w:val="26"/>
  </w:num>
  <w:num w:numId="36">
    <w:abstractNumId w:val="37"/>
  </w:num>
  <w:num w:numId="37">
    <w:abstractNumId w:val="20"/>
  </w:num>
  <w:num w:numId="38">
    <w:abstractNumId w:val="18"/>
  </w:num>
  <w:num w:numId="39">
    <w:abstractNumId w:val="30"/>
  </w:num>
  <w:num w:numId="40">
    <w:abstractNumId w:val="49"/>
  </w:num>
  <w:num w:numId="41">
    <w:abstractNumId w:val="11"/>
  </w:num>
  <w:num w:numId="42">
    <w:abstractNumId w:val="4"/>
  </w:num>
  <w:num w:numId="43">
    <w:abstractNumId w:val="10"/>
  </w:num>
  <w:num w:numId="44">
    <w:abstractNumId w:val="41"/>
  </w:num>
  <w:num w:numId="45">
    <w:abstractNumId w:val="1"/>
  </w:num>
  <w:num w:numId="46">
    <w:abstractNumId w:val="25"/>
  </w:num>
  <w:num w:numId="47">
    <w:abstractNumId w:val="3"/>
  </w:num>
  <w:num w:numId="48">
    <w:abstractNumId w:val="42"/>
  </w:num>
  <w:num w:numId="49">
    <w:abstractNumId w:val="47"/>
  </w:num>
  <w:num w:numId="50">
    <w:abstractNumId w:val="35"/>
  </w:num>
  <w:num w:numId="51">
    <w:abstractNumId w:val="31"/>
  </w:num>
  <w:num w:numId="5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E8D0A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3251</Words>
  <Characters>3358</Characters>
  <TotalTime>1</TotalTime>
  <ScaleCrop>false</ScaleCrop>
  <LinksUpToDate>false</LinksUpToDate>
  <CharactersWithSpaces>3468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2026-07-24T10:05:00Z</dcterms:created>
  <dc:creator>Apache POI</dc:creator>
  <cp:lastModifiedBy>梦清实易</cp:lastModifiedBy>
  <dcterms:modified xsi:type="dcterms:W3CDTF">2026-07-24T10:06:51Z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{"Label":"1","ContentProducer":"001191110102MACQD9K64010000","ProduceID":"7666033544569179083","ReservedCode1":"","ContentPropagator":"","PropagateID":"","ReservedCode2":""}</vt:lpwstr>
  </property>
  <property fmtid="{D5CDD505-2E9C-101B-9397-08002B2CF9AE}" pid="3" name="KSOTemplateDocerSaveRecord">
    <vt:lpwstr>eyJoZGlkIjoiZjFmZWIzNDg2MmIzZjExOTIzMmViNTBmYTMwYTk0ZWYiLCJ1c2VySWQiOiI5NTY1OTk4MjIifQ==</vt:lpwstr>
  </property>
  <property fmtid="{D5CDD505-2E9C-101B-9397-08002B2CF9AE}" pid="4" name="KSOProductBuildVer">
    <vt:lpwstr>2052-12.1.0.25865</vt:lpwstr>
  </property>
  <property fmtid="{D5CDD505-2E9C-101B-9397-08002B2CF9AE}" pid="5" name="ICV">
    <vt:lpwstr>C516A573ADC14A6298EAF190CA42AE14_12</vt:lpwstr>
  </property>
</Properties>
</file>