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EMITRA: AI-Powered Carbon Compliance &amp; Export Intelligence</w:t>
      </w:r>
    </w:p>
    <w:p>
      <w:pPr>
        <w:pStyle w:val="Heading2"/>
        <w:bidi w:val="0"/>
        <w:ind w:hanging="0" w:start="0"/>
        <w:jc w:val="start"/>
        <w:rPr/>
      </w:pPr>
      <w:r>
        <w:rPr/>
        <w:t>International Business Plan — BMC #12 Competition</w:t>
      </w:r>
    </w:p>
    <w:p>
      <w:pPr>
        <w:pStyle w:val="BodyText"/>
        <w:bidi w:val="0"/>
        <w:jc w:val="start"/>
        <w:rPr/>
      </w:pPr>
      <w:r>
        <w:rPr>
          <w:b/>
        </w:rPr>
        <w:t>Team:</w:t>
      </w:r>
      <w:r>
        <w:rPr/>
        <w:t xml:space="preserve"> Dex Bennett (CTO), Imeldya (CEO), Adriel (CFO), Keren Tiara (CMO) </w:t>
      </w:r>
      <w:r>
        <w:rPr>
          <w:b/>
        </w:rPr>
        <w:t>Institution:</w:t>
      </w:r>
      <w:r>
        <w:rPr/>
        <w:t xml:space="preserve"> Politeknik Negeri Bali </w:t>
      </w:r>
      <w:r>
        <w:rPr>
          <w:b/>
        </w:rPr>
        <w:t>Category:</w:t>
      </w:r>
      <w:r>
        <w:rPr/>
        <w:t xml:space="preserve"> Sub-Theme: Innovating Global Business Strategies for a Sustainable Future × Sustainable Business &amp; Green Innovation</w:t>
      </w:r>
    </w:p>
    <w:p>
      <w:pPr>
        <w:pStyle w:val="HorizontalLine"/>
        <w:bidi w:val="0"/>
        <w:jc w:val="start"/>
        <w:rPr/>
      </w:pPr>
      <w:r>
        <w:rPr/>
      </w:r>
    </w:p>
    <w:p>
      <w:pPr>
        <w:pStyle w:val="Heading2"/>
        <w:bidi w:val="0"/>
        <w:ind w:hanging="0" w:start="0"/>
        <w:jc w:val="start"/>
        <w:rPr/>
      </w:pPr>
      <w:r>
        <w:rPr/>
        <w:t>1. EXECUTIVE SUMMARY</w:t>
      </w:r>
    </w:p>
    <w:p>
      <w:pPr>
        <w:pStyle w:val="BodyText"/>
        <w:bidi w:val="0"/>
        <w:jc w:val="start"/>
        <w:rPr/>
      </w:pPr>
      <w:r>
        <w:rPr>
          <w:b/>
        </w:rPr>
        <w:t>Company:</w:t>
      </w:r>
      <w:r>
        <w:rPr/>
        <w:t xml:space="preserve"> The European Union's Carbon Border Adjustment Mechanism (CBAM) has created a structural compliance crisis for Indonesian exporters: manufacturers in carbon-intensive sectors—iron, steel, and aluminum—must now provide independently verified emissions data to retain EU market access, or face the Commission's punitive “default values” calculated from the world's highest-emitting producers. Existing global solutions (Persefoni, Watershed) are priced for Fortune 500 enterprises at USD 15,000–80,000 per year and assume mature ERP infrastructure that Tier-2/3 Indonesian manufacturers do not possess; local platforms focus on voluntary domestic carbon markets and lack CBAM-specific technical output. Emitra was founded to close this gap: a purpose-built AI-powered SaaS platform that automates the full CBAM compliance cycle—from raw factory document ingestion to EU-registry-ready XML declaration—at pricing specifically designed for Southeast Asian SME exporters.</w:t>
      </w:r>
    </w:p>
    <w:p>
      <w:pPr>
        <w:pStyle w:val="BodyText"/>
        <w:bidi w:val="0"/>
        <w:jc w:val="start"/>
        <w:rPr/>
      </w:pPr>
      <w:r>
        <w:rPr>
          <w:b/>
        </w:rPr>
        <w:t>Market:</w:t>
      </w:r>
      <w:r>
        <w:rPr/>
        <w:t xml:space="preserve"> The addressable opportunity is large, urgent, and structurally underserved. Approximately 1,500–2,000 Indonesian exporters directly affected by CBAM generate USD 757.7 million in EU trade, sitting within a Serviceable Addressable Market of 3,200 CBAM-exposed entities and a Total Addressable Market of USD 1.2 billion spanning all heavy industrial exporters across Southeast Asia. Emitra's initial Serviceable Obtainable Market (SOM) targets 100 client sites in Java's key industrial hubs by Year 3, expanding to 320 cumulative regional clients across ASEAN by Year 5. The urgency is financial and immediate: CBAM certificate costs begin at approximately €9.75 per ton of CO₂ in 2026 and escalate to a projected national burden of €383 million by 2034—with EU importers facing their first hard settlement deadline in February 2027.</w:t>
      </w:r>
    </w:p>
    <w:p>
      <w:pPr>
        <w:pStyle w:val="BodyText"/>
        <w:bidi w:val="0"/>
        <w:jc w:val="start"/>
        <w:rPr/>
      </w:pPr>
      <w:r>
        <w:rPr>
          <w:b/>
        </w:rPr>
        <w:t>Marketing:</w:t>
      </w:r>
      <w:r>
        <w:rPr/>
        <w:t xml:space="preserve"> Emitra positions itself as “export continuity insurance”—the operational argument is existential: without verified emission data, Indonesian products lose EU price competitiveness regardless of quality. Market entry follows a direct partnership model through Indonesia's leading industrial associations (IISIA, ALFI, KADIN), supported by free 3-month pilot deployments for anchor clients in Year 1. Revenue is structured as a hybrid SaaS model: a one-time implementation fee (IDR 30–50 million) combined with an annual subscription (IDR 50–80 million per year), delivering 40–50% cost savings versus manual environmental audit consultants in Year 1 and rising to 60–70% savings from Year 2 onward. Phase 2 scaling adds inbound content marketing and BUMN bank partnerships for Green Financing integration under POJK No. 14 &amp; 18/2023.</w:t>
      </w:r>
    </w:p>
    <w:p>
      <w:pPr>
        <w:pStyle w:val="BodyText"/>
        <w:bidi w:val="0"/>
        <w:jc w:val="start"/>
        <w:rPr/>
      </w:pPr>
      <w:r>
        <w:rPr>
          <w:b/>
        </w:rPr>
        <w:t>Operation:</w:t>
      </w:r>
      <w:r>
        <w:rPr/>
        <w:t xml:space="preserve"> Emitra operates from a lean, domain-specialized four-founder team—CEO (B2B strategy and partnerships), CTO (AI/ML architecture and cloud infrastructure), CFO (financial modeling and pricing), CMO (market research and go-to-market)—supported by enterprise sales and customer success specialists deployed near industrial clusters. The platform's five-layer technical architecture ingests unstructured factory documents via an AI-powered OCR engine, normalizes them through statistical anomaly detection, and feeds a deterministic EU-methodology emission calculation engine that produces CBAM-compliant XML reports with a complete, click-through audit trail. A Human-in-the-Loop (HITL) correction interface resolves degraded-document uncertainty without interrupting throughput, cutting manual data entry by 80% versus traditional consulting. R&amp;D is headquartered in Yogyakarta; field onboarding teams are deployed near the industrial estates they serve.</w:t>
      </w:r>
    </w:p>
    <w:p>
      <w:pPr>
        <w:pStyle w:val="BodyText"/>
        <w:bidi w:val="0"/>
        <w:jc w:val="start"/>
        <w:rPr/>
      </w:pPr>
      <w:r>
        <w:rPr>
          <w:b/>
        </w:rPr>
        <w:t>Finance:</w:t>
      </w:r>
      <w:r>
        <w:rPr/>
        <w:t xml:space="preserve"> Emitra's financial model targets early break-even on a conservative client acquisition ramp. Revenue projections reach IDR 950 million in Year 1 (10 clients), IDR 3.95 billion in Year 2 (45 clients), and IDR 8.6 billion in Year 3 (100 clients), with gross margins improving from 70% in Year 1 to 77% by Year 3. Financial break-even is projected at Month 10 of Year 1 (minimum 8 active clients), with net profitability achieved in Year 2. Customer Lifetime Value is estimated at IDR 270 million against a Customer Acquisition Cost target below IDR 45 million, yielding an LTV:CAC ratio of 6:1—consistent with high-retention enterprise SaaS. Phase 3 regional expansion to Vietnam and Malaysia targets 320 cumulative clients by Year 5, positioning Emitra as Southeast Asia's leading carbon intelligence platform.</w:t>
      </w:r>
    </w:p>
    <w:p>
      <w:pPr>
        <w:pStyle w:val="HorizontalLine"/>
        <w:bidi w:val="0"/>
        <w:jc w:val="start"/>
        <w:rPr/>
      </w:pPr>
      <w:r>
        <w:rPr/>
      </w:r>
    </w:p>
    <w:p>
      <w:pPr>
        <w:pStyle w:val="Heading2"/>
        <w:bidi w:val="0"/>
        <w:ind w:hanging="0" w:start="0"/>
        <w:jc w:val="start"/>
        <w:rPr/>
      </w:pPr>
      <w:r>
        <w:rPr/>
        <w:t>2. PROJECT DESCRIPTION</w:t>
      </w:r>
    </w:p>
    <w:p>
      <w:pPr>
        <w:pStyle w:val="Heading3"/>
        <w:bidi w:val="0"/>
        <w:ind w:hanging="0" w:start="0"/>
        <w:jc w:val="start"/>
        <w:rPr/>
      </w:pPr>
      <w:r>
        <w:rPr/>
        <w:t>2.1 CBAM EU Regulatory Context</w:t>
      </w:r>
    </w:p>
    <w:p>
      <w:pPr>
        <w:pStyle w:val="BodyText"/>
        <w:bidi w:val="0"/>
        <w:jc w:val="start"/>
        <w:rPr/>
      </w:pPr>
      <w:r>
        <w:rPr/>
        <w:t>The EU's Carbon Border Adjustment Mechanism (CBAM) has shifted from a transitional phase (2023–2025) to the definitive phase as of January 1, 2026 (</w:t>
      </w:r>
      <w:r>
        <w:rPr>
          <w:i/>
        </w:rPr>
        <w:t>European Commission, 2025</w:t>
      </w:r>
      <w:r>
        <w:rPr/>
        <w:t>). During the transition, exporters were only required to report emission volumes without financial consequences. Starting in 2026, a financial phase-in tariff of 2.5% applies, increasing linearly to 100% full enforcement by 2034 (</w:t>
      </w:r>
      <w:r>
        <w:rPr>
          <w:i/>
        </w:rPr>
        <w:t>European Parliament, 2024</w:t>
      </w:r>
      <w:r>
        <w:rPr/>
        <w:t>).</w:t>
      </w:r>
    </w:p>
    <w:p>
      <w:pPr>
        <w:pStyle w:val="BodyText"/>
        <w:bidi w:val="0"/>
        <w:jc w:val="start"/>
        <w:rPr/>
      </w:pPr>
      <w:r>
        <w:rPr/>
        <w:t>Affected upstream commodity sectors include iron, steel, aluminum, cement, and fertilizers. Based on European Energy Exchange (EEX) data for 2026, CBAM certificate prices fluctuate around €75.36 per ton of CO2. EU importers must purchase their first CBAM certificates by February 2027 to cover embedded emissions on products imported during the fiscal year 2026.</w:t>
      </w:r>
    </w:p>
    <w:p>
      <w:pPr>
        <w:pStyle w:val="PreformattedText"/>
        <w:shd w:fill="E1E1E1" w:val="clear"/>
        <w:bidi w:val="0"/>
        <w:spacing w:before="0" w:after="283"/>
        <w:jc w:val="start"/>
        <w:rPr/>
      </w:pPr>
      <w:r>
        <w:rPr/>
        <w:t>+-------------------------------------------------------------------------+</w:t>
        <w:br/>
        <w:t>|                         CBAM TIMELINE ROADMAP                           |</w:t>
        <w:br/>
        <w:t>+-------------------------------------------------------------------------+</w:t>
        <w:br/>
        <w:t>| 2023–2025: Transitional Phase (Data Collection Only)                    |</w:t>
        <w:br/>
        <w:t>| 2026:      Definitive Phase Begins (2.5% Financial Phase-In Active)     |</w:t>
        <w:br/>
        <w:t>| Feb 2027:  First Hard Financial Settlement Deadline for 2026 Emissions  |</w:t>
        <w:br/>
        <w:t>| 2027–2033: Linear Annual Escalation of Financial Exposure               |</w:t>
        <w:br/>
        <w:t>| 2034:      100% Full Enforcement &amp; Total Abolition of Free Allowances   |</w:t>
        <w:br/>
        <w:t>+-------------------------------------------------------------------------+</w:t>
      </w:r>
    </w:p>
    <w:p>
      <w:pPr>
        <w:pStyle w:val="BodyText"/>
        <w:bidi w:val="0"/>
        <w:jc w:val="start"/>
        <w:rPr/>
      </w:pPr>
      <w:r>
        <w:rPr/>
        <w:t>The impact on Indonesian exporters is indirect but destructive. If exporters cannot provide verified actual emission data, EU importers are forced to use "Default Values"—the worst-case emission averages from the highest-emitting global producers. This results in significantly higher certificate costs, effectively pricing Indonesian products out of the European market. The following section maps Indonesia's specific export landscape and the concrete financial stakes these default values impose on affected manufacturers.</w:t>
      </w:r>
    </w:p>
    <w:p>
      <w:pPr>
        <w:pStyle w:val="Heading3"/>
        <w:bidi w:val="0"/>
        <w:ind w:hanging="0" w:start="0"/>
        <w:jc w:val="start"/>
        <w:rPr/>
      </w:pPr>
      <w:r>
        <w:rPr/>
        <w:t>2.2 Indonesia Export Landscape</w:t>
      </w:r>
    </w:p>
    <w:p>
      <w:pPr>
        <w:pStyle w:val="BodyText"/>
        <w:bidi w:val="0"/>
        <w:jc w:val="start"/>
        <w:rPr/>
      </w:pPr>
      <w:r>
        <w:rPr/>
        <w:t>Based on BPS and Ministry of Trade data, total Indonesian exports to the EU reach USD 21.5 billion across all sectors (</w:t>
      </w:r>
      <w:r>
        <w:rPr>
          <w:i/>
        </w:rPr>
        <w:t>BPS, 2025</w:t>
      </w:r>
      <w:r>
        <w:rPr/>
        <w:t>). Of this, CBAM-affected commodities (iron, steel, aluminum) account for USD 757.7 million (</w:t>
      </w:r>
      <w:r>
        <w:rPr>
          <w:i/>
        </w:rPr>
        <w:t>Kementerian Perdagangan RI, 2025</w:t>
      </w:r>
      <w:r>
        <w:rPr/>
        <w:t>).</w:t>
      </w:r>
    </w:p>
    <w:p>
      <w:pPr>
        <w:pStyle w:val="BodyText"/>
        <w:bidi w:val="0"/>
        <w:jc w:val="start"/>
        <w:rPr/>
      </w:pPr>
      <w:r>
        <w:rPr/>
        <w:t>The Indonesian Iron and Steel Industry Association (IISIA) reports that steel exports to the EU represent approximately 4% of Indonesia's total global steel exports (</w:t>
      </w:r>
      <w:r>
        <w:rPr>
          <w:i/>
        </w:rPr>
        <w:t>IISIA, 2025</w:t>
      </w:r>
      <w:r>
        <w:rPr/>
        <w:t>). Under full enforcement (100% by 2034), the estimated total CBAM certificate burden for the steel supply chain reaches approximately €383 million, or €390 per ton of steel. However, during the 2026 phase-in period (2.5% tariff), the actual financial exposure is approximately €9.75 per ton (total national estimate ~€9.57 million). The February 2027 certificate purchase deadline creates an urgent mandate for exporters to build data infrastructure now, before tariffs escalate exponentially. The following case study from Central Java's foundry sector illustrates what this compliance gap looks like at the factory floor level.</w:t>
      </w:r>
    </w:p>
    <w:p>
      <w:pPr>
        <w:pStyle w:val="Heading3"/>
        <w:bidi w:val="0"/>
        <w:ind w:hanging="0" w:start="0"/>
        <w:jc w:val="start"/>
        <w:rPr/>
      </w:pPr>
      <w:r>
        <w:rPr/>
        <w:t>2.3 Case Study: CV Logam Mulia Sejahtera (Ceper, Klaten)</w:t>
      </w:r>
    </w:p>
    <w:p>
      <w:pPr>
        <w:pStyle w:val="BodyText"/>
        <w:bidi w:val="0"/>
        <w:jc w:val="start"/>
        <w:rPr/>
      </w:pPr>
      <w:r>
        <w:rPr/>
        <w:t>To understand real-world operational impact, we analyzed CV Logam Mulia Sejahtera, a medium-scale aluminum foundry in Central Java.</w:t>
      </w:r>
    </w:p>
    <w:p>
      <w:pPr>
        <w:pStyle w:val="BodyText"/>
        <w:numPr>
          <w:ilvl w:val="0"/>
          <w:numId w:val="2"/>
        </w:numPr>
        <w:tabs>
          <w:tab w:val="clear" w:pos="709"/>
          <w:tab w:val="left" w:pos="709" w:leader="none"/>
        </w:tabs>
        <w:bidi w:val="0"/>
        <w:ind w:hanging="283" w:start="709"/>
        <w:jc w:val="start"/>
        <w:rPr/>
      </w:pPr>
      <w:r>
        <w:rPr>
          <w:b/>
        </w:rPr>
        <w:t>Profile:</w:t>
      </w:r>
      <w:r>
        <w:rPr/>
        <w:t xml:space="preserve"> Manufacturer of cast aluminum with export volumes to Germany and Italy totaling USD 1.2 million/year.</w:t>
      </w:r>
    </w:p>
    <w:p>
      <w:pPr>
        <w:pStyle w:val="BodyText"/>
        <w:numPr>
          <w:ilvl w:val="0"/>
          <w:numId w:val="2"/>
        </w:numPr>
        <w:tabs>
          <w:tab w:val="clear" w:pos="709"/>
          <w:tab w:val="left" w:pos="709" w:leader="none"/>
        </w:tabs>
        <w:bidi w:val="0"/>
        <w:ind w:hanging="283" w:start="709"/>
        <w:jc w:val="start"/>
        <w:rPr/>
      </w:pPr>
      <w:r>
        <w:rPr>
          <w:b/>
        </w:rPr>
        <w:t>Market Friction:</w:t>
      </w:r>
      <w:r>
        <w:rPr/>
        <w:t xml:space="preserve"> Since Q3 2024, EU buyers have required emission data per unit as a prerequisite for contract renewal.</w:t>
      </w:r>
    </w:p>
    <w:p>
      <w:pPr>
        <w:pStyle w:val="BodyText"/>
        <w:numPr>
          <w:ilvl w:val="0"/>
          <w:numId w:val="2"/>
        </w:numPr>
        <w:tabs>
          <w:tab w:val="clear" w:pos="709"/>
          <w:tab w:val="left" w:pos="709" w:leader="none"/>
        </w:tabs>
        <w:bidi w:val="0"/>
        <w:ind w:hanging="283" w:start="709"/>
        <w:jc w:val="start"/>
        <w:rPr/>
      </w:pPr>
      <w:r>
        <w:rPr>
          <w:b/>
        </w:rPr>
        <w:t>Compliance Cost:</w:t>
      </w:r>
      <w:r>
        <w:rPr/>
        <w:t xml:space="preserve"> Without an integrated internal emission tracking system, the company resorts to third-party environmental consultants for manual audits costing IDR 150–250 million/year.</w:t>
      </w:r>
    </w:p>
    <w:p>
      <w:pPr>
        <w:pStyle w:val="BodyText"/>
        <w:numPr>
          <w:ilvl w:val="0"/>
          <w:numId w:val="2"/>
        </w:numPr>
        <w:tabs>
          <w:tab w:val="clear" w:pos="709"/>
          <w:tab w:val="left" w:pos="709" w:leader="none"/>
        </w:tabs>
        <w:bidi w:val="0"/>
        <w:ind w:hanging="283" w:start="709"/>
        <w:jc w:val="start"/>
        <w:rPr/>
      </w:pPr>
      <w:r>
        <w:rPr>
          <w:b/>
        </w:rPr>
        <w:t>Margin Compression:</w:t>
      </w:r>
      <w:r>
        <w:rPr/>
        <w:t xml:space="preserve"> With net margins of only 8–10%, audit costs consume up to 14% of annual net profit—a structural failure for Tier-2/3 manufacturers.</w:t>
      </w:r>
    </w:p>
    <w:p>
      <w:pPr>
        <w:pStyle w:val="BodyText"/>
        <w:bidi w:val="0"/>
        <w:jc w:val="start"/>
        <w:rPr/>
      </w:pPr>
      <w:r>
        <w:rPr/>
        <w:t>This cost profile explains why neither global enterprise platforms nor local domestic tools have adequately served the Tier-2/3 export segment—a gap the following competitor analysis maps in detail.</w:t>
      </w:r>
    </w:p>
    <w:p>
      <w:pPr>
        <w:pStyle w:val="Heading3"/>
        <w:bidi w:val="0"/>
        <w:ind w:hanging="0" w:start="0"/>
        <w:jc w:val="start"/>
        <w:rPr/>
      </w:pPr>
      <w:r>
        <w:rPr/>
        <w:t>2.4 Competitor Analysis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Dimension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Global Players (Persefoni, Watershed)</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Local Aggregators (Jejak.in, Fairatmos)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Emitra</w:t>
            </w:r>
          </w:p>
        </w:tc>
      </w:tr>
      <w:tr>
        <w:trPr/>
        <w:tc>
          <w:tcPr>
            <w:tcW w:w="2409" w:type="dxa"/>
            <w:tcBorders>
              <w:start w:val="single" w:sz="4" w:space="0" w:color="000000"/>
              <w:bottom w:val="single" w:sz="4" w:space="0" w:color="000000"/>
            </w:tcBorders>
          </w:tcPr>
          <w:p>
            <w:pPr>
              <w:pStyle w:val="TableContents"/>
              <w:bidi w:val="0"/>
              <w:jc w:val="start"/>
              <w:rPr/>
            </w:pPr>
            <w:r>
              <w:rPr>
                <w:b/>
              </w:rPr>
              <w:t>Target &amp; Pricing</w:t>
            </w:r>
          </w:p>
        </w:tc>
        <w:tc>
          <w:tcPr>
            <w:tcW w:w="2410" w:type="dxa"/>
            <w:tcBorders>
              <w:start w:val="single" w:sz="4" w:space="0" w:color="000000"/>
              <w:bottom w:val="single" w:sz="4" w:space="0" w:color="000000"/>
            </w:tcBorders>
          </w:tcPr>
          <w:p>
            <w:pPr>
              <w:pStyle w:val="TableContents"/>
              <w:bidi w:val="0"/>
              <w:jc w:val="start"/>
              <w:rPr/>
            </w:pPr>
            <w:r>
              <w:rPr/>
              <w:t>Fortune 500; USD 15,000–80,000/year</w:t>
            </w:r>
          </w:p>
        </w:tc>
        <w:tc>
          <w:tcPr>
            <w:tcW w:w="2409" w:type="dxa"/>
            <w:tcBorders>
              <w:start w:val="single" w:sz="4" w:space="0" w:color="000000"/>
              <w:bottom w:val="single" w:sz="4" w:space="0" w:color="000000"/>
            </w:tcBorders>
          </w:tcPr>
          <w:p>
            <w:pPr>
              <w:pStyle w:val="TableContents"/>
              <w:bidi w:val="0"/>
              <w:jc w:val="start"/>
              <w:rPr/>
            </w:pPr>
            <w:r>
              <w:rPr/>
              <w:t>Domestic corporates; carbon offset commission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Tier-2/3 Exporters; Setup IDR 30–50M + Annual IDR 50–80M</w:t>
            </w:r>
          </w:p>
        </w:tc>
      </w:tr>
      <w:tr>
        <w:trPr/>
        <w:tc>
          <w:tcPr>
            <w:tcW w:w="2409" w:type="dxa"/>
            <w:tcBorders>
              <w:start w:val="single" w:sz="4" w:space="0" w:color="000000"/>
              <w:bottom w:val="single" w:sz="4" w:space="0" w:color="000000"/>
            </w:tcBorders>
          </w:tcPr>
          <w:p>
            <w:pPr>
              <w:pStyle w:val="TableContents"/>
              <w:bidi w:val="0"/>
              <w:jc w:val="start"/>
              <w:rPr/>
            </w:pPr>
            <w:r>
              <w:rPr>
                <w:b/>
              </w:rPr>
              <w:t>Solution Focus</w:t>
            </w:r>
          </w:p>
        </w:tc>
        <w:tc>
          <w:tcPr>
            <w:tcW w:w="2410" w:type="dxa"/>
            <w:tcBorders>
              <w:start w:val="single" w:sz="4" w:space="0" w:color="000000"/>
              <w:bottom w:val="single" w:sz="4" w:space="0" w:color="000000"/>
            </w:tcBorders>
          </w:tcPr>
          <w:p>
            <w:pPr>
              <w:pStyle w:val="TableContents"/>
              <w:bidi w:val="0"/>
              <w:jc w:val="start"/>
              <w:rPr/>
            </w:pPr>
            <w:r>
              <w:rPr/>
              <w:t>Generic corporate ESG (Scope 1, 2, 3 macro)</w:t>
            </w:r>
          </w:p>
        </w:tc>
        <w:tc>
          <w:tcPr>
            <w:tcW w:w="2409" w:type="dxa"/>
            <w:tcBorders>
              <w:start w:val="single" w:sz="4" w:space="0" w:color="000000"/>
              <w:bottom w:val="single" w:sz="4" w:space="0" w:color="000000"/>
            </w:tcBorders>
          </w:tcPr>
          <w:p>
            <w:pPr>
              <w:pStyle w:val="TableContents"/>
              <w:bidi w:val="0"/>
              <w:jc w:val="start"/>
              <w:rPr/>
            </w:pPr>
            <w:r>
              <w:rPr/>
              <w:t>Voluntary carbon market &amp; reforestation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CBAM Trade Intelligence &amp; International Compliance</w:t>
            </w:r>
          </w:p>
        </w:tc>
      </w:tr>
      <w:tr>
        <w:trPr/>
        <w:tc>
          <w:tcPr>
            <w:tcW w:w="2409" w:type="dxa"/>
            <w:tcBorders>
              <w:start w:val="single" w:sz="4" w:space="0" w:color="000000"/>
              <w:bottom w:val="single" w:sz="4" w:space="0" w:color="000000"/>
            </w:tcBorders>
          </w:tcPr>
          <w:p>
            <w:pPr>
              <w:pStyle w:val="TableContents"/>
              <w:bidi w:val="0"/>
              <w:jc w:val="start"/>
              <w:rPr/>
            </w:pPr>
            <w:r>
              <w:rPr>
                <w:b/>
              </w:rPr>
              <w:t>Technical Output</w:t>
            </w:r>
          </w:p>
        </w:tc>
        <w:tc>
          <w:tcPr>
            <w:tcW w:w="2410" w:type="dxa"/>
            <w:tcBorders>
              <w:start w:val="single" w:sz="4" w:space="0" w:color="000000"/>
              <w:bottom w:val="single" w:sz="4" w:space="0" w:color="000000"/>
            </w:tcBorders>
          </w:tcPr>
          <w:p>
            <w:pPr>
              <w:pStyle w:val="TableContents"/>
              <w:bidi w:val="0"/>
              <w:jc w:val="start"/>
              <w:rPr/>
            </w:pPr>
            <w:r>
              <w:rPr/>
              <w:t>Global sustainability reports (GRI, SASB)</w:t>
            </w:r>
          </w:p>
        </w:tc>
        <w:tc>
          <w:tcPr>
            <w:tcW w:w="2409" w:type="dxa"/>
            <w:tcBorders>
              <w:start w:val="single" w:sz="4" w:space="0" w:color="000000"/>
              <w:bottom w:val="single" w:sz="4" w:space="0" w:color="000000"/>
            </w:tcBorders>
          </w:tcPr>
          <w:p>
            <w:pPr>
              <w:pStyle w:val="TableContents"/>
              <w:bidi w:val="0"/>
              <w:jc w:val="start"/>
              <w:rPr/>
            </w:pPr>
            <w:r>
              <w:rPr/>
              <w:t>Local carbon absorption certificates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XML forms for EU CBAM Transitional Registry</w:t>
            </w:r>
          </w:p>
        </w:tc>
      </w:tr>
      <w:tr>
        <w:trPr/>
        <w:tc>
          <w:tcPr>
            <w:tcW w:w="2409" w:type="dxa"/>
            <w:tcBorders>
              <w:start w:val="single" w:sz="4" w:space="0" w:color="000000"/>
              <w:bottom w:val="single" w:sz="4" w:space="0" w:color="000000"/>
            </w:tcBorders>
          </w:tcPr>
          <w:p>
            <w:pPr>
              <w:pStyle w:val="TableContents"/>
              <w:bidi w:val="0"/>
              <w:jc w:val="start"/>
              <w:rPr/>
            </w:pPr>
            <w:r>
              <w:rPr>
                <w:b/>
              </w:rPr>
              <w:t>Data Ingestion</w:t>
            </w:r>
          </w:p>
        </w:tc>
        <w:tc>
          <w:tcPr>
            <w:tcW w:w="2410" w:type="dxa"/>
            <w:tcBorders>
              <w:start w:val="single" w:sz="4" w:space="0" w:color="000000"/>
              <w:bottom w:val="single" w:sz="4" w:space="0" w:color="000000"/>
            </w:tcBorders>
          </w:tcPr>
          <w:p>
            <w:pPr>
              <w:pStyle w:val="TableContents"/>
              <w:bidi w:val="0"/>
              <w:jc w:val="start"/>
              <w:rPr/>
            </w:pPr>
            <w:r>
              <w:rPr/>
              <w:t>Assumes mature enterprise ERP (SAP, Oracle)</w:t>
            </w:r>
          </w:p>
        </w:tc>
        <w:tc>
          <w:tcPr>
            <w:tcW w:w="2409" w:type="dxa"/>
            <w:tcBorders>
              <w:start w:val="single" w:sz="4" w:space="0" w:color="000000"/>
              <w:bottom w:val="single" w:sz="4" w:space="0" w:color="000000"/>
            </w:tcBorders>
          </w:tcPr>
          <w:p>
            <w:pPr>
              <w:pStyle w:val="TableContents"/>
              <w:bidi w:val="0"/>
              <w:jc w:val="start"/>
              <w:rPr/>
            </w:pPr>
            <w:r>
              <w:rPr/>
              <w:t>Manual web forms and spreadsheets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AI-driven ingestion of fragmented field logistics documents</w:t>
            </w:r>
          </w:p>
        </w:tc>
      </w:tr>
    </w:tbl>
    <w:p>
      <w:pPr>
        <w:pStyle w:val="BodyText"/>
        <w:bidi w:val="0"/>
        <w:jc w:val="start"/>
        <w:rPr/>
      </w:pPr>
      <w:r>
        <w:rPr/>
      </w:r>
    </w:p>
    <w:p>
      <w:pPr>
        <w:pStyle w:val="BodyText"/>
        <w:bidi w:val="0"/>
        <w:jc w:val="start"/>
        <w:rPr/>
      </w:pPr>
      <w:r>
        <w:rPr/>
        <w:t>This competitive landscape defines the strategic strengths Emitra must leverage and the vulnerabilities it must address—both synthesized in the SWOT analysis below.</w:t>
      </w:r>
    </w:p>
    <w:p>
      <w:pPr>
        <w:pStyle w:val="Heading3"/>
        <w:bidi w:val="0"/>
        <w:ind w:hanging="0" w:start="0"/>
        <w:jc w:val="start"/>
        <w:rPr/>
      </w:pPr>
      <w:r>
        <w:rPr/>
        <w:t>2.5 SWOT Analysis</w:t>
      </w:r>
    </w:p>
    <w:p>
      <w:pPr>
        <w:pStyle w:val="BodyText"/>
        <w:bidi w:val="0"/>
        <w:jc w:val="start"/>
        <w:rPr/>
      </w:pPr>
      <w:r>
        <w:rPr>
          <w:b/>
        </w:rPr>
        <w:t>Strengths:</w:t>
      </w:r>
    </w:p>
    <w:p>
      <w:pPr>
        <w:pStyle w:val="BodyText"/>
        <w:numPr>
          <w:ilvl w:val="0"/>
          <w:numId w:val="3"/>
        </w:numPr>
        <w:tabs>
          <w:tab w:val="clear" w:pos="709"/>
          <w:tab w:val="left" w:pos="709" w:leader="none"/>
        </w:tabs>
        <w:bidi w:val="0"/>
        <w:ind w:hanging="283" w:start="709"/>
        <w:jc w:val="start"/>
        <w:rPr/>
      </w:pPr>
      <w:r>
        <w:rPr/>
        <w:t>Competitive local pricing (up to 50% savings vs. manual consultants in Year 1, up to 70% in Year 2).</w:t>
      </w:r>
    </w:p>
    <w:p>
      <w:pPr>
        <w:pStyle w:val="BodyText"/>
        <w:numPr>
          <w:ilvl w:val="0"/>
          <w:numId w:val="3"/>
        </w:numPr>
        <w:tabs>
          <w:tab w:val="clear" w:pos="709"/>
          <w:tab w:val="left" w:pos="709" w:leader="none"/>
        </w:tabs>
        <w:bidi w:val="0"/>
        <w:ind w:hanging="283" w:start="709"/>
        <w:jc w:val="start"/>
        <w:rPr/>
      </w:pPr>
      <w:r>
        <w:rPr/>
        <w:t>AI-powered extraction of unstructured logistics documents.</w:t>
      </w:r>
    </w:p>
    <w:p>
      <w:pPr>
        <w:pStyle w:val="BodyText"/>
        <w:numPr>
          <w:ilvl w:val="0"/>
          <w:numId w:val="3"/>
        </w:numPr>
        <w:tabs>
          <w:tab w:val="clear" w:pos="709"/>
          <w:tab w:val="left" w:pos="709" w:leader="none"/>
        </w:tabs>
        <w:bidi w:val="0"/>
        <w:ind w:hanging="283" w:start="709"/>
        <w:jc w:val="start"/>
        <w:rPr/>
      </w:pPr>
      <w:r>
        <w:rPr/>
        <w:t>Dual-compliance output (EU CBAM + domestic SKK/IDXCarbon).</w:t>
      </w:r>
    </w:p>
    <w:p>
      <w:pPr>
        <w:pStyle w:val="BodyText"/>
        <w:bidi w:val="0"/>
        <w:jc w:val="start"/>
        <w:rPr/>
      </w:pPr>
      <w:r>
        <w:rPr>
          <w:b/>
        </w:rPr>
        <w:t>Weaknesses:</w:t>
      </w:r>
    </w:p>
    <w:p>
      <w:pPr>
        <w:pStyle w:val="BodyText"/>
        <w:numPr>
          <w:ilvl w:val="0"/>
          <w:numId w:val="4"/>
        </w:numPr>
        <w:tabs>
          <w:tab w:val="clear" w:pos="709"/>
          <w:tab w:val="left" w:pos="709" w:leader="none"/>
        </w:tabs>
        <w:bidi w:val="0"/>
        <w:ind w:hanging="283" w:start="709"/>
        <w:jc w:val="start"/>
        <w:rPr/>
      </w:pPr>
      <w:r>
        <w:rPr/>
        <w:t>MVP requires intensive field validation across heavy industry clusters.</w:t>
      </w:r>
    </w:p>
    <w:p>
      <w:pPr>
        <w:pStyle w:val="BodyText"/>
        <w:numPr>
          <w:ilvl w:val="0"/>
          <w:numId w:val="4"/>
        </w:numPr>
        <w:tabs>
          <w:tab w:val="clear" w:pos="709"/>
          <w:tab w:val="left" w:pos="709" w:leader="none"/>
        </w:tabs>
        <w:bidi w:val="0"/>
        <w:ind w:hanging="283" w:start="709"/>
        <w:jc w:val="start"/>
        <w:rPr/>
      </w:pPr>
      <w:r>
        <w:rPr/>
        <w:t>ISO/IEC 27001 certification is pending (targeted Year 2).</w:t>
      </w:r>
    </w:p>
    <w:p>
      <w:pPr>
        <w:pStyle w:val="BodyText"/>
        <w:bidi w:val="0"/>
        <w:jc w:val="start"/>
        <w:rPr/>
      </w:pPr>
      <w:r>
        <w:rPr>
          <w:b/>
        </w:rPr>
        <w:t>Opportunities:</w:t>
      </w:r>
    </w:p>
    <w:p>
      <w:pPr>
        <w:pStyle w:val="BodyText"/>
        <w:numPr>
          <w:ilvl w:val="0"/>
          <w:numId w:val="5"/>
        </w:numPr>
        <w:tabs>
          <w:tab w:val="clear" w:pos="709"/>
          <w:tab w:val="left" w:pos="709" w:leader="none"/>
        </w:tabs>
        <w:bidi w:val="0"/>
        <w:ind w:hanging="283" w:start="709"/>
        <w:jc w:val="start"/>
        <w:rPr/>
      </w:pPr>
      <w:r>
        <w:rPr/>
        <w:t>The February 2027 CBAM certificate deadline drives urgent demand.</w:t>
      </w:r>
    </w:p>
    <w:p>
      <w:pPr>
        <w:pStyle w:val="BodyText"/>
        <w:numPr>
          <w:ilvl w:val="0"/>
          <w:numId w:val="5"/>
        </w:numPr>
        <w:tabs>
          <w:tab w:val="clear" w:pos="709"/>
          <w:tab w:val="left" w:pos="709" w:leader="none"/>
        </w:tabs>
        <w:bidi w:val="0"/>
        <w:ind w:hanging="283" w:start="709"/>
        <w:jc w:val="start"/>
        <w:rPr/>
      </w:pPr>
      <w:r>
        <w:rPr/>
        <w:t>Green Financing trends in national banking require emission audits for credit access.</w:t>
      </w:r>
    </w:p>
    <w:p>
      <w:pPr>
        <w:pStyle w:val="BodyText"/>
        <w:bidi w:val="0"/>
        <w:jc w:val="start"/>
        <w:rPr/>
      </w:pPr>
      <w:r>
        <w:rPr>
          <w:b/>
        </w:rPr>
        <w:t>Threats:</w:t>
      </w:r>
    </w:p>
    <w:p>
      <w:pPr>
        <w:pStyle w:val="BodyText"/>
        <w:numPr>
          <w:ilvl w:val="0"/>
          <w:numId w:val="6"/>
        </w:numPr>
        <w:tabs>
          <w:tab w:val="clear" w:pos="709"/>
          <w:tab w:val="left" w:pos="709" w:leader="none"/>
        </w:tabs>
        <w:bidi w:val="0"/>
        <w:ind w:hanging="283" w:start="709"/>
        <w:jc w:val="start"/>
        <w:rPr/>
      </w:pPr>
      <w:r>
        <w:rPr/>
        <w:t>Aggressive predatory pricing from global competitors localizing in Southeast Asia.</w:t>
      </w:r>
    </w:p>
    <w:p>
      <w:pPr>
        <w:pStyle w:val="BodyText"/>
        <w:numPr>
          <w:ilvl w:val="0"/>
          <w:numId w:val="6"/>
        </w:numPr>
        <w:tabs>
          <w:tab w:val="clear" w:pos="709"/>
          <w:tab w:val="left" w:pos="709" w:leader="none"/>
        </w:tabs>
        <w:bidi w:val="0"/>
        <w:ind w:hanging="283" w:start="709"/>
        <w:jc w:val="start"/>
        <w:rPr/>
      </w:pPr>
      <w:r>
        <w:rPr/>
        <w:t>Sudden changes in EU emission calculation methodologies.</w:t>
      </w:r>
    </w:p>
    <w:p>
      <w:pPr>
        <w:pStyle w:val="BodyText"/>
        <w:bidi w:val="0"/>
        <w:jc w:val="start"/>
        <w:rPr/>
      </w:pPr>
      <w:r>
        <w:rPr/>
        <w:t>These market dynamics converge on a well-defined and quantifiable customer segment with immediate compliance needs, mapped in detail below.</w:t>
      </w:r>
    </w:p>
    <w:p>
      <w:pPr>
        <w:pStyle w:val="Heading3"/>
        <w:bidi w:val="0"/>
        <w:ind w:hanging="0" w:start="0"/>
        <w:jc w:val="start"/>
        <w:rPr/>
      </w:pPr>
      <w:r>
        <w:rPr/>
        <w:t>2.6 Target Market</w:t>
      </w:r>
    </w:p>
    <w:p>
      <w:pPr>
        <w:pStyle w:val="PreformattedText"/>
        <w:shd w:fill="E1E1E1" w:val="clear"/>
        <w:bidi w:val="0"/>
        <w:spacing w:before="0" w:after="283"/>
        <w:jc w:val="start"/>
        <w:rPr/>
      </w:pPr>
      <w:r>
        <w:rPr/>
        <w:t>+-------------------------------------------------------------------------+</w:t>
        <w:br/>
        <w:t>|                       MARKET SEGMENTATION FUNNEL                        |</w:t>
        <w:br/>
        <w:t>+-------------------------------------------------------------------------+</w:t>
        <w:br/>
        <w:t>| TAM: USD 1.2B (All heavy industrial exporters across Southeast Asia)    |</w:t>
        <w:br/>
        <w:t>|   └── SAM: 3,200 Entities (CBAM-exposed metal manufacturers in ID)     |</w:t>
        <w:br/>
        <w:t>|       └── SOM Year 3: 100 Client Sites (Tier-2/3 in Java Hubs)         |</w:t>
        <w:br/>
        <w:t>|           └── SOM Year 5: 320 Client Sites (Cumulative Regional ASEAN) |</w:t>
        <w:br/>
        <w:t>+-------------------------------------------------------------------------+</w:t>
      </w:r>
    </w:p>
    <w:p>
      <w:pPr>
        <w:pStyle w:val="BodyText"/>
        <w:bidi w:val="0"/>
        <w:jc w:val="start"/>
        <w:rPr/>
      </w:pPr>
      <w:r>
        <w:rPr/>
        <w:t xml:space="preserve">Initial operations target Tier-2/3 medium-scale manufacturers in three key Java industrial zones: Cikarang, Karawang, and Cilegon. Domestic target: </w:t>
      </w:r>
      <w:r>
        <w:rPr>
          <w:b/>
        </w:rPr>
        <w:t>100 companies by Year 3</w:t>
      </w:r>
      <w:r>
        <w:rPr/>
        <w:t xml:space="preserve">. Regional target: </w:t>
      </w:r>
      <w:r>
        <w:rPr>
          <w:b/>
        </w:rPr>
        <w:t>320 cumulative companies by Year 5</w:t>
      </w:r>
      <w:r>
        <w:rPr/>
        <w:t xml:space="preserve"> after ASEAN expansion. Capturing this customer base requires the organizational foundation described in the company profile below.</w:t>
      </w:r>
    </w:p>
    <w:p>
      <w:pPr>
        <w:pStyle w:val="HorizontalLine"/>
        <w:bidi w:val="0"/>
        <w:jc w:val="start"/>
        <w:rPr/>
      </w:pPr>
      <w:r>
        <w:rPr/>
      </w:r>
    </w:p>
    <w:p>
      <w:pPr>
        <w:pStyle w:val="Heading2"/>
        <w:bidi w:val="0"/>
        <w:ind w:hanging="0" w:start="0"/>
        <w:jc w:val="start"/>
        <w:rPr/>
      </w:pPr>
      <w:r>
        <w:rPr/>
        <w:t>3. COMPANY PROFILE</w:t>
      </w:r>
    </w:p>
    <w:p>
      <w:pPr>
        <w:pStyle w:val="Heading3"/>
        <w:bidi w:val="0"/>
        <w:ind w:hanging="0" w:start="0"/>
        <w:jc w:val="start"/>
        <w:rPr/>
      </w:pPr>
      <w:r>
        <w:rPr/>
        <w:t>3.1 Business Overview</w:t>
      </w:r>
    </w:p>
    <w:p>
      <w:pPr>
        <w:pStyle w:val="BodyText"/>
        <w:bidi w:val="0"/>
        <w:jc w:val="start"/>
        <w:rPr/>
      </w:pPr>
      <w:r>
        <w:rPr/>
        <w:t>Founded to address Indonesia's CBAM compliance gap, Emitra is a purpose-built SaaS platform that helps exporters navigate increasing international environmental regulations. Initially focused on iron, steel, and aluminum exporters, Emitra plans to expand toward broader ESG reporting and sustainable finance solutions across Southeast Asia.</w:t>
      </w:r>
    </w:p>
    <w:p>
      <w:pPr>
        <w:pStyle w:val="Heading3"/>
        <w:bidi w:val="0"/>
        <w:ind w:hanging="0" w:start="0"/>
        <w:jc w:val="start"/>
        <w:rPr/>
      </w:pPr>
      <w:r>
        <w:rPr/>
        <w:t>3.2 Vision and Mission</w:t>
      </w:r>
    </w:p>
    <w:p>
      <w:pPr>
        <w:pStyle w:val="BodyText"/>
        <w:bidi w:val="0"/>
        <w:jc w:val="start"/>
        <w:rPr/>
      </w:pPr>
      <w:r>
        <w:rPr>
          <w:b/>
        </w:rPr>
        <w:t>Vision:</w:t>
      </w:r>
      <w:r>
        <w:rPr/>
        <w:t xml:space="preserve"> To become Southeast Asia's leading AI-powered carbon compliance platform, empowering exporters to compete globally through transparent, efficient, and sustainable trade.</w:t>
      </w:r>
    </w:p>
    <w:p>
      <w:pPr>
        <w:pStyle w:val="BodyText"/>
        <w:bidi w:val="0"/>
        <w:jc w:val="start"/>
        <w:rPr/>
      </w:pPr>
      <w:r>
        <w:rPr>
          <w:b/>
        </w:rPr>
        <w:t>Mission:</w:t>
      </w:r>
    </w:p>
    <w:p>
      <w:pPr>
        <w:pStyle w:val="BodyText"/>
        <w:numPr>
          <w:ilvl w:val="0"/>
          <w:numId w:val="7"/>
        </w:numPr>
        <w:tabs>
          <w:tab w:val="clear" w:pos="709"/>
          <w:tab w:val="left" w:pos="709" w:leader="none"/>
        </w:tabs>
        <w:bidi w:val="0"/>
        <w:ind w:hanging="283" w:start="709"/>
        <w:jc w:val="start"/>
        <w:rPr/>
      </w:pPr>
      <w:r>
        <w:rPr/>
        <w:t>Simplify international carbon compliance through intelligent automation.</w:t>
      </w:r>
    </w:p>
    <w:p>
      <w:pPr>
        <w:pStyle w:val="BodyText"/>
        <w:numPr>
          <w:ilvl w:val="0"/>
          <w:numId w:val="7"/>
        </w:numPr>
        <w:tabs>
          <w:tab w:val="clear" w:pos="709"/>
          <w:tab w:val="left" w:pos="709" w:leader="none"/>
        </w:tabs>
        <w:bidi w:val="0"/>
        <w:ind w:hanging="283" w:start="709"/>
        <w:jc w:val="start"/>
        <w:rPr/>
      </w:pPr>
      <w:r>
        <w:rPr/>
        <w:t>Provide affordable carbon accounting for SMEs.</w:t>
      </w:r>
    </w:p>
    <w:p>
      <w:pPr>
        <w:pStyle w:val="BodyText"/>
        <w:numPr>
          <w:ilvl w:val="0"/>
          <w:numId w:val="7"/>
        </w:numPr>
        <w:tabs>
          <w:tab w:val="clear" w:pos="709"/>
          <w:tab w:val="left" w:pos="709" w:leader="none"/>
        </w:tabs>
        <w:bidi w:val="0"/>
        <w:ind w:hanging="283" w:start="709"/>
        <w:jc w:val="start"/>
        <w:rPr/>
      </w:pPr>
      <w:r>
        <w:rPr/>
        <w:t>Enable transparent environmental reporting for sustainable industrial transformation.</w:t>
      </w:r>
    </w:p>
    <w:p>
      <w:pPr>
        <w:pStyle w:val="Heading3"/>
        <w:numPr>
          <w:ilvl w:val="0"/>
          <w:numId w:val="0"/>
        </w:numPr>
        <w:bidi w:val="0"/>
        <w:ind w:hanging="0" w:start="0"/>
        <w:jc w:val="start"/>
        <w:rPr/>
      </w:pPr>
      <w:r>
        <w:rPr/>
        <w:t>3.3 Management Team</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Role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Responsibilities</w:t>
            </w:r>
          </w:p>
        </w:tc>
      </w:tr>
      <w:tr>
        <w:trPr/>
        <w:tc>
          <w:tcPr>
            <w:tcW w:w="3212" w:type="dxa"/>
            <w:tcBorders>
              <w:start w:val="single" w:sz="4" w:space="0" w:color="000000"/>
              <w:bottom w:val="single" w:sz="4" w:space="0" w:color="000000"/>
            </w:tcBorders>
          </w:tcPr>
          <w:p>
            <w:pPr>
              <w:pStyle w:val="TableContents"/>
              <w:bidi w:val="0"/>
              <w:jc w:val="start"/>
              <w:rPr/>
            </w:pPr>
            <w:r>
              <w:rPr>
                <w:b/>
              </w:rPr>
              <w:t>CEO</w:t>
            </w:r>
          </w:p>
        </w:tc>
        <w:tc>
          <w:tcPr>
            <w:tcW w:w="3213" w:type="dxa"/>
            <w:tcBorders>
              <w:start w:val="single" w:sz="4" w:space="0" w:color="000000"/>
              <w:bottom w:val="single" w:sz="4" w:space="0" w:color="000000"/>
            </w:tcBorders>
          </w:tcPr>
          <w:p>
            <w:pPr>
              <w:pStyle w:val="TableContents"/>
              <w:bidi w:val="0"/>
              <w:jc w:val="start"/>
              <w:rPr/>
            </w:pPr>
            <w:r>
              <w:rPr/>
              <w:t>Imeldya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Corporate strategy, business development, B2B/B2G partnerships</w:t>
            </w:r>
          </w:p>
        </w:tc>
      </w:tr>
      <w:tr>
        <w:trPr/>
        <w:tc>
          <w:tcPr>
            <w:tcW w:w="3212" w:type="dxa"/>
            <w:tcBorders>
              <w:start w:val="single" w:sz="4" w:space="0" w:color="000000"/>
              <w:bottom w:val="single" w:sz="4" w:space="0" w:color="000000"/>
            </w:tcBorders>
          </w:tcPr>
          <w:p>
            <w:pPr>
              <w:pStyle w:val="TableContents"/>
              <w:bidi w:val="0"/>
              <w:jc w:val="start"/>
              <w:rPr/>
            </w:pPr>
            <w:r>
              <w:rPr>
                <w:b/>
              </w:rPr>
              <w:t>CTO</w:t>
            </w:r>
          </w:p>
        </w:tc>
        <w:tc>
          <w:tcPr>
            <w:tcW w:w="3213" w:type="dxa"/>
            <w:tcBorders>
              <w:start w:val="single" w:sz="4" w:space="0" w:color="000000"/>
              <w:bottom w:val="single" w:sz="4" w:space="0" w:color="000000"/>
            </w:tcBorders>
          </w:tcPr>
          <w:p>
            <w:pPr>
              <w:pStyle w:val="TableContents"/>
              <w:bidi w:val="0"/>
              <w:jc w:val="start"/>
              <w:rPr/>
            </w:pPr>
            <w:r>
              <w:rPr/>
              <w:t>Dex Bennett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Software architecture, AI/ML development, cloud infrastructure</w:t>
            </w:r>
          </w:p>
        </w:tc>
      </w:tr>
      <w:tr>
        <w:trPr/>
        <w:tc>
          <w:tcPr>
            <w:tcW w:w="3212" w:type="dxa"/>
            <w:tcBorders>
              <w:start w:val="single" w:sz="4" w:space="0" w:color="000000"/>
              <w:bottom w:val="single" w:sz="4" w:space="0" w:color="000000"/>
            </w:tcBorders>
          </w:tcPr>
          <w:p>
            <w:pPr>
              <w:pStyle w:val="TableContents"/>
              <w:bidi w:val="0"/>
              <w:jc w:val="start"/>
              <w:rPr/>
            </w:pPr>
            <w:r>
              <w:rPr>
                <w:b/>
              </w:rPr>
              <w:t>CFO</w:t>
            </w:r>
          </w:p>
        </w:tc>
        <w:tc>
          <w:tcPr>
            <w:tcW w:w="3213" w:type="dxa"/>
            <w:tcBorders>
              <w:start w:val="single" w:sz="4" w:space="0" w:color="000000"/>
              <w:bottom w:val="single" w:sz="4" w:space="0" w:color="000000"/>
            </w:tcBorders>
          </w:tcPr>
          <w:p>
            <w:pPr>
              <w:pStyle w:val="TableContents"/>
              <w:bidi w:val="0"/>
              <w:jc w:val="start"/>
              <w:rPr/>
            </w:pPr>
            <w:r>
              <w:rPr/>
              <w:t>Adriel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Financial planning, pricing models, revenue management</w:t>
            </w:r>
          </w:p>
        </w:tc>
      </w:tr>
      <w:tr>
        <w:trPr/>
        <w:tc>
          <w:tcPr>
            <w:tcW w:w="3212" w:type="dxa"/>
            <w:tcBorders>
              <w:start w:val="single" w:sz="4" w:space="0" w:color="000000"/>
              <w:bottom w:val="single" w:sz="4" w:space="0" w:color="000000"/>
            </w:tcBorders>
          </w:tcPr>
          <w:p>
            <w:pPr>
              <w:pStyle w:val="TableContents"/>
              <w:bidi w:val="0"/>
              <w:jc w:val="start"/>
              <w:rPr/>
            </w:pPr>
            <w:r>
              <w:rPr>
                <w:b/>
              </w:rPr>
              <w:t>CMO</w:t>
            </w:r>
          </w:p>
        </w:tc>
        <w:tc>
          <w:tcPr>
            <w:tcW w:w="3213" w:type="dxa"/>
            <w:tcBorders>
              <w:start w:val="single" w:sz="4" w:space="0" w:color="000000"/>
              <w:bottom w:val="single" w:sz="4" w:space="0" w:color="000000"/>
            </w:tcBorders>
          </w:tcPr>
          <w:p>
            <w:pPr>
              <w:pStyle w:val="TableContents"/>
              <w:bidi w:val="0"/>
              <w:jc w:val="start"/>
              <w:rPr/>
            </w:pPr>
            <w:r>
              <w:rPr/>
              <w:t>Keren Tiara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Market research, branding, customer acquisition, go-to-market</w:t>
            </w:r>
          </w:p>
        </w:tc>
      </w:tr>
    </w:tbl>
    <w:p>
      <w:pPr>
        <w:pStyle w:val="BodyText"/>
        <w:bidi w:val="0"/>
        <w:jc w:val="start"/>
        <w:rPr/>
      </w:pPr>
      <w:r>
        <w:rPr/>
      </w:r>
    </w:p>
    <w:p>
      <w:pPr>
        <w:pStyle w:val="Heading3"/>
        <w:bidi w:val="0"/>
        <w:ind w:hanging="0" w:start="0"/>
        <w:jc w:val="start"/>
        <w:rPr/>
      </w:pPr>
      <w:r>
        <w:rPr/>
        <w:t>3.4 Legal Structure &amp; Location</w:t>
      </w:r>
    </w:p>
    <w:p>
      <w:pPr>
        <w:pStyle w:val="BodyText"/>
        <w:bidi w:val="0"/>
        <w:jc w:val="start"/>
        <w:rPr/>
      </w:pPr>
      <w:r>
        <w:rPr/>
        <w:t xml:space="preserve">Emitra will operate as a </w:t>
      </w:r>
      <w:r>
        <w:rPr>
          <w:b/>
        </w:rPr>
        <w:t>Perseroan Terbatas (PT)</w:t>
      </w:r>
      <w:r>
        <w:rPr/>
        <w:t xml:space="preserve"> under Indonesian law, headquartered in </w:t>
      </w:r>
      <w:r>
        <w:rPr>
          <w:b/>
        </w:rPr>
        <w:t>Yogyakarta, Indonesia</w:t>
      </w:r>
      <w:r>
        <w:rPr/>
        <w:t>. R&amp;D is centralized in Yogyakarta for talent access and cost efficiency, while sales and onboarding activities are deployed near industrial clusters (Cikarang, Karawang, Cilegon). This organizational structure is activated through the go-to-market strategy outlined in the following section.</w:t>
      </w:r>
    </w:p>
    <w:p>
      <w:pPr>
        <w:pStyle w:val="HorizontalLine"/>
        <w:bidi w:val="0"/>
        <w:jc w:val="start"/>
        <w:rPr/>
      </w:pPr>
      <w:r>
        <w:rPr/>
      </w:r>
    </w:p>
    <w:p>
      <w:pPr>
        <w:pStyle w:val="Heading2"/>
        <w:bidi w:val="0"/>
        <w:ind w:hanging="0" w:start="0"/>
        <w:jc w:val="start"/>
        <w:rPr/>
      </w:pPr>
      <w:r>
        <w:rPr/>
        <w:t>4. MARKETING STRATEGY</w:t>
      </w:r>
    </w:p>
    <w:p>
      <w:pPr>
        <w:pStyle w:val="Heading3"/>
        <w:bidi w:val="0"/>
        <w:ind w:hanging="0" w:start="0"/>
        <w:jc w:val="start"/>
        <w:rPr/>
      </w:pPr>
      <w:r>
        <w:rPr/>
        <w:t>4.1 Positioning</w:t>
      </w:r>
    </w:p>
    <w:p>
      <w:pPr>
        <w:pStyle w:val="BodyText"/>
        <w:bidi w:val="0"/>
        <w:jc w:val="start"/>
        <w:rPr/>
      </w:pPr>
      <w:r>
        <w:rPr/>
        <w:t xml:space="preserve">Emitra positions itself as </w:t>
      </w:r>
      <w:r>
        <w:rPr>
          <w:b/>
        </w:rPr>
        <w:t>"export continuity insurance"</w:t>
      </w:r>
      <w:r>
        <w:rPr/>
        <w:t xml:space="preserve">—not just a reporting tool. Core message: </w:t>
      </w:r>
      <w:r>
        <w:rPr>
          <w:i/>
        </w:rPr>
        <w:t>Without verified emission data, your products will lose competitiveness in the European market. Emitra ensures you can keep exporting at affordable compliance costs.</w:t>
      </w:r>
    </w:p>
    <w:p>
      <w:pPr>
        <w:pStyle w:val="BodyText"/>
        <w:bidi w:val="0"/>
        <w:jc w:val="start"/>
        <w:rPr/>
      </w:pPr>
      <w:r>
        <w:rPr>
          <w:b/>
        </w:rPr>
        <w:t>Key Messaging Pillars:</w:t>
      </w:r>
    </w:p>
    <w:p>
      <w:pPr>
        <w:pStyle w:val="BodyText"/>
        <w:numPr>
          <w:ilvl w:val="0"/>
          <w:numId w:val="8"/>
        </w:numPr>
        <w:tabs>
          <w:tab w:val="clear" w:pos="709"/>
          <w:tab w:val="left" w:pos="709" w:leader="none"/>
        </w:tabs>
        <w:bidi w:val="0"/>
        <w:ind w:hanging="283" w:start="709"/>
        <w:jc w:val="start"/>
        <w:rPr/>
      </w:pPr>
      <w:r>
        <w:rPr>
          <w:b/>
        </w:rPr>
        <w:t>Cost Efficiency:</w:t>
      </w:r>
      <w:r>
        <w:rPr/>
        <w:t xml:space="preserve"> Save 40–50% vs. manual audit in Year 1; up to 70% in Year 2.</w:t>
      </w:r>
    </w:p>
    <w:p>
      <w:pPr>
        <w:pStyle w:val="BodyText"/>
        <w:numPr>
          <w:ilvl w:val="0"/>
          <w:numId w:val="8"/>
        </w:numPr>
        <w:tabs>
          <w:tab w:val="clear" w:pos="709"/>
          <w:tab w:val="left" w:pos="709" w:leader="none"/>
        </w:tabs>
        <w:bidi w:val="0"/>
        <w:ind w:hanging="283" w:start="709"/>
        <w:jc w:val="start"/>
        <w:rPr/>
      </w:pPr>
      <w:r>
        <w:rPr>
          <w:b/>
        </w:rPr>
        <w:t>Speed:</w:t>
      </w:r>
      <w:r>
        <w:rPr/>
        <w:t xml:space="preserve"> From raw documents to CBAM report in hours, not weeks.</w:t>
      </w:r>
    </w:p>
    <w:p>
      <w:pPr>
        <w:pStyle w:val="BodyText"/>
        <w:numPr>
          <w:ilvl w:val="0"/>
          <w:numId w:val="8"/>
        </w:numPr>
        <w:tabs>
          <w:tab w:val="clear" w:pos="709"/>
          <w:tab w:val="left" w:pos="709" w:leader="none"/>
        </w:tabs>
        <w:bidi w:val="0"/>
        <w:ind w:hanging="283" w:start="709"/>
        <w:jc w:val="start"/>
        <w:rPr/>
      </w:pPr>
      <w:r>
        <w:rPr>
          <w:b/>
        </w:rPr>
        <w:t>Auditability:</w:t>
      </w:r>
      <w:r>
        <w:rPr/>
        <w:t xml:space="preserve"> Every number traceable to its source document.</w:t>
      </w:r>
    </w:p>
    <w:p>
      <w:pPr>
        <w:pStyle w:val="BodyText"/>
        <w:numPr>
          <w:ilvl w:val="0"/>
          <w:numId w:val="8"/>
        </w:numPr>
        <w:tabs>
          <w:tab w:val="clear" w:pos="709"/>
          <w:tab w:val="left" w:pos="709" w:leader="none"/>
        </w:tabs>
        <w:bidi w:val="0"/>
        <w:ind w:hanging="283" w:start="709"/>
        <w:jc w:val="start"/>
        <w:rPr/>
      </w:pPr>
      <w:r>
        <w:rPr>
          <w:b/>
        </w:rPr>
        <w:t>Dual Compliance:</w:t>
      </w:r>
      <w:r>
        <w:rPr/>
        <w:t xml:space="preserve"> CBAM (EU) + domestic regulations (POJK/IDXCarbon) simultaneously.</w:t>
      </w:r>
    </w:p>
    <w:p>
      <w:pPr>
        <w:pStyle w:val="BodyText"/>
        <w:bidi w:val="0"/>
        <w:jc w:val="start"/>
        <w:rPr/>
      </w:pPr>
      <w:r>
        <w:rPr/>
        <w:t>These positioning pillars are translated into concrete market entry actions through the phased go-to-market strategy below.</w:t>
      </w:r>
    </w:p>
    <w:p>
      <w:pPr>
        <w:pStyle w:val="Heading3"/>
        <w:bidi w:val="0"/>
        <w:ind w:hanging="0" w:start="0"/>
        <w:jc w:val="start"/>
        <w:rPr/>
      </w:pPr>
      <w:r>
        <w:rPr/>
        <w:t>4.2 Go-to-Market</w:t>
      </w:r>
    </w:p>
    <w:p>
      <w:pPr>
        <w:pStyle w:val="BodyText"/>
        <w:bidi w:val="0"/>
        <w:jc w:val="start"/>
        <w:rPr/>
      </w:pPr>
      <w:r>
        <w:rPr>
          <w:b/>
        </w:rPr>
        <w:t>Phase 1 (Year 1): Direct &amp; Partnership</w:t>
      </w:r>
    </w:p>
    <w:p>
      <w:pPr>
        <w:pStyle w:val="BodyText"/>
        <w:numPr>
          <w:ilvl w:val="0"/>
          <w:numId w:val="9"/>
        </w:numPr>
        <w:tabs>
          <w:tab w:val="clear" w:pos="709"/>
          <w:tab w:val="left" w:pos="709" w:leader="none"/>
        </w:tabs>
        <w:bidi w:val="0"/>
        <w:ind w:hanging="283" w:start="709"/>
        <w:jc w:val="start"/>
        <w:rPr/>
      </w:pPr>
      <w:r>
        <w:rPr/>
        <w:t>Industry association partnerships: IISIA, ALFI, KADIN.</w:t>
      </w:r>
    </w:p>
    <w:p>
      <w:pPr>
        <w:pStyle w:val="BodyText"/>
        <w:numPr>
          <w:ilvl w:val="0"/>
          <w:numId w:val="9"/>
        </w:numPr>
        <w:tabs>
          <w:tab w:val="clear" w:pos="709"/>
          <w:tab w:val="left" w:pos="709" w:leader="none"/>
        </w:tabs>
        <w:bidi w:val="0"/>
        <w:ind w:hanging="283" w:start="709"/>
        <w:jc w:val="start"/>
        <w:rPr/>
      </w:pPr>
      <w:r>
        <w:rPr/>
        <w:t>Direct sales to factory management in industrial estates.</w:t>
      </w:r>
    </w:p>
    <w:p>
      <w:pPr>
        <w:pStyle w:val="BodyText"/>
        <w:numPr>
          <w:ilvl w:val="0"/>
          <w:numId w:val="9"/>
        </w:numPr>
        <w:tabs>
          <w:tab w:val="clear" w:pos="709"/>
          <w:tab w:val="left" w:pos="709" w:leader="none"/>
        </w:tabs>
        <w:bidi w:val="0"/>
        <w:ind w:hanging="283" w:start="709"/>
        <w:jc w:val="start"/>
        <w:rPr/>
      </w:pPr>
      <w:r>
        <w:rPr/>
        <w:t>Free 3-month pilot program for first 5 companies.</w:t>
      </w:r>
    </w:p>
    <w:p>
      <w:pPr>
        <w:pStyle w:val="BodyText"/>
        <w:bidi w:val="0"/>
        <w:jc w:val="start"/>
        <w:rPr/>
      </w:pPr>
      <w:r>
        <w:rPr>
          <w:b/>
        </w:rPr>
        <w:t>Phase 2 (Year 2–3): Scale &amp; Inbound</w:t>
      </w:r>
    </w:p>
    <w:p>
      <w:pPr>
        <w:pStyle w:val="BodyText"/>
        <w:numPr>
          <w:ilvl w:val="0"/>
          <w:numId w:val="10"/>
        </w:numPr>
        <w:tabs>
          <w:tab w:val="clear" w:pos="709"/>
          <w:tab w:val="left" w:pos="709" w:leader="none"/>
        </w:tabs>
        <w:bidi w:val="0"/>
        <w:ind w:hanging="283" w:start="709"/>
        <w:jc w:val="start"/>
        <w:rPr/>
      </w:pPr>
      <w:r>
        <w:rPr/>
        <w:t>Inbound marketing: SEO, CBAM whitepapers, compliance case studies.</w:t>
      </w:r>
    </w:p>
    <w:p>
      <w:pPr>
        <w:pStyle w:val="BodyText"/>
        <w:numPr>
          <w:ilvl w:val="0"/>
          <w:numId w:val="10"/>
        </w:numPr>
        <w:tabs>
          <w:tab w:val="clear" w:pos="709"/>
          <w:tab w:val="left" w:pos="709" w:leader="none"/>
        </w:tabs>
        <w:bidi w:val="0"/>
        <w:ind w:hanging="283" w:start="709"/>
        <w:jc w:val="start"/>
        <w:rPr/>
      </w:pPr>
      <w:r>
        <w:rPr/>
        <w:t>Bank BUMN partnerships for Green Financing integration.</w:t>
      </w:r>
    </w:p>
    <w:p>
      <w:pPr>
        <w:pStyle w:val="BodyText"/>
        <w:numPr>
          <w:ilvl w:val="0"/>
          <w:numId w:val="10"/>
        </w:numPr>
        <w:tabs>
          <w:tab w:val="clear" w:pos="709"/>
          <w:tab w:val="left" w:pos="709" w:leader="none"/>
        </w:tabs>
        <w:bidi w:val="0"/>
        <w:ind w:hanging="283" w:start="709"/>
        <w:jc w:val="start"/>
        <w:rPr/>
      </w:pPr>
      <w:r>
        <w:rPr/>
        <w:t>Referral program from satisfied clients.</w:t>
      </w:r>
    </w:p>
    <w:p>
      <w:pPr>
        <w:pStyle w:val="BodyText"/>
        <w:bidi w:val="0"/>
        <w:jc w:val="start"/>
        <w:rPr/>
      </w:pPr>
      <w:r>
        <w:rPr/>
        <w:t>The effectiveness of this go-to-market approach depends on the platform's technical capability to deliver on its compliance promise—detailed in the following section.</w:t>
      </w:r>
    </w:p>
    <w:p>
      <w:pPr>
        <w:pStyle w:val="HorizontalLine"/>
        <w:bidi w:val="0"/>
        <w:jc w:val="start"/>
        <w:rPr/>
      </w:pPr>
      <w:r>
        <w:rPr/>
      </w:r>
    </w:p>
    <w:p>
      <w:pPr>
        <w:pStyle w:val="Heading2"/>
        <w:bidi w:val="0"/>
        <w:ind w:hanging="0" w:start="0"/>
        <w:jc w:val="start"/>
        <w:rPr/>
      </w:pPr>
      <w:r>
        <w:rPr/>
        <w:t>5. RECOMMENDED SOLUTION</w:t>
      </w:r>
    </w:p>
    <w:p>
      <w:pPr>
        <w:pStyle w:val="Heading3"/>
        <w:bidi w:val="0"/>
        <w:ind w:hanging="0" w:start="0"/>
        <w:jc w:val="start"/>
        <w:rPr/>
      </w:pPr>
      <w:r>
        <w:rPr/>
        <w:t>5.1 Solution Overview</w:t>
      </w:r>
    </w:p>
    <w:p>
      <w:pPr>
        <w:pStyle w:val="BodyText"/>
        <w:bidi w:val="0"/>
        <w:jc w:val="start"/>
        <w:rPr/>
      </w:pPr>
      <w:r>
        <w:rPr/>
        <w:t>The platform helps Indonesian exporters produce accurate, verified embedded emissions reports compliant with the EU CBAM declaration format. It is not a carbon tax payment tool—it is data infrastructure enabling exporters to provide verified emission evidence to their EU importers, helping them avoid the Commission's punitive default values.</w:t>
      </w:r>
    </w:p>
    <w:p>
      <w:pPr>
        <w:pStyle w:val="BodyText"/>
        <w:bidi w:val="0"/>
        <w:jc w:val="start"/>
        <w:rPr/>
      </w:pPr>
      <w:r>
        <w:rPr>
          <w:b/>
        </w:rPr>
        <w:t>Design Philosophy:</w:t>
      </w:r>
      <w:r>
        <w:rPr/>
        <w:t xml:space="preserve"> In compliance regulation, auditability matters more than algorithmic sophistication. The architecture combines AI/ML components for manual workload reduction (document extraction, anomaly detection) with a deterministic rule engine following official EU methodology—ensuring every output number can be traced, explained, and defended before external verifiers.</w:t>
      </w:r>
    </w:p>
    <w:p>
      <w:pPr>
        <w:pStyle w:val="Heading3"/>
        <w:bidi w:val="0"/>
        <w:ind w:hanging="0" w:start="0"/>
        <w:jc w:val="start"/>
        <w:rPr/>
      </w:pPr>
      <w:r>
        <w:rPr/>
        <w:t>5.2 System Architecture</w:t>
      </w:r>
    </w:p>
    <w:p>
      <w:pPr>
        <w:pStyle w:val="BodyText"/>
        <w:bidi w:val="0"/>
        <w:jc w:val="start"/>
        <w:rPr/>
      </w:pPr>
      <w:r>
        <w:rPr/>
        <w:t>Emitra's architecture consists of five sequential processing layers wrapped by a cross-cutting audit trail and security layer:</w:t>
      </w:r>
    </w:p>
    <w:p>
      <w:pPr>
        <w:pStyle w:val="PreformattedText"/>
        <w:shd w:fill="E1E1E1" w:val="clear"/>
        <w:bidi w:val="0"/>
        <w:spacing w:before="0" w:after="283"/>
        <w:jc w:val="start"/>
        <w:rPr/>
      </w:pPr>
      <w:r>
        <w:rPr/>
        <w:t>+----------------------------------------------------------------------------------+</w:t>
        <w:br/>
        <w:t>|                         EMITRA DATA PROCESSING LAYERS                            |</w:t>
        <w:br/>
        <w:t>+----------------------------------------------------------------------------------+</w:t>
        <w:br/>
        <w:t>| LAYER 1: INPUT DATA (PLN Bills, Fuel Invoices, Material Logs, Production Data)   |</w:t>
        <w:br/>
        <w:t>|                              │                                                   |</w:t>
        <w:br/>
        <w:t>|                              ▼                                                   |</w:t>
        <w:br/>
        <w:t>| LAYER 2: DOCUMENT AI ENGINE (LayoutLM OCR Extraction &amp; Digitization)             |</w:t>
        <w:br/>
        <w:t>|                              │                                                   |</w:t>
        <w:br/>
        <w:t>|                              ▼                                                   |</w:t>
        <w:br/>
        <w:t>| LAYER 3: VALIDATION &amp; ANOMALY DETECTOR (Statistical Outlier Analysis Queue)      |</w:t>
        <w:br/>
        <w:t>|                              │                                                   |</w:t>
        <w:br/>
        <w:t>|                              ▼                                                   |</w:t>
        <w:br/>
        <w:t>| LAYER 4: DETERMINISTIC COMPUTATION ENGINE (Official EU GHG Rule Application)     |</w:t>
        <w:br/>
        <w:t>|                              │                                                   |</w:t>
        <w:br/>
        <w:t>|                              ▼                                                   |</w:t>
        <w:br/>
        <w:t>| LAYER 5: CBAM XML GENERATOR (XSD Validation against EU Customs Registry)         |</w:t>
        <w:br/>
        <w:t>+----------------------------------------------------------------------------------+</w:t>
      </w:r>
    </w:p>
    <w:p>
      <w:pPr>
        <w:pStyle w:val="BodyText"/>
        <w:bidi w:val="0"/>
        <w:jc w:val="start"/>
        <w:rPr/>
      </w:pPr>
      <w:r>
        <w:rPr>
          <w:b/>
        </w:rPr>
        <w:t>Layer 1 — Input Data:</w:t>
      </w:r>
      <w:r>
        <w:rPr/>
        <w:t xml:space="preserve"> Accepts four raw document categories: electricity bills (Scope 2), fuel/BBM invoices (Scope 1), production data (export volumes), and bill of materials (raw material composition).</w:t>
      </w:r>
    </w:p>
    <w:p>
      <w:pPr>
        <w:pStyle w:val="BodyText"/>
        <w:bidi w:val="0"/>
        <w:jc w:val="start"/>
        <w:rPr/>
      </w:pPr>
      <w:r>
        <w:rPr>
          <w:b/>
        </w:rPr>
        <w:t>Layer 2 — OCR &amp; AI Extraction:</w:t>
      </w:r>
      <w:r>
        <w:rPr/>
        <w:t xml:space="preserve"> Processes documents (scanned PDFs or camera photos) into structured data using LayoutLM multimodal sequence model that evaluates both text positions and visual layouts simultaneously.</w:t>
      </w:r>
    </w:p>
    <w:p>
      <w:pPr>
        <w:pStyle w:val="BodyText"/>
        <w:bidi w:val="0"/>
        <w:jc w:val="start"/>
        <w:rPr/>
      </w:pPr>
      <w:r>
        <w:rPr>
          <w:b/>
        </w:rPr>
        <w:t>Layer 3 — Validation &amp; Normalization:</w:t>
      </w:r>
      <w:r>
        <w:rPr/>
        <w:t xml:space="preserve"> Unifies structured data from multiple sources into a consistent internal schema while running statistical anomaly detection using Isolation Forest algorithm.</w:t>
      </w:r>
    </w:p>
    <w:p>
      <w:pPr>
        <w:pStyle w:val="BodyText"/>
        <w:bidi w:val="0"/>
        <w:jc w:val="start"/>
        <w:rPr/>
      </w:pPr>
      <w:r>
        <w:rPr>
          <w:b/>
        </w:rPr>
        <w:t>Layer 4 — Emission Calculation Engine:</w:t>
      </w:r>
      <w:r>
        <w:rPr/>
        <w:t xml:space="preserve"> Deterministic engine applying official EU methodology for Scope 1 and Scope 2 embedded emissions:</w:t>
      </w:r>
    </w:p>
    <w:p>
      <w:pPr>
        <w:pStyle w:val="BodyText"/>
        <w:bidi w:val="0"/>
        <w:jc w:val="start"/>
        <w:rPr/>
      </w:pPr>
      <w:r>
        <w:rPr/>
        <w:t>$$E_{embedded} = \frac{DirEm + IndEm}{Prod_{Alg}}$$</w:t>
      </w:r>
    </w:p>
    <w:p>
      <w:pPr>
        <w:pStyle w:val="BodyText"/>
        <w:bidi w:val="0"/>
        <w:jc w:val="start"/>
        <w:rPr/>
      </w:pPr>
      <w:r>
        <w:rPr/>
        <w:t xml:space="preserve">Where </w:t>
      </w:r>
      <w:r>
        <w:rPr>
          <w:i/>
        </w:rPr>
        <w:t>DirEm</w:t>
      </w:r>
      <w:r>
        <w:rPr/>
        <w:t xml:space="preserve"> = Scope 1 direct emissions, </w:t>
      </w:r>
      <w:r>
        <w:rPr>
          <w:i/>
        </w:rPr>
        <w:t>IndEm</w:t>
      </w:r>
      <w:r>
        <w:rPr/>
        <w:t xml:space="preserve"> = Scope 2 indirect emissions, </w:t>
      </w:r>
      <w:r>
        <w:rPr>
          <w:i/>
        </w:rPr>
        <w:t>ProdAlg</w:t>
      </w:r>
      <w:r>
        <w:rPr/>
        <w:t xml:space="preserve"> = total metric tons of output material.</w:t>
      </w:r>
    </w:p>
    <w:p>
      <w:pPr>
        <w:pStyle w:val="BodyText"/>
        <w:bidi w:val="0"/>
        <w:jc w:val="start"/>
        <w:rPr/>
      </w:pPr>
      <w:r>
        <w:rPr>
          <w:b/>
        </w:rPr>
        <w:t>Layer 5 — CBAM XML Report Generator:</w:t>
      </w:r>
      <w:r>
        <w:rPr/>
        <w:t xml:space="preserve"> Converts calculation results into EU CBAM Registry-compatible declaration format with XSD schema validation before distribution.</w:t>
      </w:r>
    </w:p>
    <w:p>
      <w:pPr>
        <w:pStyle w:val="Heading3"/>
        <w:bidi w:val="0"/>
        <w:ind w:hanging="0" w:start="0"/>
        <w:jc w:val="start"/>
        <w:rPr/>
      </w:pPr>
      <w:r>
        <w:rPr/>
        <w:t>5.3 AI/ML Pipeline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Approach</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3212" w:type="dxa"/>
            <w:tcBorders>
              <w:start w:val="single" w:sz="4" w:space="0" w:color="000000"/>
              <w:bottom w:val="single" w:sz="4" w:space="0" w:color="000000"/>
            </w:tcBorders>
          </w:tcPr>
          <w:p>
            <w:pPr>
              <w:pStyle w:val="TableContents"/>
              <w:bidi w:val="0"/>
              <w:jc w:val="start"/>
              <w:rPr/>
            </w:pPr>
            <w:r>
              <w:rPr>
                <w:b/>
              </w:rPr>
              <w:t>OCR Document Parsing</w:t>
            </w:r>
          </w:p>
        </w:tc>
        <w:tc>
          <w:tcPr>
            <w:tcW w:w="3213" w:type="dxa"/>
            <w:tcBorders>
              <w:start w:val="single" w:sz="4" w:space="0" w:color="000000"/>
              <w:bottom w:val="single" w:sz="4" w:space="0" w:color="000000"/>
            </w:tcBorders>
          </w:tcPr>
          <w:p>
            <w:pPr>
              <w:pStyle w:val="TableContents"/>
              <w:bidi w:val="0"/>
              <w:jc w:val="start"/>
              <w:rPr/>
            </w:pPr>
            <w:r>
              <w:rPr/>
              <w:t>LayoutLM + character recognition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Extract values from varied invoice formats</w:t>
            </w:r>
          </w:p>
        </w:tc>
      </w:tr>
      <w:tr>
        <w:trPr/>
        <w:tc>
          <w:tcPr>
            <w:tcW w:w="3212" w:type="dxa"/>
            <w:tcBorders>
              <w:start w:val="single" w:sz="4" w:space="0" w:color="000000"/>
              <w:bottom w:val="single" w:sz="4" w:space="0" w:color="000000"/>
            </w:tcBorders>
          </w:tcPr>
          <w:p>
            <w:pPr>
              <w:pStyle w:val="TableContents"/>
              <w:bidi w:val="0"/>
              <w:jc w:val="start"/>
              <w:rPr/>
            </w:pPr>
            <w:r>
              <w:rPr>
                <w:b/>
              </w:rPr>
              <w:t>HS Code Auto-Classification</w:t>
            </w:r>
          </w:p>
        </w:tc>
        <w:tc>
          <w:tcPr>
            <w:tcW w:w="3213" w:type="dxa"/>
            <w:tcBorders>
              <w:start w:val="single" w:sz="4" w:space="0" w:color="000000"/>
              <w:bottom w:val="single" w:sz="4" w:space="0" w:color="000000"/>
            </w:tcBorders>
          </w:tcPr>
          <w:p>
            <w:pPr>
              <w:pStyle w:val="TableContents"/>
              <w:bidi w:val="0"/>
              <w:jc w:val="start"/>
              <w:rPr/>
            </w:pPr>
            <w:r>
              <w:rPr/>
              <w:t>Text classification model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Map products to CBAM-scope CN codes</w:t>
            </w:r>
          </w:p>
        </w:tc>
      </w:tr>
      <w:tr>
        <w:trPr/>
        <w:tc>
          <w:tcPr>
            <w:tcW w:w="3212" w:type="dxa"/>
            <w:tcBorders>
              <w:start w:val="single" w:sz="4" w:space="0" w:color="000000"/>
              <w:bottom w:val="single" w:sz="4" w:space="0" w:color="000000"/>
            </w:tcBorders>
          </w:tcPr>
          <w:p>
            <w:pPr>
              <w:pStyle w:val="TableContents"/>
              <w:bidi w:val="0"/>
              <w:jc w:val="start"/>
              <w:rPr/>
            </w:pPr>
            <w:r>
              <w:rPr>
                <w:b/>
              </w:rPr>
              <w:t>Emission Factor Auto-Mapping</w:t>
            </w:r>
          </w:p>
        </w:tc>
        <w:tc>
          <w:tcPr>
            <w:tcW w:w="3213" w:type="dxa"/>
            <w:tcBorders>
              <w:start w:val="single" w:sz="4" w:space="0" w:color="000000"/>
              <w:bottom w:val="single" w:sz="4" w:space="0" w:color="000000"/>
            </w:tcBorders>
          </w:tcPr>
          <w:p>
            <w:pPr>
              <w:pStyle w:val="TableContents"/>
              <w:bidi w:val="0"/>
              <w:jc w:val="start"/>
              <w:rPr/>
            </w:pPr>
            <w:r>
              <w:rPr/>
              <w:t>Deterministic lookup + light ML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Match energy/fuel activities to emission factors</w:t>
            </w:r>
          </w:p>
        </w:tc>
      </w:tr>
      <w:tr>
        <w:trPr/>
        <w:tc>
          <w:tcPr>
            <w:tcW w:w="3212" w:type="dxa"/>
            <w:tcBorders>
              <w:start w:val="single" w:sz="4" w:space="0" w:color="000000"/>
              <w:bottom w:val="single" w:sz="4" w:space="0" w:color="000000"/>
            </w:tcBorders>
          </w:tcPr>
          <w:p>
            <w:pPr>
              <w:pStyle w:val="TableContents"/>
              <w:bidi w:val="0"/>
              <w:jc w:val="start"/>
              <w:rPr/>
            </w:pPr>
            <w:r>
              <w:rPr>
                <w:b/>
              </w:rPr>
              <w:t>Anomaly Detection</w:t>
            </w:r>
          </w:p>
        </w:tc>
        <w:tc>
          <w:tcPr>
            <w:tcW w:w="3213" w:type="dxa"/>
            <w:tcBorders>
              <w:start w:val="single" w:sz="4" w:space="0" w:color="000000"/>
              <w:bottom w:val="single" w:sz="4" w:space="0" w:color="000000"/>
            </w:tcBorders>
          </w:tcPr>
          <w:p>
            <w:pPr>
              <w:pStyle w:val="TableContents"/>
              <w:bidi w:val="0"/>
              <w:jc w:val="start"/>
              <w:rPr/>
            </w:pPr>
            <w:r>
              <w:rPr/>
              <w:t>Isolation Forest / Z-score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Flag unusual consumption spikes for review</w:t>
            </w:r>
          </w:p>
        </w:tc>
      </w:tr>
    </w:tbl>
    <w:p>
      <w:pPr>
        <w:pStyle w:val="BodyText"/>
        <w:bidi w:val="0"/>
        <w:jc w:val="start"/>
        <w:rPr/>
      </w:pPr>
      <w:r>
        <w:rPr/>
      </w:r>
    </w:p>
    <w:p>
      <w:pPr>
        <w:pStyle w:val="BodyText"/>
        <w:bidi w:val="0"/>
        <w:jc w:val="start"/>
        <w:rPr/>
      </w:pPr>
      <w:r>
        <w:rPr>
          <w:b/>
        </w:rPr>
        <w:t>Architectural Principle:</w:t>
      </w:r>
      <w:r>
        <w:rPr/>
        <w:t xml:space="preserve"> The emission calculation engine is intentionally built as a deterministic rule engine—not end-to-end ML—because carbon compliance regulation requires manually traceable methodology, not probabilistic prediction.</w:t>
      </w:r>
    </w:p>
    <w:p>
      <w:pPr>
        <w:pStyle w:val="BodyText"/>
        <w:bidi w:val="0"/>
        <w:jc w:val="start"/>
        <w:rPr/>
      </w:pPr>
      <w:r>
        <w:rPr>
          <w:b/>
        </w:rPr>
        <w:t>Human-in-the-Loop (HITL) Mechanism:</w:t>
      </w:r>
      <w:r>
        <w:rPr/>
        <w:t xml:space="preserve"> Factory documents in Indonesia (e.g., thermal paper receipts, handwritten weigh bills) are often degraded. When the OCR Confidence Score falls below 90%, the system displays a side-by-side correction UI—original document photo on the left, input fields on the right—enabling the client's admin staff to confirm or correct extracted values in under 3 seconds. This micro-task approach reduces manual data entry time by 80% compared to traditional consulting.</w:t>
      </w:r>
    </w:p>
    <w:p>
      <w:pPr>
        <w:pStyle w:val="Heading3"/>
        <w:bidi w:val="0"/>
        <w:ind w:hanging="0" w:start="0"/>
        <w:jc w:val="start"/>
        <w:rPr/>
      </w:pPr>
      <w:r>
        <w:rPr/>
        <w:t>5.4 MVP Features</w:t>
      </w:r>
    </w:p>
    <w:p>
      <w:pPr>
        <w:pStyle w:val="BodyText"/>
        <w:bidi w:val="0"/>
        <w:jc w:val="start"/>
        <w:rPr/>
      </w:pPr>
      <w:r>
        <w:rPr>
          <w:b/>
        </w:rPr>
        <w:t>Scope Limitation:</w:t>
      </w:r>
      <w:r>
        <w:rPr/>
        <w:t xml:space="preserve"> Year 1 MVP focuses exclusively on </w:t>
      </w:r>
      <w:r>
        <w:rPr>
          <w:b/>
        </w:rPr>
        <w:t>Scope 1</w:t>
      </w:r>
      <w:r>
        <w:rPr/>
        <w:t xml:space="preserve"> (direct fuel/BBM combustion) and </w:t>
      </w:r>
      <w:r>
        <w:rPr>
          <w:b/>
        </w:rPr>
        <w:t>Scope 2</w:t>
      </w:r>
      <w:r>
        <w:rPr/>
        <w:t xml:space="preserve"> (electricity consumption from PLN). </w:t>
      </w:r>
      <w:r>
        <w:rPr>
          <w:b/>
        </w:rPr>
        <w:t>Scope 3</w:t>
      </w:r>
      <w:r>
        <w:rPr/>
        <w:t xml:space="preserve"> (supply chain emissions) is excluded from the MVP due to the complexity of tracking upstream supplier data in Indonesia and is deferred to the Year 3 roadmap.</w:t>
      </w:r>
    </w:p>
    <w:p>
      <w:pPr>
        <w:pStyle w:val="BodyText"/>
        <w:numPr>
          <w:ilvl w:val="0"/>
          <w:numId w:val="11"/>
        </w:numPr>
        <w:tabs>
          <w:tab w:val="clear" w:pos="709"/>
          <w:tab w:val="left" w:pos="709" w:leader="none"/>
        </w:tabs>
        <w:bidi w:val="0"/>
        <w:ind w:hanging="283" w:start="709"/>
        <w:jc w:val="start"/>
        <w:rPr/>
      </w:pPr>
      <w:r>
        <w:rPr>
          <w:b/>
        </w:rPr>
        <w:t>OCR Invoice &amp; BOM Upload</w:t>
      </w:r>
      <w:r>
        <w:rPr/>
        <w:t xml:space="preserve"> — PDF/image upload, automatic extraction with manual correction interface.</w:t>
      </w:r>
    </w:p>
    <w:p>
      <w:pPr>
        <w:pStyle w:val="BodyText"/>
        <w:numPr>
          <w:ilvl w:val="0"/>
          <w:numId w:val="11"/>
        </w:numPr>
        <w:tabs>
          <w:tab w:val="clear" w:pos="709"/>
          <w:tab w:val="left" w:pos="709" w:leader="none"/>
        </w:tabs>
        <w:bidi w:val="0"/>
        <w:ind w:hanging="283" w:start="709"/>
        <w:jc w:val="start"/>
        <w:rPr/>
      </w:pPr>
      <w:r>
        <w:rPr>
          <w:b/>
        </w:rPr>
        <w:t>Scope 1 &amp; 2 Emission Calculator</w:t>
      </w:r>
      <w:r>
        <w:rPr/>
        <w:t xml:space="preserve"> — EU methodology, supports default values and verified actual data.</w:t>
      </w:r>
    </w:p>
    <w:p>
      <w:pPr>
        <w:pStyle w:val="BodyText"/>
        <w:numPr>
          <w:ilvl w:val="0"/>
          <w:numId w:val="11"/>
        </w:numPr>
        <w:tabs>
          <w:tab w:val="clear" w:pos="709"/>
          <w:tab w:val="left" w:pos="709" w:leader="none"/>
        </w:tabs>
        <w:bidi w:val="0"/>
        <w:ind w:hanging="283" w:start="709"/>
        <w:jc w:val="start"/>
        <w:rPr/>
      </w:pPr>
      <w:r>
        <w:rPr>
          <w:b/>
        </w:rPr>
        <w:t>CBAM Declarant Report Generator</w:t>
      </w:r>
      <w:r>
        <w:rPr/>
        <w:t xml:space="preserve"> — XML output aligned with CBAM Registry format.</w:t>
      </w:r>
    </w:p>
    <w:p>
      <w:pPr>
        <w:pStyle w:val="BodyText"/>
        <w:numPr>
          <w:ilvl w:val="0"/>
          <w:numId w:val="11"/>
        </w:numPr>
        <w:tabs>
          <w:tab w:val="clear" w:pos="709"/>
          <w:tab w:val="left" w:pos="709" w:leader="none"/>
        </w:tabs>
        <w:bidi w:val="0"/>
        <w:ind w:hanging="283" w:start="709"/>
        <w:jc w:val="start"/>
        <w:rPr/>
      </w:pPr>
      <w:r>
        <w:rPr>
          <w:b/>
        </w:rPr>
        <w:t>Audit-Trail Log</w:t>
      </w:r>
      <w:r>
        <w:rPr/>
        <w:t xml:space="preserve"> — Every number clickable to source document and processing stage.</w:t>
      </w:r>
    </w:p>
    <w:p>
      <w:pPr>
        <w:pStyle w:val="Heading3"/>
        <w:numPr>
          <w:ilvl w:val="0"/>
          <w:numId w:val="0"/>
        </w:numPr>
        <w:bidi w:val="0"/>
        <w:ind w:hanging="0" w:start="0"/>
        <w:jc w:val="start"/>
        <w:rPr/>
      </w:pPr>
      <w:r>
        <w:rPr/>
        <w:t>5.5 Tech Stack</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Technology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Rationale</w:t>
            </w:r>
          </w:p>
        </w:tc>
      </w:tr>
      <w:tr>
        <w:trPr/>
        <w:tc>
          <w:tcPr>
            <w:tcW w:w="3212" w:type="dxa"/>
            <w:tcBorders>
              <w:start w:val="single" w:sz="4" w:space="0" w:color="000000"/>
              <w:bottom w:val="single" w:sz="4" w:space="0" w:color="000000"/>
            </w:tcBorders>
          </w:tcPr>
          <w:p>
            <w:pPr>
              <w:pStyle w:val="TableContents"/>
              <w:bidi w:val="0"/>
              <w:jc w:val="start"/>
              <w:rPr/>
            </w:pPr>
            <w:r>
              <w:rPr/>
              <w:t>Backend</w:t>
            </w:r>
          </w:p>
        </w:tc>
        <w:tc>
          <w:tcPr>
            <w:tcW w:w="3213" w:type="dxa"/>
            <w:tcBorders>
              <w:start w:val="single" w:sz="4" w:space="0" w:color="000000"/>
              <w:bottom w:val="single" w:sz="4" w:space="0" w:color="000000"/>
            </w:tcBorders>
          </w:tcPr>
          <w:p>
            <w:pPr>
              <w:pStyle w:val="TableContents"/>
              <w:bidi w:val="0"/>
              <w:jc w:val="start"/>
              <w:rPr/>
            </w:pPr>
            <w:r>
              <w:rPr/>
              <w:t>Python + FastAPI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Mature data science/ML ecosystem, explicit rule engine</w:t>
            </w:r>
          </w:p>
        </w:tc>
      </w:tr>
      <w:tr>
        <w:trPr/>
        <w:tc>
          <w:tcPr>
            <w:tcW w:w="3212" w:type="dxa"/>
            <w:tcBorders>
              <w:start w:val="single" w:sz="4" w:space="0" w:color="000000"/>
              <w:bottom w:val="single" w:sz="4" w:space="0" w:color="000000"/>
            </w:tcBorders>
          </w:tcPr>
          <w:p>
            <w:pPr>
              <w:pStyle w:val="TableContents"/>
              <w:bidi w:val="0"/>
              <w:jc w:val="start"/>
              <w:rPr/>
            </w:pPr>
            <w:r>
              <w:rPr/>
              <w:t>Frontend</w:t>
            </w:r>
          </w:p>
        </w:tc>
        <w:tc>
          <w:tcPr>
            <w:tcW w:w="3213" w:type="dxa"/>
            <w:tcBorders>
              <w:start w:val="single" w:sz="4" w:space="0" w:color="000000"/>
              <w:bottom w:val="single" w:sz="4" w:space="0" w:color="000000"/>
            </w:tcBorders>
          </w:tcPr>
          <w:p>
            <w:pPr>
              <w:pStyle w:val="TableContents"/>
              <w:bidi w:val="0"/>
              <w:jc w:val="start"/>
              <w:rPr/>
            </w:pPr>
            <w:r>
              <w:rPr/>
              <w:t>TypeScript + React/Next.js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Type safety for sensitive numerical data</w:t>
            </w:r>
          </w:p>
        </w:tc>
      </w:tr>
      <w:tr>
        <w:trPr/>
        <w:tc>
          <w:tcPr>
            <w:tcW w:w="3212" w:type="dxa"/>
            <w:tcBorders>
              <w:start w:val="single" w:sz="4" w:space="0" w:color="000000"/>
              <w:bottom w:val="single" w:sz="4" w:space="0" w:color="000000"/>
            </w:tcBorders>
          </w:tcPr>
          <w:p>
            <w:pPr>
              <w:pStyle w:val="TableContents"/>
              <w:bidi w:val="0"/>
              <w:jc w:val="start"/>
              <w:rPr/>
            </w:pPr>
            <w:r>
              <w:rPr/>
              <w:t>OCR</w:t>
            </w:r>
          </w:p>
        </w:tc>
        <w:tc>
          <w:tcPr>
            <w:tcW w:w="3213" w:type="dxa"/>
            <w:tcBorders>
              <w:start w:val="single" w:sz="4" w:space="0" w:color="000000"/>
              <w:bottom w:val="single" w:sz="4" w:space="0" w:color="000000"/>
            </w:tcBorders>
          </w:tcPr>
          <w:p>
            <w:pPr>
              <w:pStyle w:val="TableContents"/>
              <w:bidi w:val="0"/>
              <w:jc w:val="start"/>
              <w:rPr/>
            </w:pPr>
            <w:r>
              <w:rPr/>
              <w:t>Tesseract (baseline) → Document AI (scale)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Open-source MVP, clear upgrade path</w:t>
            </w:r>
          </w:p>
        </w:tc>
      </w:tr>
      <w:tr>
        <w:trPr/>
        <w:tc>
          <w:tcPr>
            <w:tcW w:w="3212" w:type="dxa"/>
            <w:tcBorders>
              <w:start w:val="single" w:sz="4" w:space="0" w:color="000000"/>
              <w:bottom w:val="single" w:sz="4" w:space="0" w:color="000000"/>
            </w:tcBorders>
          </w:tcPr>
          <w:p>
            <w:pPr>
              <w:pStyle w:val="TableContents"/>
              <w:bidi w:val="0"/>
              <w:jc w:val="start"/>
              <w:rPr/>
            </w:pPr>
            <w:r>
              <w:rPr/>
              <w:t>Database</w:t>
            </w:r>
          </w:p>
        </w:tc>
        <w:tc>
          <w:tcPr>
            <w:tcW w:w="3213" w:type="dxa"/>
            <w:tcBorders>
              <w:start w:val="single" w:sz="4" w:space="0" w:color="000000"/>
              <w:bottom w:val="single" w:sz="4" w:space="0" w:color="000000"/>
            </w:tcBorders>
          </w:tcPr>
          <w:p>
            <w:pPr>
              <w:pStyle w:val="TableContents"/>
              <w:bidi w:val="0"/>
              <w:jc w:val="start"/>
              <w:rPr/>
            </w:pPr>
            <w:r>
              <w:rPr/>
              <w:t>PostgreSQL + S3-compatible storage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Structured emission data + raw documents</w:t>
            </w:r>
          </w:p>
        </w:tc>
      </w:tr>
      <w:tr>
        <w:trPr/>
        <w:tc>
          <w:tcPr>
            <w:tcW w:w="3212" w:type="dxa"/>
            <w:tcBorders>
              <w:start w:val="single" w:sz="4" w:space="0" w:color="000000"/>
              <w:bottom w:val="single" w:sz="4" w:space="0" w:color="000000"/>
            </w:tcBorders>
          </w:tcPr>
          <w:p>
            <w:pPr>
              <w:pStyle w:val="TableContents"/>
              <w:bidi w:val="0"/>
              <w:jc w:val="start"/>
              <w:rPr/>
            </w:pPr>
            <w:r>
              <w:rPr/>
              <w:t>ML</w:t>
            </w:r>
          </w:p>
        </w:tc>
        <w:tc>
          <w:tcPr>
            <w:tcW w:w="3213" w:type="dxa"/>
            <w:tcBorders>
              <w:start w:val="single" w:sz="4" w:space="0" w:color="000000"/>
              <w:bottom w:val="single" w:sz="4" w:space="0" w:color="000000"/>
            </w:tcBorders>
          </w:tcPr>
          <w:p>
            <w:pPr>
              <w:pStyle w:val="TableContents"/>
              <w:bidi w:val="0"/>
              <w:jc w:val="start"/>
              <w:rPr/>
            </w:pPr>
            <w:r>
              <w:rPr/>
              <w:t>scikit-learn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Anomaly detection, light text classification</w:t>
            </w:r>
          </w:p>
        </w:tc>
      </w:tr>
      <w:tr>
        <w:trPr/>
        <w:tc>
          <w:tcPr>
            <w:tcW w:w="3212" w:type="dxa"/>
            <w:tcBorders>
              <w:start w:val="single" w:sz="4" w:space="0" w:color="000000"/>
              <w:bottom w:val="single" w:sz="4" w:space="0" w:color="000000"/>
            </w:tcBorders>
          </w:tcPr>
          <w:p>
            <w:pPr>
              <w:pStyle w:val="TableContents"/>
              <w:bidi w:val="0"/>
              <w:jc w:val="start"/>
              <w:rPr/>
            </w:pPr>
            <w:r>
              <w:rPr/>
              <w:t>XML</w:t>
            </w:r>
          </w:p>
        </w:tc>
        <w:tc>
          <w:tcPr>
            <w:tcW w:w="3213" w:type="dxa"/>
            <w:tcBorders>
              <w:start w:val="single" w:sz="4" w:space="0" w:color="000000"/>
              <w:bottom w:val="single" w:sz="4" w:space="0" w:color="000000"/>
            </w:tcBorders>
          </w:tcPr>
          <w:p>
            <w:pPr>
              <w:pStyle w:val="TableContents"/>
              <w:bidi w:val="0"/>
              <w:jc w:val="start"/>
              <w:rPr/>
            </w:pPr>
            <w:r>
              <w:rPr/>
              <w:t>lxml + XSD validation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Schema-validated CBAM output</w:t>
            </w:r>
          </w:p>
        </w:tc>
      </w:tr>
      <w:tr>
        <w:trPr/>
        <w:tc>
          <w:tcPr>
            <w:tcW w:w="3212" w:type="dxa"/>
            <w:tcBorders>
              <w:start w:val="single" w:sz="4" w:space="0" w:color="000000"/>
              <w:bottom w:val="single" w:sz="4" w:space="0" w:color="000000"/>
            </w:tcBorders>
          </w:tcPr>
          <w:p>
            <w:pPr>
              <w:pStyle w:val="TableContents"/>
              <w:bidi w:val="0"/>
              <w:jc w:val="start"/>
              <w:rPr/>
            </w:pPr>
            <w:r>
              <w:rPr/>
              <w:t>Cloud</w:t>
            </w:r>
          </w:p>
        </w:tc>
        <w:tc>
          <w:tcPr>
            <w:tcW w:w="3213" w:type="dxa"/>
            <w:tcBorders>
              <w:start w:val="single" w:sz="4" w:space="0" w:color="000000"/>
              <w:bottom w:val="single" w:sz="4" w:space="0" w:color="000000"/>
            </w:tcBorders>
          </w:tcPr>
          <w:p>
            <w:pPr>
              <w:pStyle w:val="TableContents"/>
              <w:bidi w:val="0"/>
              <w:jc w:val="start"/>
              <w:rPr/>
            </w:pPr>
            <w:r>
              <w:rPr/>
              <w:t>AWS/GCP (cloud-agnostic)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Auto-scaling, data residency flexibility</w:t>
            </w:r>
          </w:p>
        </w:tc>
      </w:tr>
    </w:tbl>
    <w:p>
      <w:pPr>
        <w:pStyle w:val="BodyText"/>
        <w:bidi w:val="0"/>
        <w:jc w:val="start"/>
        <w:rPr/>
      </w:pPr>
      <w:r>
        <w:rPr/>
      </w:r>
    </w:p>
    <w:p>
      <w:pPr>
        <w:pStyle w:val="Heading3"/>
        <w:bidi w:val="0"/>
        <w:ind w:hanging="0" w:start="0"/>
        <w:jc w:val="start"/>
        <w:rPr/>
      </w:pPr>
      <w:r>
        <w:rPr/>
        <w:t>5.6 Dashboard &amp; Security</w:t>
      </w:r>
    </w:p>
    <w:p>
      <w:pPr>
        <w:pStyle w:val="BodyText"/>
        <w:bidi w:val="0"/>
        <w:jc w:val="start"/>
        <w:rPr/>
      </w:pPr>
      <w:r>
        <w:rPr>
          <w:b/>
        </w:rPr>
        <w:t>Dashboard Areas:</w:t>
      </w:r>
      <w:r>
        <w:rPr/>
        <w:t xml:space="preserve"> Summary panel (compliance status), document upload zone (drag-and-drop with OCR progress), validation queue (anomaly review), audit trail viewer (click-through to source documents).</w:t>
      </w:r>
    </w:p>
    <w:p>
      <w:pPr>
        <w:pStyle w:val="BodyText"/>
        <w:bidi w:val="0"/>
        <w:jc w:val="start"/>
        <w:rPr/>
      </w:pPr>
      <w:r>
        <w:rPr>
          <w:b/>
        </w:rPr>
        <w:t>Security:</w:t>
      </w:r>
      <w:r>
        <w:rPr/>
        <w:t xml:space="preserve"> Defense-in-depth—TLS 1.3 in transit, AES-256 at rest, cryptographic data isolation between tenants, RBAC. Architecture designed for ISO 27001 alignment from day one, with formal certification targeted in Year 2. Compliant with Indonesia's Personal Data Protection Law (UU No. 27/2022). The operational plan that follows details how this technical infrastructure is staffed, deployed, and delivered across Indonesia's industrial corridor.</w:t>
      </w:r>
    </w:p>
    <w:p>
      <w:pPr>
        <w:pStyle w:val="HorizontalLine"/>
        <w:bidi w:val="0"/>
        <w:jc w:val="start"/>
        <w:rPr/>
      </w:pPr>
      <w:r>
        <w:rPr/>
      </w:r>
    </w:p>
    <w:p>
      <w:pPr>
        <w:pStyle w:val="Heading2"/>
        <w:bidi w:val="0"/>
        <w:ind w:hanging="0" w:start="0"/>
        <w:jc w:val="start"/>
        <w:rPr/>
      </w:pPr>
      <w:r>
        <w:rPr/>
        <w:t>6. OPERATIONAL PLAN</w:t>
      </w:r>
    </w:p>
    <w:p>
      <w:pPr>
        <w:pStyle w:val="Heading3"/>
        <w:bidi w:val="0"/>
        <w:ind w:hanging="0" w:start="0"/>
        <w:jc w:val="start"/>
        <w:rPr/>
      </w:pPr>
      <w:r>
        <w:rPr/>
        <w:t>6.1 Resource Management</w:t>
      </w:r>
    </w:p>
    <w:p>
      <w:pPr>
        <w:pStyle w:val="BodyText"/>
        <w:bidi w:val="0"/>
        <w:jc w:val="start"/>
        <w:rPr/>
      </w:pPr>
      <w:r>
        <w:rPr>
          <w:b/>
        </w:rPr>
        <w:t>Locations:</w:t>
      </w:r>
    </w:p>
    <w:p>
      <w:pPr>
        <w:pStyle w:val="BodyText"/>
        <w:numPr>
          <w:ilvl w:val="0"/>
          <w:numId w:val="12"/>
        </w:numPr>
        <w:tabs>
          <w:tab w:val="clear" w:pos="709"/>
          <w:tab w:val="left" w:pos="709" w:leader="none"/>
        </w:tabs>
        <w:bidi w:val="0"/>
        <w:ind w:hanging="283" w:start="709"/>
        <w:jc w:val="start"/>
        <w:rPr/>
      </w:pPr>
      <w:r>
        <w:rPr>
          <w:b/>
        </w:rPr>
        <w:t>R&amp;D Hub — Yogyakarta:</w:t>
      </w:r>
      <w:r>
        <w:rPr/>
        <w:t xml:space="preserve"> Technology headquarters. Access to IS and Data Science talent, efficient burn rate.</w:t>
      </w:r>
    </w:p>
    <w:p>
      <w:pPr>
        <w:pStyle w:val="BodyText"/>
        <w:numPr>
          <w:ilvl w:val="0"/>
          <w:numId w:val="12"/>
        </w:numPr>
        <w:tabs>
          <w:tab w:val="clear" w:pos="709"/>
          <w:tab w:val="left" w:pos="709" w:leader="none"/>
        </w:tabs>
        <w:bidi w:val="0"/>
        <w:ind w:hanging="283" w:start="709"/>
        <w:jc w:val="start"/>
        <w:rPr/>
      </w:pPr>
      <w:r>
        <w:rPr>
          <w:b/>
        </w:rPr>
        <w:t>Sales Hub — Industrial Estates (Cikarang, Karawang, Cilegon):</w:t>
      </w:r>
      <w:r>
        <w:rPr/>
        <w:t xml:space="preserve"> Enterprise sales and onboarding specialists deployed near industrial clusters.</w:t>
      </w:r>
    </w:p>
    <w:p>
      <w:pPr>
        <w:pStyle w:val="BodyText"/>
        <w:bidi w:val="0"/>
        <w:jc w:val="start"/>
        <w:rPr/>
      </w:pPr>
      <w:r>
        <w:rPr>
          <w:b/>
        </w:rPr>
        <w:t>Team (Year 1):</w:t>
      </w:r>
    </w:p>
    <w:p>
      <w:pPr>
        <w:pStyle w:val="BodyText"/>
        <w:numPr>
          <w:ilvl w:val="0"/>
          <w:numId w:val="13"/>
        </w:numPr>
        <w:tabs>
          <w:tab w:val="clear" w:pos="709"/>
          <w:tab w:val="left" w:pos="709" w:leader="none"/>
        </w:tabs>
        <w:bidi w:val="0"/>
        <w:ind w:hanging="283" w:start="709"/>
        <w:jc w:val="start"/>
        <w:rPr/>
      </w:pPr>
      <w:r>
        <w:rPr/>
        <w:t>4 Founders (CEO, CTO, CFO, CMO)</w:t>
      </w:r>
    </w:p>
    <w:p>
      <w:pPr>
        <w:pStyle w:val="BodyText"/>
        <w:numPr>
          <w:ilvl w:val="0"/>
          <w:numId w:val="13"/>
        </w:numPr>
        <w:tabs>
          <w:tab w:val="clear" w:pos="709"/>
          <w:tab w:val="left" w:pos="709" w:leader="none"/>
        </w:tabs>
        <w:bidi w:val="0"/>
        <w:ind w:hanging="283" w:start="709"/>
        <w:jc w:val="start"/>
        <w:rPr/>
      </w:pPr>
      <w:r>
        <w:rPr/>
        <w:t>2 Customer Success/Onboarding Specialists</w:t>
      </w:r>
    </w:p>
    <w:p>
      <w:pPr>
        <w:pStyle w:val="BodyText"/>
        <w:numPr>
          <w:ilvl w:val="0"/>
          <w:numId w:val="13"/>
        </w:numPr>
        <w:tabs>
          <w:tab w:val="clear" w:pos="709"/>
          <w:tab w:val="left" w:pos="709" w:leader="none"/>
        </w:tabs>
        <w:bidi w:val="0"/>
        <w:ind w:hanging="283" w:start="709"/>
        <w:jc w:val="start"/>
        <w:rPr/>
      </w:pPr>
      <w:r>
        <w:rPr/>
        <w:t>2 B2B Enterprise Sales</w:t>
      </w:r>
    </w:p>
    <w:p>
      <w:pPr>
        <w:pStyle w:val="Heading3"/>
        <w:numPr>
          <w:ilvl w:val="0"/>
          <w:numId w:val="0"/>
        </w:numPr>
        <w:bidi w:val="0"/>
        <w:ind w:hanging="0" w:start="0"/>
        <w:jc w:val="start"/>
        <w:rPr/>
      </w:pPr>
      <w:r>
        <w:rPr/>
        <w:t>6.2 Client Lifecycle (SOP)</w:t>
      </w:r>
    </w:p>
    <w:p>
      <w:pPr>
        <w:pStyle w:val="PreformattedText"/>
        <w:shd w:fill="E1E1E1" w:val="clear"/>
        <w:bidi w:val="0"/>
        <w:spacing w:before="0" w:after="283"/>
        <w:jc w:val="start"/>
        <w:rPr/>
      </w:pPr>
      <w:r>
        <w:rPr/>
        <w:t>+-------------------------------------------------------------------------+</w:t>
        <w:br/>
        <w:t>|                  CLIENT ONBOARDING SOP LIFE CYCLE                       |</w:t>
        <w:br/>
        <w:t>+-------------------------------------------------------------------------+</w:t>
        <w:br/>
        <w:t>| STEP 1: Assessment Questionnaire (Map factory boundaries &amp; fuel scopes) |</w:t>
        <w:br/>
        <w:t>|                            │                                            |</w:t>
        <w:br/>
        <w:t>|                            ▼                                            |</w:t>
        <w:br/>
        <w:t>| STEP 2: Structural Data Mapping (On-site setup of SFTP/API endpoints)   |</w:t>
        <w:br/>
        <w:t>|                            │                                            |</w:t>
        <w:br/>
        <w:t>|                            ▼                                            |</w:t>
        <w:br/>
        <w:t>| STEP 3: Automated Ingestion Cycle (AI extracts &amp; digitizes monthly logs)|</w:t>
        <w:br/>
        <w:t>|                            │                                            |</w:t>
        <w:br/>
        <w:t>|                            ▼                                            |</w:t>
        <w:br/>
        <w:t>| STEP 4: Pre-Audit Compilation (Review calculations &amp; trace data values) |</w:t>
        <w:br/>
        <w:t>|                            │                                            |</w:t>
        <w:br/>
        <w:t>|                            ▼                                            |</w:t>
        <w:br/>
        <w:t>| STEP 5: Independent Sign-Off (Secure XML export for certified verifier) |</w:t>
        <w:br/>
        <w:t>+-------------------------------------------------------------------------+</w:t>
      </w:r>
    </w:p>
    <w:p>
      <w:pPr>
        <w:pStyle w:val="Heading3"/>
        <w:bidi w:val="0"/>
        <w:ind w:hanging="0" w:start="0"/>
        <w:jc w:val="start"/>
        <w:rPr/>
      </w:pPr>
      <w:r>
        <w:rPr/>
        <w:t>6.3 Legal &amp; Compliance</w:t>
      </w:r>
    </w:p>
    <w:p>
      <w:pPr>
        <w:pStyle w:val="BodyText"/>
        <w:numPr>
          <w:ilvl w:val="0"/>
          <w:numId w:val="14"/>
        </w:numPr>
        <w:tabs>
          <w:tab w:val="clear" w:pos="709"/>
          <w:tab w:val="left" w:pos="709" w:leader="none"/>
        </w:tabs>
        <w:bidi w:val="0"/>
        <w:ind w:hanging="283" w:start="709"/>
        <w:jc w:val="start"/>
        <w:rPr/>
      </w:pPr>
      <w:r>
        <w:rPr>
          <w:b/>
        </w:rPr>
        <w:t>National Regulations:</w:t>
      </w:r>
      <w:r>
        <w:rPr/>
        <w:t xml:space="preserve"> Aligned with Perpres No. 98/2021 (Carbon Economic Value), POJK No. 14 &amp; 18/2023 (ESG/Green Taxonomy).</w:t>
      </w:r>
    </w:p>
    <w:p>
      <w:pPr>
        <w:pStyle w:val="BodyText"/>
        <w:numPr>
          <w:ilvl w:val="0"/>
          <w:numId w:val="14"/>
        </w:numPr>
        <w:tabs>
          <w:tab w:val="clear" w:pos="709"/>
          <w:tab w:val="left" w:pos="709" w:leader="none"/>
        </w:tabs>
        <w:bidi w:val="0"/>
        <w:ind w:hanging="283" w:start="709"/>
        <w:jc w:val="start"/>
        <w:rPr/>
      </w:pPr>
      <w:r>
        <w:rPr>
          <w:b/>
        </w:rPr>
        <w:t>Data Certification:</w:t>
      </w:r>
      <w:r>
        <w:rPr/>
        <w:t xml:space="preserve"> ISO/IEC 27001 formal certification targeted in Year 2; architecture pre-aligned from day one (see Section 5.6).</w:t>
      </w:r>
    </w:p>
    <w:p>
      <w:pPr>
        <w:pStyle w:val="BodyText"/>
        <w:numPr>
          <w:ilvl w:val="0"/>
          <w:numId w:val="14"/>
        </w:numPr>
        <w:tabs>
          <w:tab w:val="clear" w:pos="709"/>
          <w:tab w:val="left" w:pos="709" w:leader="none"/>
        </w:tabs>
        <w:bidi w:val="0"/>
        <w:ind w:hanging="283" w:start="709"/>
        <w:jc w:val="start"/>
        <w:rPr/>
      </w:pPr>
      <w:r>
        <w:rPr>
          <w:b/>
        </w:rPr>
        <w:t>Independent Verification:</w:t>
      </w:r>
      <w:r>
        <w:rPr/>
        <w:t xml:space="preserve"> MoU with Sucofindo, SGS, or Mutu Agung Lestari—Emitra does not act as final verifier.</w:t>
      </w:r>
    </w:p>
    <w:p>
      <w:pPr>
        <w:pStyle w:val="BodyText"/>
        <w:numPr>
          <w:ilvl w:val="0"/>
          <w:numId w:val="14"/>
        </w:numPr>
        <w:tabs>
          <w:tab w:val="clear" w:pos="709"/>
          <w:tab w:val="left" w:pos="709" w:leader="none"/>
        </w:tabs>
        <w:bidi w:val="0"/>
        <w:ind w:hanging="283" w:start="709"/>
        <w:jc w:val="start"/>
        <w:rPr/>
      </w:pPr>
      <w:r>
        <w:rPr>
          <w:b/>
        </w:rPr>
        <w:t>Limitation of Liability:</w:t>
      </w:r>
      <w:r>
        <w:rPr/>
        <w:t xml:space="preserve"> Emitra's EULA states the platform functions exclusively as an automated calculation tool, not an official accredited verifier. Final legal responsibility for data accuracy remains with the independent auditing firms. Emitra's financial liability is strictly capped at the subscription fees paid by the client.</w:t>
      </w:r>
    </w:p>
    <w:p>
      <w:pPr>
        <w:pStyle w:val="BodyText"/>
        <w:numPr>
          <w:ilvl w:val="0"/>
          <w:numId w:val="14"/>
        </w:numPr>
        <w:tabs>
          <w:tab w:val="clear" w:pos="709"/>
          <w:tab w:val="left" w:pos="709" w:leader="none"/>
        </w:tabs>
        <w:bidi w:val="0"/>
        <w:ind w:hanging="283" w:start="709"/>
        <w:jc w:val="start"/>
        <w:rPr/>
      </w:pPr>
      <w:r>
        <w:rPr>
          <w:b/>
        </w:rPr>
        <w:t>Data Privacy:</w:t>
      </w:r>
      <w:r>
        <w:rPr/>
        <w:t xml:space="preserve"> Production and energy consumption data are competitively sensitive. Emitra implements single-tenant database architecture (or cryptographic logical isolation) where client data is inaccessible to other clients or Emitra's internal staff without explicit authorization. This operational framework underpins the financial projections outlined in the following section.</w:t>
      </w:r>
    </w:p>
    <w:p>
      <w:pPr>
        <w:pStyle w:val="HorizontalLine"/>
        <w:bidi w:val="0"/>
        <w:jc w:val="start"/>
        <w:rPr/>
      </w:pPr>
      <w:r>
        <w:rPr/>
      </w:r>
    </w:p>
    <w:p>
      <w:pPr>
        <w:pStyle w:val="Heading2"/>
        <w:bidi w:val="0"/>
        <w:ind w:hanging="0" w:start="0"/>
        <w:jc w:val="start"/>
        <w:rPr/>
      </w:pPr>
      <w:r>
        <w:rPr/>
        <w:t>7. FINANCIAL OVERVIEW</w:t>
      </w:r>
    </w:p>
    <w:p>
      <w:pPr>
        <w:pStyle w:val="Heading3"/>
        <w:bidi w:val="0"/>
        <w:ind w:hanging="0" w:start="0"/>
        <w:jc w:val="start"/>
        <w:rPr/>
      </w:pPr>
      <w:r>
        <w:rPr/>
        <w:t>7.1 Pricing Structure</w:t>
      </w:r>
    </w:p>
    <w:p>
      <w:pPr>
        <w:pStyle w:val="BodyText"/>
        <w:bidi w:val="0"/>
        <w:jc w:val="start"/>
        <w:rPr/>
      </w:pPr>
      <w:r>
        <w:rPr/>
        <w:t xml:space="preserve">Emitra adopts a </w:t>
      </w:r>
      <w:r>
        <w:rPr>
          <w:b/>
        </w:rPr>
        <w:t>hybrid SaaS model</w:t>
      </w:r>
      <w:r>
        <w:rPr/>
        <w:t xml:space="preserve"> (setup fee + annual subscription):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Tier</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Setup Fee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Annual Subscription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Features</w:t>
            </w:r>
          </w:p>
        </w:tc>
      </w:tr>
      <w:tr>
        <w:trPr/>
        <w:tc>
          <w:tcPr>
            <w:tcW w:w="2409" w:type="dxa"/>
            <w:tcBorders>
              <w:start w:val="single" w:sz="4" w:space="0" w:color="000000"/>
              <w:bottom w:val="single" w:sz="4" w:space="0" w:color="000000"/>
            </w:tcBorders>
          </w:tcPr>
          <w:p>
            <w:pPr>
              <w:pStyle w:val="TableContents"/>
              <w:bidi w:val="0"/>
              <w:jc w:val="start"/>
              <w:rPr/>
            </w:pPr>
            <w:r>
              <w:rPr>
                <w:b/>
              </w:rPr>
              <w:t>Basic</w:t>
            </w:r>
          </w:p>
        </w:tc>
        <w:tc>
          <w:tcPr>
            <w:tcW w:w="2410" w:type="dxa"/>
            <w:tcBorders>
              <w:start w:val="single" w:sz="4" w:space="0" w:color="000000"/>
              <w:bottom w:val="single" w:sz="4" w:space="0" w:color="000000"/>
            </w:tcBorders>
          </w:tcPr>
          <w:p>
            <w:pPr>
              <w:pStyle w:val="TableContents"/>
              <w:bidi w:val="0"/>
              <w:jc w:val="start"/>
              <w:rPr/>
            </w:pPr>
            <w:r>
              <w:rPr/>
              <w:t>IDR 30 million</w:t>
            </w:r>
          </w:p>
        </w:tc>
        <w:tc>
          <w:tcPr>
            <w:tcW w:w="2409" w:type="dxa"/>
            <w:tcBorders>
              <w:start w:val="single" w:sz="4" w:space="0" w:color="000000"/>
              <w:bottom w:val="single" w:sz="4" w:space="0" w:color="000000"/>
            </w:tcBorders>
          </w:tcPr>
          <w:p>
            <w:pPr>
              <w:pStyle w:val="TableContents"/>
              <w:bidi w:val="0"/>
              <w:jc w:val="start"/>
              <w:rPr/>
            </w:pPr>
            <w:r>
              <w:rPr/>
              <w:t>IDR 50 million/year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Core CBAM reporting, AI emission calculation, basic dashboard</w:t>
            </w:r>
          </w:p>
        </w:tc>
      </w:tr>
      <w:tr>
        <w:trPr/>
        <w:tc>
          <w:tcPr>
            <w:tcW w:w="2409" w:type="dxa"/>
            <w:tcBorders>
              <w:start w:val="single" w:sz="4" w:space="0" w:color="000000"/>
              <w:bottom w:val="single" w:sz="4" w:space="0" w:color="000000"/>
            </w:tcBorders>
          </w:tcPr>
          <w:p>
            <w:pPr>
              <w:pStyle w:val="TableContents"/>
              <w:bidi w:val="0"/>
              <w:jc w:val="start"/>
              <w:rPr/>
            </w:pPr>
            <w:r>
              <w:rPr>
                <w:b/>
              </w:rPr>
              <w:t>Pro</w:t>
            </w:r>
          </w:p>
        </w:tc>
        <w:tc>
          <w:tcPr>
            <w:tcW w:w="2410" w:type="dxa"/>
            <w:tcBorders>
              <w:start w:val="single" w:sz="4" w:space="0" w:color="000000"/>
              <w:bottom w:val="single" w:sz="4" w:space="0" w:color="000000"/>
            </w:tcBorders>
          </w:tcPr>
          <w:p>
            <w:pPr>
              <w:pStyle w:val="TableContents"/>
              <w:bidi w:val="0"/>
              <w:jc w:val="start"/>
              <w:rPr/>
            </w:pPr>
            <w:r>
              <w:rPr/>
              <w:t>IDR 50 million</w:t>
            </w:r>
          </w:p>
        </w:tc>
        <w:tc>
          <w:tcPr>
            <w:tcW w:w="2409" w:type="dxa"/>
            <w:tcBorders>
              <w:start w:val="single" w:sz="4" w:space="0" w:color="000000"/>
              <w:bottom w:val="single" w:sz="4" w:space="0" w:color="000000"/>
            </w:tcBorders>
          </w:tcPr>
          <w:p>
            <w:pPr>
              <w:pStyle w:val="TableContents"/>
              <w:bidi w:val="0"/>
              <w:jc w:val="start"/>
              <w:rPr/>
            </w:pPr>
            <w:r>
              <w:rPr/>
              <w:t>IDR 80 million/year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Advanced analytics, API ERP integration, priority support</w:t>
            </w:r>
          </w:p>
        </w:tc>
      </w:tr>
      <w:tr>
        <w:trPr/>
        <w:tc>
          <w:tcPr>
            <w:tcW w:w="2409" w:type="dxa"/>
            <w:tcBorders>
              <w:start w:val="single" w:sz="4" w:space="0" w:color="000000"/>
              <w:bottom w:val="single" w:sz="4" w:space="0" w:color="000000"/>
            </w:tcBorders>
          </w:tcPr>
          <w:p>
            <w:pPr>
              <w:pStyle w:val="TableContents"/>
              <w:bidi w:val="0"/>
              <w:jc w:val="start"/>
              <w:rPr/>
            </w:pPr>
            <w:r>
              <w:rPr>
                <w:b/>
              </w:rPr>
              <w:t>Enterprise</w:t>
            </w:r>
          </w:p>
        </w:tc>
        <w:tc>
          <w:tcPr>
            <w:tcW w:w="2410" w:type="dxa"/>
            <w:tcBorders>
              <w:start w:val="single" w:sz="4" w:space="0" w:color="000000"/>
              <w:bottom w:val="single" w:sz="4" w:space="0" w:color="000000"/>
            </w:tcBorders>
          </w:tcPr>
          <w:p>
            <w:pPr>
              <w:pStyle w:val="TableContents"/>
              <w:bidi w:val="0"/>
              <w:jc w:val="start"/>
              <w:rPr/>
            </w:pPr>
            <w:r>
              <w:rPr/>
              <w:t>Custom</w:t>
            </w:r>
          </w:p>
        </w:tc>
        <w:tc>
          <w:tcPr>
            <w:tcW w:w="2409" w:type="dxa"/>
            <w:tcBorders>
              <w:start w:val="single" w:sz="4" w:space="0" w:color="000000"/>
              <w:bottom w:val="single" w:sz="4" w:space="0" w:color="000000"/>
            </w:tcBorders>
          </w:tcPr>
          <w:p>
            <w:pPr>
              <w:pStyle w:val="TableContents"/>
              <w:bidi w:val="0"/>
              <w:jc w:val="start"/>
              <w:rPr/>
            </w:pPr>
            <w:r>
              <w:rPr/>
              <w:t>Custom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Multi-site, dedicated account manager, custom reporting</w:t>
            </w:r>
          </w:p>
        </w:tc>
      </w:tr>
    </w:tbl>
    <w:p>
      <w:pPr>
        <w:pStyle w:val="BodyText"/>
        <w:bidi w:val="0"/>
        <w:jc w:val="start"/>
        <w:rPr/>
      </w:pPr>
      <w:r>
        <w:rPr/>
      </w:r>
    </w:p>
    <w:p>
      <w:pPr>
        <w:pStyle w:val="BodyText"/>
        <w:bidi w:val="0"/>
        <w:jc w:val="start"/>
        <w:rPr/>
      </w:pPr>
      <w:r>
        <w:rPr>
          <w:b/>
        </w:rPr>
        <w:t>Justification:</w:t>
      </w:r>
      <w:r>
        <w:rPr/>
        <w:t xml:space="preserve"> Compared to manual audit costs (IDR 150–250 million/year), Emitra cuts compliance expenses by 40–50% in Year 1, increasing to 60–70% in Year 2 (no setup fee).</w:t>
      </w:r>
    </w:p>
    <w:p>
      <w:pPr>
        <w:pStyle w:val="Heading3"/>
        <w:bidi w:val="0"/>
        <w:ind w:hanging="0" w:start="0"/>
        <w:jc w:val="start"/>
        <w:rPr/>
      </w:pPr>
      <w:r>
        <w:rPr/>
        <w:t>7.2 Revenue Projection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Year</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Target Clients</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New Setup Revenue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Recurring Revenue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Total Revenue</w:t>
            </w:r>
          </w:p>
        </w:tc>
      </w:tr>
      <w:tr>
        <w:trPr/>
        <w:tc>
          <w:tcPr>
            <w:tcW w:w="1927" w:type="dxa"/>
            <w:tcBorders>
              <w:start w:val="single" w:sz="4" w:space="0" w:color="000000"/>
              <w:bottom w:val="single" w:sz="4" w:space="0" w:color="000000"/>
            </w:tcBorders>
          </w:tcPr>
          <w:p>
            <w:pPr>
              <w:pStyle w:val="TableContents"/>
              <w:bidi w:val="0"/>
              <w:jc w:val="start"/>
              <w:rPr/>
            </w:pPr>
            <w:r>
              <w:rPr>
                <w:b/>
              </w:rPr>
              <w:t>Year 1</w:t>
            </w:r>
          </w:p>
        </w:tc>
        <w:tc>
          <w:tcPr>
            <w:tcW w:w="1928" w:type="dxa"/>
            <w:tcBorders>
              <w:start w:val="single" w:sz="4" w:space="0" w:color="000000"/>
              <w:bottom w:val="single" w:sz="4" w:space="0" w:color="000000"/>
            </w:tcBorders>
          </w:tcPr>
          <w:p>
            <w:pPr>
              <w:pStyle w:val="TableContents"/>
              <w:bidi w:val="0"/>
              <w:jc w:val="start"/>
              <w:rPr/>
            </w:pPr>
            <w:r>
              <w:rPr/>
              <w:t>10 (7 Basic / 3 Pro)</w:t>
            </w:r>
          </w:p>
        </w:tc>
        <w:tc>
          <w:tcPr>
            <w:tcW w:w="1927" w:type="dxa"/>
            <w:tcBorders>
              <w:start w:val="single" w:sz="4" w:space="0" w:color="000000"/>
              <w:bottom w:val="single" w:sz="4" w:space="0" w:color="000000"/>
            </w:tcBorders>
          </w:tcPr>
          <w:p>
            <w:pPr>
              <w:pStyle w:val="TableContents"/>
              <w:bidi w:val="0"/>
              <w:jc w:val="start"/>
              <w:rPr/>
            </w:pPr>
            <w:r>
              <w:rPr/>
              <w:t>IDR 360M</w:t>
            </w:r>
          </w:p>
        </w:tc>
        <w:tc>
          <w:tcPr>
            <w:tcW w:w="1928" w:type="dxa"/>
            <w:tcBorders>
              <w:start w:val="single" w:sz="4" w:space="0" w:color="000000"/>
              <w:bottom w:val="single" w:sz="4" w:space="0" w:color="000000"/>
            </w:tcBorders>
          </w:tcPr>
          <w:p>
            <w:pPr>
              <w:pStyle w:val="TableContents"/>
              <w:bidi w:val="0"/>
              <w:jc w:val="start"/>
              <w:rPr/>
            </w:pPr>
            <w:r>
              <w:rPr/>
              <w:t>IDR 590M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IDR 950M</w:t>
            </w:r>
          </w:p>
        </w:tc>
      </w:tr>
      <w:tr>
        <w:trPr/>
        <w:tc>
          <w:tcPr>
            <w:tcW w:w="1927" w:type="dxa"/>
            <w:tcBorders>
              <w:start w:val="single" w:sz="4" w:space="0" w:color="000000"/>
              <w:bottom w:val="single" w:sz="4" w:space="0" w:color="000000"/>
            </w:tcBorders>
          </w:tcPr>
          <w:p>
            <w:pPr>
              <w:pStyle w:val="TableContents"/>
              <w:bidi w:val="0"/>
              <w:jc w:val="start"/>
              <w:rPr/>
            </w:pPr>
            <w:r>
              <w:rPr>
                <w:b/>
              </w:rPr>
              <w:t>Year 2</w:t>
            </w:r>
          </w:p>
        </w:tc>
        <w:tc>
          <w:tcPr>
            <w:tcW w:w="1928" w:type="dxa"/>
            <w:tcBorders>
              <w:start w:val="single" w:sz="4" w:space="0" w:color="000000"/>
              <w:bottom w:val="single" w:sz="4" w:space="0" w:color="000000"/>
            </w:tcBorders>
          </w:tcPr>
          <w:p>
            <w:pPr>
              <w:pStyle w:val="TableContents"/>
              <w:bidi w:val="0"/>
              <w:jc w:val="start"/>
              <w:rPr/>
            </w:pPr>
            <w:r>
              <w:rPr/>
              <w:t>45 (35 Standard / 10 Pro)</w:t>
            </w:r>
          </w:p>
        </w:tc>
        <w:tc>
          <w:tcPr>
            <w:tcW w:w="1927" w:type="dxa"/>
            <w:tcBorders>
              <w:start w:val="single" w:sz="4" w:space="0" w:color="000000"/>
              <w:bottom w:val="single" w:sz="4" w:space="0" w:color="000000"/>
            </w:tcBorders>
          </w:tcPr>
          <w:p>
            <w:pPr>
              <w:pStyle w:val="TableContents"/>
              <w:bidi w:val="0"/>
              <w:jc w:val="start"/>
              <w:rPr/>
            </w:pPr>
            <w:r>
              <w:rPr/>
              <w:t>IDR 1.4B</w:t>
            </w:r>
          </w:p>
        </w:tc>
        <w:tc>
          <w:tcPr>
            <w:tcW w:w="1928" w:type="dxa"/>
            <w:tcBorders>
              <w:start w:val="single" w:sz="4" w:space="0" w:color="000000"/>
              <w:bottom w:val="single" w:sz="4" w:space="0" w:color="000000"/>
            </w:tcBorders>
          </w:tcPr>
          <w:p>
            <w:pPr>
              <w:pStyle w:val="TableContents"/>
              <w:bidi w:val="0"/>
              <w:jc w:val="start"/>
              <w:rPr/>
            </w:pPr>
            <w:r>
              <w:rPr/>
              <w:t>IDR 2.55B</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IDR 3.95B</w:t>
            </w:r>
          </w:p>
        </w:tc>
      </w:tr>
      <w:tr>
        <w:trPr/>
        <w:tc>
          <w:tcPr>
            <w:tcW w:w="1927" w:type="dxa"/>
            <w:tcBorders>
              <w:start w:val="single" w:sz="4" w:space="0" w:color="000000"/>
              <w:bottom w:val="single" w:sz="4" w:space="0" w:color="000000"/>
            </w:tcBorders>
          </w:tcPr>
          <w:p>
            <w:pPr>
              <w:pStyle w:val="TableContents"/>
              <w:bidi w:val="0"/>
              <w:jc w:val="start"/>
              <w:rPr/>
            </w:pPr>
            <w:r>
              <w:rPr>
                <w:b/>
              </w:rPr>
              <w:t>Year 3</w:t>
            </w:r>
          </w:p>
        </w:tc>
        <w:tc>
          <w:tcPr>
            <w:tcW w:w="1928" w:type="dxa"/>
            <w:tcBorders>
              <w:start w:val="single" w:sz="4" w:space="0" w:color="000000"/>
              <w:bottom w:val="single" w:sz="4" w:space="0" w:color="000000"/>
            </w:tcBorders>
          </w:tcPr>
          <w:p>
            <w:pPr>
              <w:pStyle w:val="TableContents"/>
              <w:bidi w:val="0"/>
              <w:jc w:val="start"/>
              <w:rPr/>
            </w:pPr>
            <w:r>
              <w:rPr/>
              <w:t>100 (75 Standard / 25 Pro)</w:t>
            </w:r>
          </w:p>
        </w:tc>
        <w:tc>
          <w:tcPr>
            <w:tcW w:w="1927" w:type="dxa"/>
            <w:tcBorders>
              <w:start w:val="single" w:sz="4" w:space="0" w:color="000000"/>
              <w:bottom w:val="single" w:sz="4" w:space="0" w:color="000000"/>
            </w:tcBorders>
          </w:tcPr>
          <w:p>
            <w:pPr>
              <w:pStyle w:val="TableContents"/>
              <w:bidi w:val="0"/>
              <w:jc w:val="start"/>
              <w:rPr/>
            </w:pPr>
            <w:r>
              <w:rPr/>
              <w:t>IDR 2.4B</w:t>
            </w:r>
          </w:p>
        </w:tc>
        <w:tc>
          <w:tcPr>
            <w:tcW w:w="1928" w:type="dxa"/>
            <w:tcBorders>
              <w:start w:val="single" w:sz="4" w:space="0" w:color="000000"/>
              <w:bottom w:val="single" w:sz="4" w:space="0" w:color="000000"/>
            </w:tcBorders>
          </w:tcPr>
          <w:p>
            <w:pPr>
              <w:pStyle w:val="TableContents"/>
              <w:bidi w:val="0"/>
              <w:jc w:val="start"/>
              <w:rPr/>
            </w:pPr>
            <w:r>
              <w:rPr/>
              <w:t>IDR 6.2B</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IDR 8.6B</w:t>
            </w:r>
          </w:p>
        </w:tc>
      </w:tr>
    </w:tbl>
    <w:p>
      <w:pPr>
        <w:pStyle w:val="BodyText"/>
        <w:bidi w:val="0"/>
        <w:jc w:val="start"/>
        <w:rPr/>
      </w:pPr>
      <w:r>
        <w:rPr/>
      </w:r>
    </w:p>
    <w:p>
      <w:pPr>
        <w:pStyle w:val="BodyText"/>
        <w:bidi w:val="0"/>
        <w:jc w:val="start"/>
        <w:rPr/>
      </w:pPr>
      <w:r>
        <w:rPr>
          <w:i/>
        </w:rPr>
        <w:t>Assumptions: 85% annual client retention, 3–6 month B2B sales cycles, CBAM Feb 2027 deadline drives urgency.</w:t>
      </w:r>
    </w:p>
    <w:p>
      <w:pPr>
        <w:pStyle w:val="Heading3"/>
        <w:bidi w:val="0"/>
        <w:ind w:hanging="0" w:start="0"/>
        <w:jc w:val="start"/>
        <w:rPr/>
      </w:pPr>
      <w:r>
        <w:rPr/>
        <w:t>7.3 Cost Structure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 of Total</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Items</w:t>
            </w:r>
          </w:p>
        </w:tc>
      </w:tr>
      <w:tr>
        <w:trPr/>
        <w:tc>
          <w:tcPr>
            <w:tcW w:w="3212" w:type="dxa"/>
            <w:tcBorders>
              <w:start w:val="single" w:sz="4" w:space="0" w:color="000000"/>
              <w:bottom w:val="single" w:sz="4" w:space="0" w:color="000000"/>
            </w:tcBorders>
          </w:tcPr>
          <w:p>
            <w:pPr>
              <w:pStyle w:val="TableContents"/>
              <w:bidi w:val="0"/>
              <w:jc w:val="start"/>
              <w:rPr/>
            </w:pPr>
            <w:r>
              <w:rPr/>
              <w:t>Engineering &amp; ML</w:t>
            </w:r>
          </w:p>
        </w:tc>
        <w:tc>
          <w:tcPr>
            <w:tcW w:w="3213" w:type="dxa"/>
            <w:tcBorders>
              <w:start w:val="single" w:sz="4" w:space="0" w:color="000000"/>
              <w:bottom w:val="single" w:sz="4" w:space="0" w:color="000000"/>
            </w:tcBorders>
          </w:tcPr>
          <w:p>
            <w:pPr>
              <w:pStyle w:val="TableContents"/>
              <w:bidi w:val="0"/>
              <w:jc w:val="start"/>
              <w:rPr/>
            </w:pPr>
            <w:r>
              <w:rPr/>
              <w:t>40%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Tech team salaries, AI model maintenance</w:t>
            </w:r>
          </w:p>
        </w:tc>
      </w:tr>
      <w:tr>
        <w:trPr/>
        <w:tc>
          <w:tcPr>
            <w:tcW w:w="3212" w:type="dxa"/>
            <w:tcBorders>
              <w:start w:val="single" w:sz="4" w:space="0" w:color="000000"/>
              <w:bottom w:val="single" w:sz="4" w:space="0" w:color="000000"/>
            </w:tcBorders>
          </w:tcPr>
          <w:p>
            <w:pPr>
              <w:pStyle w:val="TableContents"/>
              <w:bidi w:val="0"/>
              <w:jc w:val="start"/>
              <w:rPr/>
            </w:pPr>
            <w:r>
              <w:rPr/>
              <w:t>Cloud &amp; Infrastructure</w:t>
            </w:r>
          </w:p>
        </w:tc>
        <w:tc>
          <w:tcPr>
            <w:tcW w:w="3213" w:type="dxa"/>
            <w:tcBorders>
              <w:start w:val="single" w:sz="4" w:space="0" w:color="000000"/>
              <w:bottom w:val="single" w:sz="4" w:space="0" w:color="000000"/>
            </w:tcBorders>
          </w:tcPr>
          <w:p>
            <w:pPr>
              <w:pStyle w:val="TableContents"/>
              <w:bidi w:val="0"/>
              <w:jc w:val="start"/>
              <w:rPr/>
            </w:pPr>
            <w:r>
              <w:rPr/>
              <w:t>25%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AWS/GCP hosting, database, API operations</w:t>
            </w:r>
          </w:p>
        </w:tc>
      </w:tr>
      <w:tr>
        <w:trPr/>
        <w:tc>
          <w:tcPr>
            <w:tcW w:w="3212" w:type="dxa"/>
            <w:tcBorders>
              <w:start w:val="single" w:sz="4" w:space="0" w:color="000000"/>
              <w:bottom w:val="single" w:sz="4" w:space="0" w:color="000000"/>
            </w:tcBorders>
          </w:tcPr>
          <w:p>
            <w:pPr>
              <w:pStyle w:val="TableContents"/>
              <w:bidi w:val="0"/>
              <w:jc w:val="start"/>
              <w:rPr/>
            </w:pPr>
            <w:r>
              <w:rPr/>
              <w:t>Sales &amp; Marketing</w:t>
            </w:r>
          </w:p>
        </w:tc>
        <w:tc>
          <w:tcPr>
            <w:tcW w:w="3213" w:type="dxa"/>
            <w:tcBorders>
              <w:start w:val="single" w:sz="4" w:space="0" w:color="000000"/>
              <w:bottom w:val="single" w:sz="4" w:space="0" w:color="000000"/>
            </w:tcBorders>
          </w:tcPr>
          <w:p>
            <w:pPr>
              <w:pStyle w:val="TableContents"/>
              <w:bidi w:val="0"/>
              <w:jc w:val="start"/>
              <w:rPr/>
            </w:pPr>
            <w:r>
              <w:rPr/>
              <w:t>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B2B outreach, partnerships, pilot program</w:t>
            </w:r>
          </w:p>
        </w:tc>
      </w:tr>
      <w:tr>
        <w:trPr/>
        <w:tc>
          <w:tcPr>
            <w:tcW w:w="3212" w:type="dxa"/>
            <w:tcBorders>
              <w:start w:val="single" w:sz="4" w:space="0" w:color="000000"/>
              <w:bottom w:val="single" w:sz="4" w:space="0" w:color="000000"/>
            </w:tcBorders>
          </w:tcPr>
          <w:p>
            <w:pPr>
              <w:pStyle w:val="TableContents"/>
              <w:bidi w:val="0"/>
              <w:jc w:val="start"/>
              <w:rPr/>
            </w:pPr>
            <w:r>
              <w:rPr/>
              <w:t>Legal, Compliance &amp; Security</w:t>
            </w:r>
          </w:p>
        </w:tc>
        <w:tc>
          <w:tcPr>
            <w:tcW w:w="3213"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Registration, audits, support</w:t>
            </w:r>
          </w:p>
        </w:tc>
      </w:tr>
      <w:tr>
        <w:trPr/>
        <w:tc>
          <w:tcPr>
            <w:tcW w:w="3212" w:type="dxa"/>
            <w:tcBorders>
              <w:start w:val="single" w:sz="4" w:space="0" w:color="000000"/>
              <w:bottom w:val="single" w:sz="4" w:space="0" w:color="000000"/>
            </w:tcBorders>
          </w:tcPr>
          <w:p>
            <w:pPr>
              <w:pStyle w:val="TableContents"/>
              <w:bidi w:val="0"/>
              <w:jc w:val="start"/>
              <w:rPr/>
            </w:pPr>
            <w:r>
              <w:rPr/>
              <w:t>Administrative</w:t>
            </w:r>
          </w:p>
        </w:tc>
        <w:tc>
          <w:tcPr>
            <w:tcW w:w="3213"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Office, miscellaneous</w:t>
            </w:r>
          </w:p>
        </w:tc>
      </w:tr>
    </w:tbl>
    <w:p>
      <w:pPr>
        <w:pStyle w:val="BodyText"/>
        <w:bidi w:val="0"/>
        <w:jc w:val="start"/>
        <w:rPr/>
      </w:pPr>
      <w:r>
        <w:rPr/>
      </w:r>
    </w:p>
    <w:p>
      <w:pPr>
        <w:pStyle w:val="BodyText"/>
        <w:bidi w:val="0"/>
        <w:jc w:val="start"/>
        <w:rPr/>
      </w:pPr>
      <w:r>
        <w:rPr>
          <w:b/>
        </w:rPr>
        <w:t>Target Gross Margin:</w:t>
      </w:r>
      <w:r>
        <w:rPr/>
        <w:t xml:space="preserve"> 70% (Year 1) → 77% (Year 3).</w:t>
      </w:r>
    </w:p>
    <w:p>
      <w:pPr>
        <w:pStyle w:val="Heading3"/>
        <w:bidi w:val="0"/>
        <w:ind w:hanging="0" w:start="0"/>
        <w:jc w:val="start"/>
        <w:rPr/>
      </w:pPr>
      <w:r>
        <w:rPr/>
        <w:t>7.4 Key Financial Metrics</w:t>
      </w:r>
    </w:p>
    <w:p>
      <w:pPr>
        <w:pStyle w:val="BodyText"/>
        <w:numPr>
          <w:ilvl w:val="0"/>
          <w:numId w:val="15"/>
        </w:numPr>
        <w:tabs>
          <w:tab w:val="clear" w:pos="709"/>
          <w:tab w:val="left" w:pos="709" w:leader="none"/>
        </w:tabs>
        <w:bidi w:val="0"/>
        <w:ind w:hanging="283" w:start="709"/>
        <w:jc w:val="start"/>
        <w:rPr/>
      </w:pPr>
      <w:r>
        <w:rPr>
          <w:b/>
        </w:rPr>
        <w:t>CAC:</w:t>
      </w:r>
      <w:r>
        <w:rPr/>
        <w:t xml:space="preserve"> Target &lt; IDR 45 million per client.</w:t>
      </w:r>
    </w:p>
    <w:p>
      <w:pPr>
        <w:pStyle w:val="BodyText"/>
        <w:numPr>
          <w:ilvl w:val="0"/>
          <w:numId w:val="15"/>
        </w:numPr>
        <w:tabs>
          <w:tab w:val="clear" w:pos="709"/>
          <w:tab w:val="left" w:pos="709" w:leader="none"/>
        </w:tabs>
        <w:bidi w:val="0"/>
        <w:ind w:hanging="283" w:start="709"/>
        <w:jc w:val="start"/>
        <w:rPr/>
      </w:pPr>
      <w:r>
        <w:rPr>
          <w:b/>
        </w:rPr>
        <w:t>LTV:</w:t>
      </w:r>
      <w:r>
        <w:rPr/>
        <w:t xml:space="preserve"> Estimated IDR 270 million (LTV:CAC ratio = 6:1).</w:t>
      </w:r>
    </w:p>
    <w:p>
      <w:pPr>
        <w:pStyle w:val="BodyText"/>
        <w:numPr>
          <w:ilvl w:val="0"/>
          <w:numId w:val="15"/>
        </w:numPr>
        <w:tabs>
          <w:tab w:val="clear" w:pos="709"/>
          <w:tab w:val="left" w:pos="709" w:leader="none"/>
        </w:tabs>
        <w:bidi w:val="0"/>
        <w:ind w:hanging="283" w:start="709"/>
        <w:jc w:val="start"/>
        <w:rPr/>
      </w:pPr>
      <w:r>
        <w:rPr>
          <w:b/>
        </w:rPr>
        <w:t>BEP:</w:t>
      </w:r>
      <w:r>
        <w:rPr/>
        <w:t xml:space="preserve"> Projected at month 10 of Year 1 (minimum 8 active clients).</w:t>
      </w:r>
    </w:p>
    <w:p>
      <w:pPr>
        <w:pStyle w:val="BodyText"/>
        <w:numPr>
          <w:ilvl w:val="0"/>
          <w:numId w:val="15"/>
        </w:numPr>
        <w:tabs>
          <w:tab w:val="clear" w:pos="709"/>
          <w:tab w:val="left" w:pos="709" w:leader="none"/>
        </w:tabs>
        <w:bidi w:val="0"/>
        <w:ind w:hanging="283" w:start="709"/>
        <w:jc w:val="start"/>
        <w:rPr/>
      </w:pPr>
      <w:r>
        <w:rPr>
          <w:b/>
        </w:rPr>
        <w:t>Net Profit:</w:t>
      </w:r>
      <w:r>
        <w:rPr/>
        <w:t xml:space="preserve"> Target positive by Year 2.</w:t>
      </w:r>
    </w:p>
    <w:p>
      <w:pPr>
        <w:pStyle w:val="Heading3"/>
        <w:numPr>
          <w:ilvl w:val="0"/>
          <w:numId w:val="0"/>
        </w:numPr>
        <w:bidi w:val="0"/>
        <w:ind w:hanging="0" w:start="0"/>
        <w:jc w:val="start"/>
        <w:rPr/>
      </w:pPr>
      <w:r>
        <w:rPr/>
        <w:t>7.5 ROI for Exporters</w:t>
      </w:r>
    </w:p>
    <w:p>
      <w:pPr>
        <w:pStyle w:val="PreformattedText"/>
        <w:shd w:fill="E1E1E1" w:val="clear"/>
        <w:bidi w:val="0"/>
        <w:spacing w:before="0" w:after="283"/>
        <w:jc w:val="start"/>
        <w:rPr/>
      </w:pPr>
      <w:r>
        <w:rPr/>
        <w:t>+-------------------------------------------------------------------------+</w:t>
        <w:br/>
        <w:t>|                  YEAR 1 COMPLIANCE COST COMPARISON (IDR)                |</w:t>
        <w:br/>
        <w:t>+-------------------------------------------------------------------------+</w:t>
        <w:br/>
        <w:t>| Manual Consulting:  [200,000,000]                                       |</w:t>
        <w:br/>
        <w:t>| Emitra Platform:    [110,000,000] (Setup + Subscription)                |</w:t>
        <w:br/>
        <w:t>| DIRECT NET SAVINGS:  IDR 90,000,000 (45% Cost Reduction)                |</w:t>
        <w:br/>
        <w:t>+-------------------------------------------------------------------------+</w:t>
        <w:br/>
        <w:t>|                  YEAR 2+ COMPLIANCE COST COMPARISON (IDR)               |</w:t>
        <w:br/>
        <w:t>+-------------------------------------------------------------------------+</w:t>
        <w:br/>
        <w:t>| Manual Consulting:  [200,000,000]                                       |</w:t>
        <w:br/>
        <w:t>| Emitra Platform:    [65,000,000]  (Subscription Only)                   |</w:t>
        <w:br/>
        <w:t>| DIRECT NET SAVINGS:  IDR 135,000,000 (67% Cost Reduction)               |</w:t>
        <w:br/>
        <w:t>+-------------------------------------------------------------------------+</w:t>
      </w:r>
    </w:p>
    <w:p>
      <w:pPr>
        <w:pStyle w:val="BodyText"/>
        <w:bidi w:val="0"/>
        <w:jc w:val="start"/>
        <w:rPr/>
      </w:pPr>
      <w:r>
        <w:rPr/>
        <w:t>Beyond direct savings, Emitra-verified data shortens green loan processing times by up to 50%, unlocking favorable interest rates for manufacturers. Realizing these financial projections requires proactive identification and management of the risks detailed in the following section.</w:t>
      </w:r>
    </w:p>
    <w:p>
      <w:pPr>
        <w:pStyle w:val="HorizontalLine"/>
        <w:bidi w:val="0"/>
        <w:jc w:val="start"/>
        <w:rPr/>
      </w:pPr>
      <w:r>
        <w:rPr/>
      </w:r>
    </w:p>
    <w:p>
      <w:pPr>
        <w:pStyle w:val="Heading2"/>
        <w:bidi w:val="0"/>
        <w:ind w:hanging="0" w:start="0"/>
        <w:jc w:val="start"/>
        <w:rPr/>
      </w:pPr>
      <w:r>
        <w:rPr/>
        <w:t>8. RISK ANALYSIS</w:t>
      </w:r>
    </w:p>
    <w:p>
      <w:pPr>
        <w:pStyle w:val="Heading3"/>
        <w:bidi w:val="0"/>
        <w:ind w:hanging="0" w:start="0"/>
        <w:jc w:val="start"/>
        <w:rPr/>
      </w:pPr>
      <w:r>
        <w:rPr/>
        <w:t>8.1 Quantitative Risk Matrix</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Prob (1-5)</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Impact (1-5)</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Score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Mitigation</w:t>
            </w:r>
          </w:p>
        </w:tc>
      </w:tr>
      <w:tr>
        <w:trPr/>
        <w:tc>
          <w:tcPr>
            <w:tcW w:w="1927" w:type="dxa"/>
            <w:tcBorders>
              <w:start w:val="single" w:sz="4" w:space="0" w:color="000000"/>
              <w:bottom w:val="single" w:sz="4" w:space="0" w:color="000000"/>
            </w:tcBorders>
          </w:tcPr>
          <w:p>
            <w:pPr>
              <w:pStyle w:val="TableContents"/>
              <w:bidi w:val="0"/>
              <w:jc w:val="start"/>
              <w:rPr/>
            </w:pPr>
            <w:r>
              <w:rPr>
                <w:b/>
              </w:rPr>
              <w:t>EU Methodology Rejection</w:t>
            </w:r>
          </w:p>
        </w:tc>
        <w:tc>
          <w:tcPr>
            <w:tcW w:w="1928" w:type="dxa"/>
            <w:tcBorders>
              <w:start w:val="single" w:sz="4" w:space="0" w:color="000000"/>
              <w:bottom w:val="single" w:sz="4" w:space="0" w:color="000000"/>
            </w:tcBorders>
          </w:tcPr>
          <w:p>
            <w:pPr>
              <w:pStyle w:val="TableContents"/>
              <w:bidi w:val="0"/>
              <w:jc w:val="start"/>
              <w:rPr/>
            </w:pPr>
            <w:r>
              <w:rPr/>
              <w:t>2</w:t>
            </w:r>
          </w:p>
        </w:tc>
        <w:tc>
          <w:tcPr>
            <w:tcW w:w="1927" w:type="dxa"/>
            <w:tcBorders>
              <w:start w:val="single" w:sz="4" w:space="0" w:color="000000"/>
              <w:bottom w:val="single" w:sz="4" w:space="0" w:color="000000"/>
            </w:tcBorders>
          </w:tcPr>
          <w:p>
            <w:pPr>
              <w:pStyle w:val="TableContents"/>
              <w:bidi w:val="0"/>
              <w:jc w:val="start"/>
              <w:rPr/>
            </w:pPr>
            <w:r>
              <w:rPr/>
              <w:t>5</w:t>
            </w:r>
          </w:p>
        </w:tc>
        <w:tc>
          <w:tcPr>
            <w:tcW w:w="1928" w:type="dxa"/>
            <w:tcBorders>
              <w:start w:val="single" w:sz="4" w:space="0" w:color="000000"/>
              <w:bottom w:val="single" w:sz="4" w:space="0" w:color="000000"/>
            </w:tcBorders>
          </w:tcPr>
          <w:p>
            <w:pPr>
              <w:pStyle w:val="TableContents"/>
              <w:bidi w:val="0"/>
              <w:jc w:val="start"/>
              <w:rPr/>
            </w:pPr>
            <w:r>
              <w:rPr>
                <w:b/>
              </w:rPr>
              <w:t>10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Dual verification protocol + accredited local verifier partnerships (Sucofindo, SGS)</w:t>
            </w:r>
          </w:p>
        </w:tc>
      </w:tr>
      <w:tr>
        <w:trPr/>
        <w:tc>
          <w:tcPr>
            <w:tcW w:w="1927" w:type="dxa"/>
            <w:tcBorders>
              <w:start w:val="single" w:sz="4" w:space="0" w:color="000000"/>
              <w:bottom w:val="single" w:sz="4" w:space="0" w:color="000000"/>
            </w:tcBorders>
          </w:tcPr>
          <w:p>
            <w:pPr>
              <w:pStyle w:val="TableContents"/>
              <w:bidi w:val="0"/>
              <w:jc w:val="start"/>
              <w:rPr/>
            </w:pPr>
            <w:r>
              <w:rPr>
                <w:b/>
              </w:rPr>
              <w:t>Bad Input Data Quality</w:t>
            </w:r>
          </w:p>
        </w:tc>
        <w:tc>
          <w:tcPr>
            <w:tcW w:w="1928" w:type="dxa"/>
            <w:tcBorders>
              <w:start w:val="single" w:sz="4" w:space="0" w:color="000000"/>
              <w:bottom w:val="single" w:sz="4" w:space="0" w:color="000000"/>
            </w:tcBorders>
          </w:tcPr>
          <w:p>
            <w:pPr>
              <w:pStyle w:val="TableContents"/>
              <w:bidi w:val="0"/>
              <w:jc w:val="start"/>
              <w:rPr/>
            </w:pPr>
            <w:r>
              <w:rPr/>
              <w:t>4</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b/>
              </w:rPr>
              <w:t>8</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HITL split-screen correction UI when confidence &lt; 90%</w:t>
            </w:r>
          </w:p>
        </w:tc>
      </w:tr>
      <w:tr>
        <w:trPr/>
        <w:tc>
          <w:tcPr>
            <w:tcW w:w="1927" w:type="dxa"/>
            <w:tcBorders>
              <w:start w:val="single" w:sz="4" w:space="0" w:color="000000"/>
              <w:bottom w:val="single" w:sz="4" w:space="0" w:color="000000"/>
            </w:tcBorders>
          </w:tcPr>
          <w:p>
            <w:pPr>
              <w:pStyle w:val="TableContents"/>
              <w:bidi w:val="0"/>
              <w:jc w:val="start"/>
              <w:rPr/>
            </w:pPr>
            <w:r>
              <w:rPr>
                <w:b/>
              </w:rPr>
              <w:t>Sudden Regulatory Changes</w:t>
            </w:r>
          </w:p>
        </w:tc>
        <w:tc>
          <w:tcPr>
            <w:tcW w:w="1928" w:type="dxa"/>
            <w:tcBorders>
              <w:start w:val="single" w:sz="4" w:space="0" w:color="000000"/>
              <w:bottom w:val="single" w:sz="4" w:space="0" w:color="000000"/>
            </w:tcBorders>
          </w:tcPr>
          <w:p>
            <w:pPr>
              <w:pStyle w:val="TableContents"/>
              <w:bidi w:val="0"/>
              <w:jc w:val="start"/>
              <w:rPr/>
            </w:pPr>
            <w:r>
              <w:rPr/>
              <w:t>3</w:t>
            </w:r>
          </w:p>
        </w:tc>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jc w:val="start"/>
              <w:rPr/>
            </w:pPr>
            <w:r>
              <w:rPr>
                <w:b/>
              </w:rPr>
              <w:t>9</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Modular config files — update without core code changes, 14-day sprint SLA</w:t>
            </w:r>
          </w:p>
        </w:tc>
      </w:tr>
      <w:tr>
        <w:trPr/>
        <w:tc>
          <w:tcPr>
            <w:tcW w:w="1927" w:type="dxa"/>
            <w:tcBorders>
              <w:start w:val="single" w:sz="4" w:space="0" w:color="000000"/>
              <w:bottom w:val="single" w:sz="4" w:space="0" w:color="000000"/>
            </w:tcBorders>
          </w:tcPr>
          <w:p>
            <w:pPr>
              <w:pStyle w:val="TableContents"/>
              <w:bidi w:val="0"/>
              <w:jc w:val="start"/>
              <w:rPr/>
            </w:pPr>
            <w:r>
              <w:rPr>
                <w:b/>
              </w:rPr>
              <w:t>Data Breach / Security</w:t>
            </w:r>
          </w:p>
        </w:tc>
        <w:tc>
          <w:tcPr>
            <w:tcW w:w="1928" w:type="dxa"/>
            <w:tcBorders>
              <w:start w:val="single" w:sz="4" w:space="0" w:color="000000"/>
              <w:bottom w:val="single" w:sz="4" w:space="0" w:color="000000"/>
            </w:tcBorders>
          </w:tcPr>
          <w:p>
            <w:pPr>
              <w:pStyle w:val="TableContents"/>
              <w:bidi w:val="0"/>
              <w:jc w:val="start"/>
              <w:rPr/>
            </w:pPr>
            <w:r>
              <w:rPr/>
              <w:t>1</w:t>
            </w:r>
          </w:p>
        </w:tc>
        <w:tc>
          <w:tcPr>
            <w:tcW w:w="1927" w:type="dxa"/>
            <w:tcBorders>
              <w:start w:val="single" w:sz="4" w:space="0" w:color="000000"/>
              <w:bottom w:val="single" w:sz="4" w:space="0" w:color="000000"/>
            </w:tcBorders>
          </w:tcPr>
          <w:p>
            <w:pPr>
              <w:pStyle w:val="TableContents"/>
              <w:bidi w:val="0"/>
              <w:jc w:val="start"/>
              <w:rPr/>
            </w:pPr>
            <w:r>
              <w:rPr/>
              <w:t>5</w:t>
            </w:r>
          </w:p>
        </w:tc>
        <w:tc>
          <w:tcPr>
            <w:tcW w:w="1928" w:type="dxa"/>
            <w:tcBorders>
              <w:start w:val="single" w:sz="4" w:space="0" w:color="000000"/>
              <w:bottom w:val="single" w:sz="4" w:space="0" w:color="000000"/>
            </w:tcBorders>
          </w:tcPr>
          <w:p>
            <w:pPr>
              <w:pStyle w:val="TableContents"/>
              <w:bidi w:val="0"/>
              <w:jc w:val="start"/>
              <w:rPr/>
            </w:pPr>
            <w:r>
              <w:rPr>
                <w:b/>
              </w:rPr>
              <w:t>5</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Zero-trust architecture, row-level encryption, annual penetration testing</w:t>
            </w:r>
          </w:p>
        </w:tc>
      </w:tr>
      <w:tr>
        <w:trPr/>
        <w:tc>
          <w:tcPr>
            <w:tcW w:w="1927" w:type="dxa"/>
            <w:tcBorders>
              <w:start w:val="single" w:sz="4" w:space="0" w:color="000000"/>
              <w:bottom w:val="single" w:sz="4" w:space="0" w:color="000000"/>
            </w:tcBorders>
          </w:tcPr>
          <w:p>
            <w:pPr>
              <w:pStyle w:val="TableContents"/>
              <w:bidi w:val="0"/>
              <w:jc w:val="start"/>
              <w:rPr/>
            </w:pPr>
            <w:r>
              <w:rPr>
                <w:b/>
              </w:rPr>
              <w:t>Enterprise Adoption Friction</w:t>
            </w:r>
          </w:p>
        </w:tc>
        <w:tc>
          <w:tcPr>
            <w:tcW w:w="1928" w:type="dxa"/>
            <w:tcBorders>
              <w:start w:val="single" w:sz="4" w:space="0" w:color="000000"/>
              <w:bottom w:val="single" w:sz="4" w:space="0" w:color="000000"/>
            </w:tcBorders>
          </w:tcPr>
          <w:p>
            <w:pPr>
              <w:pStyle w:val="TableContents"/>
              <w:bidi w:val="0"/>
              <w:jc w:val="start"/>
              <w:rPr/>
            </w:pPr>
            <w:r>
              <w:rPr/>
              <w:t>3</w:t>
            </w:r>
          </w:p>
        </w:tc>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jc w:val="start"/>
              <w:rPr/>
            </w:pPr>
            <w:r>
              <w:rPr>
                <w:b/>
              </w:rPr>
              <w:t>9</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3-month pilot waiver + ROI calculator + cost savings positioning</w:t>
            </w:r>
          </w:p>
        </w:tc>
      </w:tr>
    </w:tbl>
    <w:p>
      <w:pPr>
        <w:pStyle w:val="BodyText"/>
        <w:bidi w:val="0"/>
        <w:jc w:val="start"/>
        <w:rPr/>
      </w:pPr>
      <w:r>
        <w:rPr/>
      </w:r>
    </w:p>
    <w:p>
      <w:pPr>
        <w:pStyle w:val="Heading3"/>
        <w:bidi w:val="0"/>
        <w:ind w:hanging="0" w:start="0"/>
        <w:jc w:val="start"/>
        <w:rPr/>
      </w:pPr>
      <w:r>
        <w:rPr/>
        <w:t>8.2 Technical &amp; Data Risks</w:t>
      </w:r>
    </w:p>
    <w:p>
      <w:pPr>
        <w:pStyle w:val="BodyText"/>
        <w:bidi w:val="0"/>
        <w:jc w:val="start"/>
        <w:rPr/>
      </w:pPr>
      <w:r>
        <w:rPr>
          <w:b/>
        </w:rPr>
        <w:t>Data Quality ("Dirty Data"):</w:t>
      </w:r>
      <w:r>
        <w:rPr/>
        <w:t xml:space="preserve"> Factory documents in Indonesia are often handwritten or printed on fading thermal paper. </w:t>
      </w:r>
      <w:r>
        <w:rPr>
          <w:i/>
        </w:rPr>
        <w:t>Mitigation:</w:t>
      </w:r>
      <w:r>
        <w:rPr/>
        <w:t xml:space="preserve"> HITL correction UI ensures micro-task correction by client staff. API integration with accounting software (Jurnal.id, Accurate) planned for Year 2.</w:t>
      </w:r>
    </w:p>
    <w:p>
      <w:pPr>
        <w:pStyle w:val="BodyText"/>
        <w:bidi w:val="0"/>
        <w:jc w:val="start"/>
        <w:rPr/>
      </w:pPr>
      <w:r>
        <w:rPr>
          <w:b/>
        </w:rPr>
        <w:t>Regulatory Schema Drift:</w:t>
      </w:r>
      <w:r>
        <w:rPr/>
        <w:t xml:space="preserve"> EU updates reporting format. </w:t>
      </w:r>
      <w:r>
        <w:rPr>
          <w:i/>
        </w:rPr>
        <w:t>Mitigation:</w:t>
      </w:r>
      <w:r>
        <w:rPr/>
        <w:t xml:space="preserve"> Modular architecture — calculation rules and schemas stored in isolated config files, enabling instant updates.</w:t>
      </w:r>
    </w:p>
    <w:p>
      <w:pPr>
        <w:pStyle w:val="Heading3"/>
        <w:bidi w:val="0"/>
        <w:ind w:hanging="0" w:start="0"/>
        <w:jc w:val="start"/>
        <w:rPr/>
      </w:pPr>
      <w:r>
        <w:rPr/>
        <w:t>8.3 Legal &amp; Liability Risks</w:t>
      </w:r>
    </w:p>
    <w:p>
      <w:pPr>
        <w:pStyle w:val="BodyText"/>
        <w:bidi w:val="0"/>
        <w:jc w:val="start"/>
        <w:rPr/>
      </w:pPr>
      <w:r>
        <w:rPr>
          <w:b/>
        </w:rPr>
        <w:t>Verification Rejection:</w:t>
      </w:r>
      <w:r>
        <w:rPr/>
        <w:t xml:space="preserve"> EU-side verifiers may reject methodology. </w:t>
      </w:r>
      <w:r>
        <w:rPr>
          <w:i/>
        </w:rPr>
        <w:t>Mitigation:</w:t>
      </w:r>
      <w:r>
        <w:rPr/>
        <w:t xml:space="preserve"> Dual internal verification + partnership with accredited local bodies targets &lt; 2% rejection rate.</w:t>
      </w:r>
    </w:p>
    <w:p>
      <w:pPr>
        <w:pStyle w:val="BodyText"/>
        <w:bidi w:val="0"/>
        <w:jc w:val="start"/>
        <w:rPr/>
      </w:pPr>
      <w:r>
        <w:rPr>
          <w:b/>
        </w:rPr>
        <w:t>Financial Indemnification:</w:t>
      </w:r>
      <w:r>
        <w:rPr/>
        <w:t xml:space="preserve"> If Emitra miscalculates and exporter faces EU penalties. </w:t>
      </w:r>
      <w:r>
        <w:rPr>
          <w:i/>
        </w:rPr>
        <w:t>Mitigation:</w:t>
      </w:r>
      <w:r>
        <w:rPr/>
        <w:t xml:space="preserve"> Terms of Service cap liability at subscription fees paid. Emitra is a software tool, not accredited verifier. Final compliance sign-off rests with third-party verifiers (Sucofindo/SGS).</w:t>
      </w:r>
    </w:p>
    <w:p>
      <w:pPr>
        <w:pStyle w:val="BodyText"/>
        <w:bidi w:val="0"/>
        <w:jc w:val="start"/>
        <w:rPr/>
      </w:pPr>
      <w:r>
        <w:rPr>
          <w:b/>
        </w:rPr>
        <w:t>Data Security:</w:t>
      </w:r>
      <w:r>
        <w:rPr/>
        <w:t xml:space="preserve"> Production and energy data are sensitive trade secrets. </w:t>
      </w:r>
      <w:r>
        <w:rPr>
          <w:i/>
        </w:rPr>
        <w:t>Mitigation:</w:t>
      </w:r>
      <w:r>
        <w:rPr/>
        <w:t xml:space="preserve"> End-to-end encryption, row-level multi-tenant isolation, 99.9% uptime SLA; ISO 27001 architecture alignment in place, formal certification targeted Year 2 (see Section 5.6).</w:t>
      </w:r>
    </w:p>
    <w:p>
      <w:pPr>
        <w:pStyle w:val="Heading3"/>
        <w:bidi w:val="0"/>
        <w:ind w:hanging="0" w:start="0"/>
        <w:jc w:val="start"/>
        <w:rPr/>
      </w:pPr>
      <w:r>
        <w:rPr/>
        <w:t>8.4 Business Risks</w:t>
      </w:r>
    </w:p>
    <w:p>
      <w:pPr>
        <w:pStyle w:val="BodyText"/>
        <w:bidi w:val="0"/>
        <w:jc w:val="start"/>
        <w:rPr/>
      </w:pPr>
      <w:r>
        <w:rPr>
          <w:b/>
        </w:rPr>
        <w:t>Slow Adoption:</w:t>
      </w:r>
      <w:r>
        <w:rPr/>
        <w:t xml:space="preserve"> </w:t>
      </w:r>
      <w:r>
        <w:rPr>
          <w:i/>
        </w:rPr>
        <w:t>Mitigation:</w:t>
      </w:r>
      <w:r>
        <w:rPr/>
        <w:t xml:space="preserve"> Pilot program (see Section 4.2) + website ROI calculator. Target CAC payback &lt; 6 months.</w:t>
      </w:r>
    </w:p>
    <w:p>
      <w:pPr>
        <w:pStyle w:val="BodyText"/>
        <w:bidi w:val="0"/>
        <w:jc w:val="start"/>
        <w:rPr/>
      </w:pPr>
      <w:r>
        <w:rPr>
          <w:b/>
        </w:rPr>
        <w:t>Global Competition:</w:t>
      </w:r>
      <w:r>
        <w:rPr/>
        <w:t xml:space="preserve"> </w:t>
      </w:r>
      <w:r>
        <w:rPr>
          <w:i/>
        </w:rPr>
        <w:t>Mitigation:</w:t>
      </w:r>
      <w:r>
        <w:rPr/>
        <w:t xml:space="preserve"> Local moat through RI-EU regulatory understanding, affordable pricing, local workflow integration (PLN APIs, local accounting software).</w:t>
      </w:r>
    </w:p>
    <w:p>
      <w:pPr>
        <w:pStyle w:val="BodyText"/>
        <w:bidi w:val="0"/>
        <w:jc w:val="start"/>
        <w:rPr/>
      </w:pPr>
      <w:r>
        <w:rPr/>
        <w:t>With these risks actively mitigated, the following section maps Emitra's phased scalability roadmap from domestic market validation to regional leadership.</w:t>
      </w:r>
    </w:p>
    <w:p>
      <w:pPr>
        <w:pStyle w:val="HorizontalLine"/>
        <w:bidi w:val="0"/>
        <w:jc w:val="start"/>
        <w:rPr/>
      </w:pPr>
      <w:r>
        <w:rPr/>
      </w:r>
    </w:p>
    <w:p>
      <w:pPr>
        <w:pStyle w:val="Heading2"/>
        <w:bidi w:val="0"/>
        <w:ind w:hanging="0" w:start="0"/>
        <w:jc w:val="start"/>
        <w:rPr/>
      </w:pPr>
      <w:r>
        <w:rPr/>
        <w:t>9. EXPECTED OUTCOME &amp; SCALABILITY ROADMAP</w:t>
      </w:r>
    </w:p>
    <w:p>
      <w:pPr>
        <w:pStyle w:val="Heading3"/>
        <w:bidi w:val="0"/>
        <w:ind w:hanging="0" w:start="0"/>
        <w:jc w:val="start"/>
        <w:rPr/>
      </w:pPr>
      <w:r>
        <w:rPr/>
        <w:t>9.1 Phase 1: Market Validation (Years 1–2)</w:t>
      </w:r>
    </w:p>
    <w:p>
      <w:pPr>
        <w:pStyle w:val="PreformattedText"/>
        <w:shd w:fill="E1E1E1" w:val="clear"/>
        <w:bidi w:val="0"/>
        <w:spacing w:before="0" w:after="283"/>
        <w:jc w:val="start"/>
        <w:rPr/>
      </w:pPr>
      <w:r>
        <w:rPr/>
        <w:t>Year 1: Pilot Program (5 Companies) + Convert 10 Paying Enterprise Clients</w:t>
        <w:br/>
        <w:t>Year 2: Commercial Scale-up in Java Corridor + Reach 45 Active Clients</w:t>
      </w:r>
    </w:p>
    <w:p>
      <w:pPr>
        <w:pStyle w:val="BodyText"/>
        <w:numPr>
          <w:ilvl w:val="0"/>
          <w:numId w:val="16"/>
        </w:numPr>
        <w:tabs>
          <w:tab w:val="clear" w:pos="709"/>
          <w:tab w:val="left" w:pos="709" w:leader="none"/>
        </w:tabs>
        <w:bidi w:val="0"/>
        <w:ind w:hanging="283" w:start="709"/>
        <w:jc w:val="start"/>
        <w:rPr/>
      </w:pPr>
      <w:r>
        <w:rPr>
          <w:b/>
        </w:rPr>
        <w:t>GTM Mechanism:</w:t>
      </w:r>
      <w:r>
        <w:rPr/>
        <w:t xml:space="preserve"> 3-month pilot for first 5 anchor clients in Cikarang (per Section 4.2).</w:t>
      </w:r>
    </w:p>
    <w:p>
      <w:pPr>
        <w:pStyle w:val="BodyText"/>
        <w:numPr>
          <w:ilvl w:val="0"/>
          <w:numId w:val="16"/>
        </w:numPr>
        <w:tabs>
          <w:tab w:val="clear" w:pos="709"/>
          <w:tab w:val="left" w:pos="709" w:leader="none"/>
        </w:tabs>
        <w:bidi w:val="0"/>
        <w:ind w:hanging="283" w:start="709"/>
        <w:jc w:val="start"/>
        <w:rPr/>
      </w:pPr>
      <w:r>
        <w:rPr>
          <w:b/>
        </w:rPr>
        <w:t>Revenue:</w:t>
      </w:r>
      <w:r>
        <w:rPr/>
        <w:t xml:space="preserve"> Year 1: IDR 950M → Year 2: IDR 3.95B.</w:t>
      </w:r>
    </w:p>
    <w:p>
      <w:pPr>
        <w:pStyle w:val="BodyText"/>
        <w:numPr>
          <w:ilvl w:val="0"/>
          <w:numId w:val="16"/>
        </w:numPr>
        <w:tabs>
          <w:tab w:val="clear" w:pos="709"/>
          <w:tab w:val="left" w:pos="709" w:leader="none"/>
        </w:tabs>
        <w:bidi w:val="0"/>
        <w:ind w:hanging="283" w:start="709"/>
        <w:jc w:val="start"/>
        <w:rPr/>
      </w:pPr>
      <w:r>
        <w:rPr>
          <w:b/>
        </w:rPr>
        <w:t>Tech Milestone Year 2:</w:t>
      </w:r>
      <w:r>
        <w:rPr/>
        <w:t xml:space="preserve"> API integration with Jurnal.id and Accurate for automated data pull.</w:t>
      </w:r>
    </w:p>
    <w:p>
      <w:pPr>
        <w:pStyle w:val="Heading3"/>
        <w:numPr>
          <w:ilvl w:val="0"/>
          <w:numId w:val="0"/>
        </w:numPr>
        <w:bidi w:val="0"/>
        <w:ind w:hanging="0" w:start="0"/>
        <w:jc w:val="start"/>
        <w:rPr/>
      </w:pPr>
      <w:r>
        <w:rPr/>
        <w:t>9.2 Phase 2: Green Financing Integration (Years 3–4)</w:t>
      </w:r>
    </w:p>
    <w:p>
      <w:pPr>
        <w:pStyle w:val="BodyText"/>
        <w:bidi w:val="0"/>
        <w:jc w:val="start"/>
        <w:rPr/>
      </w:pPr>
      <w:r>
        <w:rPr/>
        <w:t xml:space="preserve">Emitra builds a </w:t>
      </w:r>
      <w:r>
        <w:rPr>
          <w:b/>
        </w:rPr>
        <w:t>Green Financing Gateway</w:t>
      </w:r>
      <w:r>
        <w:rPr/>
        <w:t>—transforming the platform from compliance tool into strategic financial enabler.</w:t>
      </w:r>
    </w:p>
    <w:p>
      <w:pPr>
        <w:pStyle w:val="PreformattedText"/>
        <w:shd w:fill="E1E1E1" w:val="clear"/>
        <w:bidi w:val="0"/>
        <w:spacing w:before="0" w:after="283"/>
        <w:jc w:val="start"/>
        <w:rPr/>
      </w:pPr>
      <w:r>
        <w:rPr/>
        <w:t>+-------------------------------------------------------------------------+</w:t>
        <w:br/>
        <w:t>|                     GREEN FINANCING GATEWAY FLOW                        |</w:t>
        <w:br/>
        <w:t>+-------------------------------------------------------------------------+</w:t>
        <w:br/>
        <w:t>| Verified Carbon Profile Data Generated via Emitra Platform              |</w:t>
        <w:br/>
        <w:t>|                              │                                          |</w:t>
        <w:br/>
        <w:t>|                              ▼                                          |</w:t>
        <w:br/>
        <w:t>| Secure API Transfer to Banking Systems (Mandiri, BNI Underwriting)      |</w:t>
        <w:br/>
        <w:t>|                              │                                          |</w:t>
        <w:br/>
        <w:t>|                              ▼                                          |</w:t>
        <w:br/>
        <w:t>| Direct Validation for Sustainability-Linked Loans / KUR Hijau           |</w:t>
        <w:br/>
        <w:t>|                              │                                          |</w:t>
        <w:br/>
        <w:t>|                              ▼                                          |</w:t>
        <w:br/>
        <w:t>| Verified Low-Emission Performance Unlocks Interest Rate Discounts       |</w:t>
        <w:br/>
        <w:t>+-------------------------------------------------------------------------+</w:t>
      </w:r>
    </w:p>
    <w:p>
      <w:pPr>
        <w:pStyle w:val="BodyText"/>
        <w:numPr>
          <w:ilvl w:val="0"/>
          <w:numId w:val="17"/>
        </w:numPr>
        <w:tabs>
          <w:tab w:val="clear" w:pos="709"/>
          <w:tab w:val="left" w:pos="709" w:leader="none"/>
        </w:tabs>
        <w:bidi w:val="0"/>
        <w:ind w:hanging="283" w:start="709"/>
        <w:jc w:val="start"/>
        <w:rPr/>
      </w:pPr>
      <w:r>
        <w:rPr>
          <w:b/>
        </w:rPr>
        <w:t>Regulatory Framework:</w:t>
      </w:r>
      <w:r>
        <w:rPr/>
        <w:t xml:space="preserve"> POJK No. 14/2023 (Carbon Trading) and POJK No. 18/2023 (Sustainable Finance).</w:t>
      </w:r>
    </w:p>
    <w:p>
      <w:pPr>
        <w:pStyle w:val="BodyText"/>
        <w:numPr>
          <w:ilvl w:val="0"/>
          <w:numId w:val="17"/>
        </w:numPr>
        <w:tabs>
          <w:tab w:val="clear" w:pos="709"/>
          <w:tab w:val="left" w:pos="709" w:leader="none"/>
        </w:tabs>
        <w:bidi w:val="0"/>
        <w:ind w:hanging="283" w:start="709"/>
        <w:jc w:val="start"/>
        <w:rPr/>
      </w:pPr>
      <w:r>
        <w:rPr>
          <w:b/>
        </w:rPr>
        <w:t>Partnership Model:</w:t>
      </w:r>
      <w:r>
        <w:rPr/>
        <w:t xml:space="preserve"> Verified emission data integrated with BUMN bank credit underwriting (Bank Mandiri &amp; BNI).</w:t>
      </w:r>
    </w:p>
    <w:p>
      <w:pPr>
        <w:pStyle w:val="BodyText"/>
        <w:numPr>
          <w:ilvl w:val="0"/>
          <w:numId w:val="17"/>
        </w:numPr>
        <w:tabs>
          <w:tab w:val="clear" w:pos="709"/>
          <w:tab w:val="left" w:pos="709" w:leader="none"/>
        </w:tabs>
        <w:bidi w:val="0"/>
        <w:ind w:hanging="283" w:start="709"/>
        <w:jc w:val="start"/>
        <w:rPr/>
      </w:pPr>
      <w:r>
        <w:rPr>
          <w:b/>
        </w:rPr>
        <w:t>Impact:</w:t>
      </w:r>
      <w:r>
        <w:rPr/>
        <w:t xml:space="preserve"> Emitra reports become prerequisites for KUR Hijau or Sustainability-Linked Loans.</w:t>
      </w:r>
    </w:p>
    <w:p>
      <w:pPr>
        <w:pStyle w:val="Heading3"/>
        <w:numPr>
          <w:ilvl w:val="0"/>
          <w:numId w:val="0"/>
        </w:numPr>
        <w:bidi w:val="0"/>
        <w:ind w:hanging="0" w:start="0"/>
        <w:jc w:val="start"/>
        <w:rPr/>
      </w:pPr>
      <w:r>
        <w:rPr/>
        <w:t>9.3 Phase 3: ASEAN Regional Expansion (Year 5)</w:t>
      </w:r>
    </w:p>
    <w:p>
      <w:pPr>
        <w:pStyle w:val="BodyText"/>
        <w:bidi w:val="0"/>
        <w:jc w:val="start"/>
        <w:rPr/>
      </w:pPr>
      <w:r>
        <w:rPr/>
        <w:t xml:space="preserve">Emitra replicates its business model to </w:t>
      </w:r>
      <w:r>
        <w:rPr>
          <w:b/>
        </w:rPr>
        <w:t>Vietnam and Malaysia</w:t>
      </w:r>
      <w:r>
        <w:rPr/>
        <w:t>—ASEAN countries with similar CBAM export risk profiles.</w:t>
      </w:r>
    </w:p>
    <w:p>
      <w:pPr>
        <w:pStyle w:val="BodyText"/>
        <w:numPr>
          <w:ilvl w:val="0"/>
          <w:numId w:val="18"/>
        </w:numPr>
        <w:tabs>
          <w:tab w:val="clear" w:pos="709"/>
          <w:tab w:val="left" w:pos="709" w:leader="none"/>
        </w:tabs>
        <w:bidi w:val="0"/>
        <w:ind w:hanging="283" w:start="709"/>
        <w:jc w:val="start"/>
        <w:rPr/>
      </w:pPr>
      <w:r>
        <w:rPr>
          <w:b/>
        </w:rPr>
        <w:t>Justification:</w:t>
      </w:r>
      <w:r>
        <w:rPr/>
        <w:t xml:space="preserve"> Vietnam and Malaysia are ASEAN's largest upstream metal manufacturing bases after Indonesia.</w:t>
      </w:r>
    </w:p>
    <w:p>
      <w:pPr>
        <w:pStyle w:val="BodyText"/>
        <w:numPr>
          <w:ilvl w:val="0"/>
          <w:numId w:val="18"/>
        </w:numPr>
        <w:tabs>
          <w:tab w:val="clear" w:pos="709"/>
          <w:tab w:val="left" w:pos="709" w:leader="none"/>
        </w:tabs>
        <w:bidi w:val="0"/>
        <w:ind w:hanging="283" w:start="709"/>
        <w:jc w:val="start"/>
        <w:rPr/>
      </w:pPr>
      <w:r>
        <w:rPr>
          <w:b/>
        </w:rPr>
        <w:t>Technical Scalability:</w:t>
      </w:r>
      <w:r>
        <w:rPr/>
        <w:t xml:space="preserve"> Cloud-native architecture — expansion only requires syncing local grid emission factors (e.g., EVN Vietnam).</w:t>
      </w:r>
    </w:p>
    <w:p>
      <w:pPr>
        <w:pStyle w:val="BodyText"/>
        <w:numPr>
          <w:ilvl w:val="0"/>
          <w:numId w:val="18"/>
        </w:numPr>
        <w:tabs>
          <w:tab w:val="clear" w:pos="709"/>
          <w:tab w:val="left" w:pos="709" w:leader="none"/>
        </w:tabs>
        <w:bidi w:val="0"/>
        <w:ind w:hanging="283" w:start="709"/>
        <w:jc w:val="start"/>
        <w:rPr/>
      </w:pPr>
      <w:r>
        <w:rPr>
          <w:b/>
        </w:rPr>
        <w:t>Cumulative Target:</w:t>
      </w:r>
      <w:r>
        <w:rPr/>
        <w:t xml:space="preserve"> 320 corporate clients regionally, capturing 10% of the 3,200-exporter SAM.</w:t>
      </w:r>
    </w:p>
    <w:p>
      <w:pPr>
        <w:pStyle w:val="Heading3"/>
        <w:numPr>
          <w:ilvl w:val="0"/>
          <w:numId w:val="0"/>
        </w:numPr>
        <w:bidi w:val="0"/>
        <w:ind w:hanging="0" w:start="0"/>
        <w:jc w:val="start"/>
        <w:rPr/>
      </w:pPr>
      <w:r>
        <w:rPr/>
        <w:t>9.4 Social, Economic &amp; Environmental Impact</w:t>
      </w:r>
    </w:p>
    <w:p>
      <w:pPr>
        <w:pStyle w:val="BodyText"/>
        <w:numPr>
          <w:ilvl w:val="0"/>
          <w:numId w:val="19"/>
        </w:numPr>
        <w:tabs>
          <w:tab w:val="clear" w:pos="709"/>
          <w:tab w:val="left" w:pos="709" w:leader="none"/>
        </w:tabs>
        <w:bidi w:val="0"/>
        <w:ind w:hanging="283" w:start="709"/>
        <w:jc w:val="start"/>
        <w:rPr/>
      </w:pPr>
      <w:r>
        <w:rPr>
          <w:b/>
        </w:rPr>
        <w:t>SME Upgrading:</w:t>
      </w:r>
      <w:r>
        <w:rPr/>
        <w:t xml:space="preserve"> Manufacturers transform from traditional high-emission industries to modern Green Exporters.</w:t>
      </w:r>
    </w:p>
    <w:p>
      <w:pPr>
        <w:pStyle w:val="BodyText"/>
        <w:numPr>
          <w:ilvl w:val="0"/>
          <w:numId w:val="19"/>
        </w:numPr>
        <w:tabs>
          <w:tab w:val="clear" w:pos="709"/>
          <w:tab w:val="left" w:pos="709" w:leader="none"/>
        </w:tabs>
        <w:bidi w:val="0"/>
        <w:ind w:hanging="283" w:start="709"/>
        <w:jc w:val="start"/>
        <w:rPr/>
      </w:pPr>
      <w:r>
        <w:rPr>
          <w:b/>
        </w:rPr>
        <w:t>Foreign Exchange Protection:</w:t>
      </w:r>
      <w:r>
        <w:rPr/>
        <w:t xml:space="preserve"> Safeguarding ~USD 757.7 million in exports threatened with losing EU competitiveness.</w:t>
      </w:r>
    </w:p>
    <w:p>
      <w:pPr>
        <w:pStyle w:val="BodyText"/>
        <w:numPr>
          <w:ilvl w:val="0"/>
          <w:numId w:val="19"/>
        </w:numPr>
        <w:tabs>
          <w:tab w:val="clear" w:pos="709"/>
          <w:tab w:val="left" w:pos="709" w:leader="none"/>
        </w:tabs>
        <w:bidi w:val="0"/>
        <w:ind w:hanging="283" w:start="709"/>
        <w:jc w:val="start"/>
        <w:rPr/>
      </w:pPr>
      <w:r>
        <w:rPr>
          <w:b/>
        </w:rPr>
        <w:t>NDC Contribution:</w:t>
      </w:r>
      <w:r>
        <w:rPr/>
        <w:t xml:space="preserve"> Supporting Indonesia's Nationally Determined Contributions through accurate decarbonization data.</w:t>
      </w:r>
    </w:p>
    <w:p>
      <w:pPr>
        <w:pStyle w:val="BodyText"/>
        <w:numPr>
          <w:ilvl w:val="0"/>
          <w:numId w:val="19"/>
        </w:numPr>
        <w:tabs>
          <w:tab w:val="clear" w:pos="709"/>
          <w:tab w:val="left" w:pos="709" w:leader="none"/>
        </w:tabs>
        <w:bidi w:val="0"/>
        <w:ind w:hanging="283" w:start="709"/>
        <w:jc w:val="start"/>
        <w:rPr/>
      </w:pPr>
      <w:r>
        <w:rPr>
          <w:b/>
        </w:rPr>
        <w:t>Green Financial Inclusion:</w:t>
      </w:r>
      <w:r>
        <w:rPr/>
        <w:t xml:space="preserve"> Opening access to green financing for SMEs previously deemed unbankable.</w:t>
      </w:r>
    </w:p>
    <w:p>
      <w:pPr>
        <w:pStyle w:val="HorizontalLine"/>
        <w:bidi w:val="0"/>
        <w:jc w:val="start"/>
        <w:rPr/>
      </w:pPr>
      <w:r>
        <w:rPr/>
      </w:r>
    </w:p>
    <w:p>
      <w:pPr>
        <w:pStyle w:val="Heading2"/>
        <w:bidi w:val="0"/>
        <w:ind w:hanging="0" w:start="0"/>
        <w:jc w:val="start"/>
        <w:rPr/>
      </w:pPr>
      <w:r>
        <w:rPr/>
        <w:t>APPENDIX: BUSINESS MODEL CANVAS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Block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b/>
              </w:rPr>
              <w:t>1. Key Partners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IISIA, ALFI, KADIN, KLHK, Kemendag. Verifiers: Sucofindo, SGS, Mutu Agung Lestari. Roadmap: BUMN Banks (Green Financing/KUR Hijau).</w:t>
            </w:r>
          </w:p>
        </w:tc>
      </w:tr>
      <w:tr>
        <w:trPr/>
        <w:tc>
          <w:tcPr>
            <w:tcW w:w="4819" w:type="dxa"/>
            <w:tcBorders>
              <w:start w:val="single" w:sz="4" w:space="0" w:color="000000"/>
              <w:bottom w:val="single" w:sz="4" w:space="0" w:color="000000"/>
            </w:tcBorders>
          </w:tcPr>
          <w:p>
            <w:pPr>
              <w:pStyle w:val="TableContents"/>
              <w:bidi w:val="0"/>
              <w:jc w:val="start"/>
              <w:rPr/>
            </w:pPr>
            <w:r>
              <w:rPr>
                <w:b/>
              </w:rPr>
              <w:t>2. Key Activities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SaaS &amp; AI OCR pipeline development. EU &amp; RI regulation monitoring. Client onboarding &amp; site visits. B2B enterprise sales.</w:t>
            </w:r>
          </w:p>
        </w:tc>
      </w:tr>
      <w:tr>
        <w:trPr/>
        <w:tc>
          <w:tcPr>
            <w:tcW w:w="4819" w:type="dxa"/>
            <w:tcBorders>
              <w:start w:val="single" w:sz="4" w:space="0" w:color="000000"/>
              <w:bottom w:val="single" w:sz="4" w:space="0" w:color="000000"/>
            </w:tcBorders>
          </w:tcPr>
          <w:p>
            <w:pPr>
              <w:pStyle w:val="TableContents"/>
              <w:bidi w:val="0"/>
              <w:jc w:val="start"/>
              <w:rPr/>
            </w:pPr>
            <w:r>
              <w:rPr>
                <w:b/>
              </w:rPr>
              <w:t>3. Key Resources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AI/OCR algorithms, dynamic emission factor database. Core team + engineers + sales. Scalable cloud infrastructure.</w:t>
            </w:r>
          </w:p>
        </w:tc>
      </w:tr>
      <w:tr>
        <w:trPr/>
        <w:tc>
          <w:tcPr>
            <w:tcW w:w="4819" w:type="dxa"/>
            <w:tcBorders>
              <w:start w:val="single" w:sz="4" w:space="0" w:color="000000"/>
              <w:bottom w:val="single" w:sz="4" w:space="0" w:color="000000"/>
            </w:tcBorders>
          </w:tcPr>
          <w:p>
            <w:pPr>
              <w:pStyle w:val="TableContents"/>
              <w:bidi w:val="0"/>
              <w:jc w:val="start"/>
              <w:rPr/>
            </w:pPr>
            <w:r>
              <w:rPr>
                <w:b/>
              </w:rPr>
              <w:t>4. Value Propositions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Full automation: raw data → CBAM XML. 50%+ savings vs. manual consultants. Audit-trail transparency. Dual compliance (CBAM EU + IDXCarbon).</w:t>
            </w:r>
          </w:p>
        </w:tc>
      </w:tr>
      <w:tr>
        <w:trPr/>
        <w:tc>
          <w:tcPr>
            <w:tcW w:w="4819" w:type="dxa"/>
            <w:tcBorders>
              <w:start w:val="single" w:sz="4" w:space="0" w:color="000000"/>
              <w:bottom w:val="single" w:sz="4" w:space="0" w:color="000000"/>
            </w:tcBorders>
          </w:tcPr>
          <w:p>
            <w:pPr>
              <w:pStyle w:val="TableContents"/>
              <w:bidi w:val="0"/>
              <w:jc w:val="start"/>
              <w:rPr/>
            </w:pPr>
            <w:r>
              <w:rPr>
                <w:b/>
              </w:rPr>
              <w:t>5. Customer Relationships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Dedicated onboarding. WhatsApp Business API support. Regular regulation webinars.</w:t>
            </w:r>
          </w:p>
        </w:tc>
      </w:tr>
      <w:tr>
        <w:trPr/>
        <w:tc>
          <w:tcPr>
            <w:tcW w:w="4819" w:type="dxa"/>
            <w:tcBorders>
              <w:start w:val="single" w:sz="4" w:space="0" w:color="000000"/>
              <w:bottom w:val="single" w:sz="4" w:space="0" w:color="000000"/>
            </w:tcBorders>
          </w:tcPr>
          <w:p>
            <w:pPr>
              <w:pStyle w:val="TableContents"/>
              <w:bidi w:val="0"/>
              <w:jc w:val="start"/>
              <w:rPr/>
            </w:pPr>
            <w:r>
              <w:rPr>
                <w:b/>
              </w:rPr>
              <w:t>6. Channels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Industry association partnerships. Direct sales to factories. Inbound: SEO, whitepapers, case studies.</w:t>
            </w:r>
          </w:p>
        </w:tc>
      </w:tr>
      <w:tr>
        <w:trPr/>
        <w:tc>
          <w:tcPr>
            <w:tcW w:w="4819" w:type="dxa"/>
            <w:tcBorders>
              <w:start w:val="single" w:sz="4" w:space="0" w:color="000000"/>
              <w:bottom w:val="single" w:sz="4" w:space="0" w:color="000000"/>
            </w:tcBorders>
          </w:tcPr>
          <w:p>
            <w:pPr>
              <w:pStyle w:val="TableContents"/>
              <w:bidi w:val="0"/>
              <w:jc w:val="start"/>
              <w:rPr/>
            </w:pPr>
            <w:r>
              <w:rPr>
                <w:b/>
              </w:rPr>
              <w:t>7. Customer Segments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SME–Mid-size iron, steel, aluminum exporters. Geographic: Cikarang, Cilegon, Karawang.</w:t>
            </w:r>
          </w:p>
        </w:tc>
      </w:tr>
      <w:tr>
        <w:trPr/>
        <w:tc>
          <w:tcPr>
            <w:tcW w:w="4819" w:type="dxa"/>
            <w:tcBorders>
              <w:start w:val="single" w:sz="4" w:space="0" w:color="000000"/>
              <w:bottom w:val="single" w:sz="4" w:space="0" w:color="000000"/>
            </w:tcBorders>
          </w:tcPr>
          <w:p>
            <w:pPr>
              <w:pStyle w:val="TableContents"/>
              <w:bidi w:val="0"/>
              <w:jc w:val="start"/>
              <w:rPr/>
            </w:pPr>
            <w:r>
              <w:rPr>
                <w:b/>
              </w:rPr>
              <w:t>8. Cost Structure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Fixed: Engineering salaries, legal, security audits. Variable: Cloud, sales commissions, CAC, site visits.</w:t>
            </w:r>
          </w:p>
        </w:tc>
      </w:tr>
      <w:tr>
        <w:trPr/>
        <w:tc>
          <w:tcPr>
            <w:tcW w:w="4819" w:type="dxa"/>
            <w:tcBorders>
              <w:start w:val="single" w:sz="4" w:space="0" w:color="000000"/>
              <w:bottom w:val="single" w:sz="4" w:space="0" w:color="000000"/>
            </w:tcBorders>
          </w:tcPr>
          <w:p>
            <w:pPr>
              <w:pStyle w:val="TableContents"/>
              <w:bidi w:val="0"/>
              <w:jc w:val="start"/>
              <w:rPr/>
            </w:pPr>
            <w:r>
              <w:rPr>
                <w:b/>
              </w:rPr>
              <w:t>9. Revenue Streams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Setup Fee (IDR 30–50M). Annual SaaS (IDR 50–80M/year). Add-on: emission reduction consulting (Year 2+).</w:t>
            </w:r>
          </w:p>
        </w:tc>
      </w:tr>
    </w:tbl>
    <w:p>
      <w:pPr>
        <w:pStyle w:val="BodyText"/>
        <w:bidi w:val="0"/>
        <w:jc w:val="start"/>
        <w:rPr/>
      </w:pPr>
      <w:r>
        <w:rPr/>
      </w:r>
    </w:p>
    <w:p>
      <w:pPr>
        <w:pStyle w:val="HorizontalLine"/>
        <w:bidi w:val="0"/>
        <w:jc w:val="start"/>
        <w:rPr/>
      </w:pPr>
      <w:r>
        <w:rPr/>
      </w:r>
    </w:p>
    <w:p>
      <w:pPr>
        <w:pStyle w:val="BodyText"/>
        <w:bidi w:val="0"/>
        <w:jc w:val="start"/>
        <w:rPr/>
      </w:pPr>
      <w:r>
        <w:rPr>
          <w:i/>
        </w:rPr>
        <w:t>This proposal is a finalized business plan assembled through 5-AI orchestration and refined through multi-AI audit. All numerical metrics, regulatory parameters, and financial data have been cross-referenced for internal consistency. Financial projections for Years 2–3 are based on conservative B2B SaaS assumptions. Ready for PDF conversion and submission.</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