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毕业设计任务书</w:t>
      </w:r>
    </w:p>
    <w:p>
      <w:pPr>
        <w:spacing w:after="200"/>
      </w:pPr>
      <w:r>
        <w:rPr>
          <w:rFonts w:ascii="Times New Roman" w:hAnsi="Times New Roman" w:eastAsia="黑体"/>
          <w:color w:val="000000"/>
          <w:sz w:val="24"/>
        </w:rPr>
        <w:t>基于 Spring Cloud 的智慧社区停车位共享与结算系统</w:t>
      </w:r>
    </w:p>
    <w:p>
      <w:pPr>
        <w:spacing w:after="160"/>
      </w:pPr>
      <w:r>
        <w:rPr>
          <w:rFonts w:ascii="Times New Roman" w:hAnsi="Times New Roman" w:eastAsia="宋体"/>
          <w:color w:val="000000"/>
          <w:sz w:val="18"/>
        </w:rPr>
        <w:t>文档编号 SPCS T01    版本 V1.1    编制日期 2026年10月15日</w:t>
      </w:r>
    </w:p>
    <w:p>
      <w:r>
        <w:t>学校：____________    学院与专业：____________</w:t>
        <w:br/>
        <w:t>学生姓名：________    学号：________    指导教师：________</w:t>
      </w:r>
    </w:p>
    <w:p>
      <w:pPr>
        <w:pStyle w:val="Heading1"/>
      </w:pPr>
      <w:r>
        <w:t>一 课题基本情况</w:t>
      </w:r>
    </w:p>
    <w:p>
      <w:pPr>
        <w:ind w:firstLine="440"/>
      </w:pPr>
      <w:r>
        <w:t>课题名称为“基于 Spring Cloud 的智慧社区停车位共享与结算系统”。课题类型为软件工程应用设计，面向社区居民、临时停车用户、物业管理员和平台管理员，完成可运行、可测试、可演示的共享停车原型系统。课题来源按学院要求填写为自拟课题或导师课题。</w:t>
      </w:r>
    </w:p>
    <w:p>
      <w:pPr>
        <w:pStyle w:val="Heading1"/>
      </w:pPr>
      <w:r>
        <w:t>二 研究目的与意义</w:t>
      </w:r>
    </w:p>
    <w:p>
      <w:pPr>
        <w:ind w:firstLine="440"/>
      </w:pPr>
      <w:r>
        <w:t>社区车位具有明确的空间归属和可共享时间。车位业主离开期间，停车用户可能需要短时停车；如果只有车位展示而没有预约占用、异常处理和收益记录，双方就难以形成稳定的交易闭环。本课题围绕“资源可用、预约可信、费用可解释、结算可追踪”开展设计，实现从共享申请到模拟结算的全过程管理。</w:t>
      </w:r>
    </w:p>
    <w:p>
      <w:pPr>
        <w:ind w:firstLine="440"/>
      </w:pPr>
      <w:r>
        <w:t>通过该课题训练需求分析、领域建模、微服务开发、数据库设计、接口联调和软件测试能力。系统价值通过业务用例与实验结果检验，不以实际社区运营、真实交易收益或停车拥堵下降作为未经验证的结论。</w:t>
      </w:r>
    </w:p>
    <w:p>
      <w:pPr>
        <w:pStyle w:val="Heading1"/>
      </w:pPr>
      <w:r>
        <w:t>三 设计范围与完成目标</w:t>
      </w:r>
    </w:p>
    <w:tbl>
      <w:tblPr>
        <w:tblW w:type="auto" w:w="0"/>
        <w:jc w:val="center"/>
        <w:tblLayout w:type="fixed"/>
        <w:tblLook w:firstColumn="1" w:firstRow="1" w:lastColumn="0" w:lastRow="0" w:noHBand="0" w:noVBand="1" w:val="04A0"/>
      </w:tblPr>
      <w:tblGrid>
        <w:gridCol w:w="1361"/>
        <w:gridCol w:w="7937"/>
      </w:tblGrid>
      <w:tr>
        <w:trPr>
          <w:cantSplit/>
          <w:tblHeader/>
        </w:trPr>
        <w:tc>
          <w:tcPr>
            <w:tcW w:type="dxa" w:w="136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jc w:val="center"/>
            </w:pPr>
            <w:r>
              <w:rPr>
                <w:rFonts w:ascii="Times New Roman" w:hAnsi="Times New Roman" w:eastAsia="宋体"/>
                <w:b/>
                <w:color w:val="000000"/>
                <w:sz w:val="19"/>
              </w:rPr>
              <w:t>层次</w:t>
            </w:r>
          </w:p>
        </w:tc>
        <w:tc>
          <w:tcPr>
            <w:tcW w:type="dxa" w:w="793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规定内容</w:t>
            </w:r>
          </w:p>
        </w:tc>
      </w:tr>
      <w:tr>
        <w:trPr>
          <w:cantSplit/>
        </w:trPr>
        <w:tc>
          <w:tcPr>
            <w:tcW w:type="dxa" w:w="136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必须完成</w:t>
            </w:r>
          </w:p>
        </w:tc>
        <w:tc>
          <w:tcPr>
            <w:tcW w:type="dxa" w:w="793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账号与权限、本人车辆、社区与车位审核、共享时段、预约防冲突、入离场模拟、计费、模拟支付、退款、收益结算、对账、站内通知与基础统计。</w:t>
            </w:r>
          </w:p>
        </w:tc>
      </w:tr>
      <w:tr>
        <w:trPr>
          <w:cantSplit/>
        </w:trPr>
        <w:tc>
          <w:tcPr>
            <w:tcW w:type="dxa" w:w="136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可选扩展</w:t>
            </w:r>
          </w:p>
        </w:tc>
        <w:tc>
          <w:tcPr>
            <w:tcW w:type="dxa" w:w="793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地图展示、短信或外部消息推送、停车评价、可用车位排序、支付沙箱；在核心用例通过后开展。</w:t>
            </w:r>
          </w:p>
        </w:tc>
      </w:tr>
      <w:tr>
        <w:trPr>
          <w:cantSplit/>
        </w:trPr>
        <w:tc>
          <w:tcPr>
            <w:tcW w:type="dxa" w:w="136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范围边界</w:t>
            </w:r>
          </w:p>
        </w:tc>
        <w:tc>
          <w:tcPr>
            <w:tcW w:type="dxa" w:w="7937"/>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不接入真实资金清算，不采购道闸或车牌识别设备，不承诺物理车位绝对可用，不开展城市级预测调度。</w:t>
            </w:r>
          </w:p>
        </w:tc>
      </w:tr>
    </w:tbl>
    <w:p>
      <w:pPr>
        <w:spacing w:after="20"/>
      </w:pPr>
    </w:p>
    <w:p>
      <w:pPr>
        <w:ind w:firstLine="440"/>
      </w:pPr>
      <w:r>
        <w:t>目标成果为一套前后端分离系统及配套工程文档。评价重点为正确性和可复现性，核心异常路径应与正常流程一并交付。</w:t>
      </w:r>
    </w:p>
    <w:p>
      <w:pPr>
        <w:pStyle w:val="Heading1"/>
        <w:pageBreakBefore/>
      </w:pPr>
      <w:r>
        <w:t>四 主要工作任务</w:t>
      </w:r>
    </w:p>
    <w:tbl>
      <w:tblPr>
        <w:tblW w:type="auto" w:w="0"/>
        <w:jc w:val="center"/>
        <w:tblLayout w:type="fixed"/>
        <w:tblLook w:firstColumn="1" w:firstRow="1" w:lastColumn="0" w:lastRow="0" w:noHBand="0" w:noVBand="1" w:val="04A0"/>
      </w:tblPr>
      <w:tblGrid>
        <w:gridCol w:w="1531"/>
        <w:gridCol w:w="5272"/>
        <w:gridCol w:w="2494"/>
      </w:tblGrid>
      <w:tr>
        <w:trPr>
          <w:cantSplit/>
          <w:tblHeader/>
        </w:trPr>
        <w:tc>
          <w:tcPr>
            <w:tcW w:type="dxa" w:w="153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jc w:val="center"/>
            </w:pPr>
            <w:r>
              <w:rPr>
                <w:rFonts w:ascii="Times New Roman" w:hAnsi="Times New Roman" w:eastAsia="宋体"/>
                <w:b/>
                <w:color w:val="000000"/>
                <w:sz w:val="19"/>
              </w:rPr>
              <w:t>任务</w:t>
            </w:r>
          </w:p>
        </w:tc>
        <w:tc>
          <w:tcPr>
            <w:tcW w:type="dxa" w:w="527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具体要求</w:t>
            </w:r>
          </w:p>
        </w:tc>
        <w:tc>
          <w:tcPr>
            <w:tcW w:type="dxa" w:w="249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交付证据</w:t>
            </w:r>
          </w:p>
        </w:tc>
      </w:tr>
      <w:tr>
        <w:trPr>
          <w:cantSplit/>
        </w:trPr>
        <w:tc>
          <w:tcPr>
            <w:tcW w:type="dxa" w:w="153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T01 文献研究</w:t>
            </w:r>
          </w:p>
        </w:tc>
        <w:tc>
          <w:tcPr>
            <w:tcW w:type="dxa" w:w="527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梳理共享停车、预约分配、系统架构与一致性控制资料，辨析适用条件与研究不足。</w:t>
            </w:r>
          </w:p>
        </w:tc>
        <w:tc>
          <w:tcPr>
            <w:tcW w:type="dxa" w:w="249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文献调研与综述、来源链接</w:t>
            </w:r>
          </w:p>
        </w:tc>
      </w:tr>
      <w:tr>
        <w:trPr>
          <w:cantSplit/>
        </w:trPr>
        <w:tc>
          <w:tcPr>
            <w:tcW w:type="dxa" w:w="153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T02 需求分析</w:t>
            </w:r>
          </w:p>
        </w:tc>
        <w:tc>
          <w:tcPr>
            <w:tcW w:type="dxa" w:w="527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明确四类角色、业务边界、时段冲突、取消退款、结算口径及异常处理。</w:t>
            </w:r>
          </w:p>
        </w:tc>
        <w:tc>
          <w:tcPr>
            <w:tcW w:type="dxa" w:w="249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需求规格说明书、验收用例</w:t>
            </w:r>
          </w:p>
        </w:tc>
      </w:tr>
      <w:tr>
        <w:trPr>
          <w:cantSplit/>
        </w:trPr>
        <w:tc>
          <w:tcPr>
            <w:tcW w:type="dxa" w:w="153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T03 系统设计</w:t>
            </w:r>
          </w:p>
        </w:tc>
        <w:tc>
          <w:tcPr>
            <w:tcW w:type="dxa" w:w="527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完成页面原型、服务拆分、数据库、接口、状态机、部署与安全设计。</w:t>
            </w:r>
          </w:p>
        </w:tc>
        <w:tc>
          <w:tcPr>
            <w:tcW w:type="dxa" w:w="249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原型与概要设计</w:t>
            </w:r>
          </w:p>
        </w:tc>
      </w:tr>
      <w:tr>
        <w:trPr>
          <w:cantSplit/>
        </w:trPr>
        <w:tc>
          <w:tcPr>
            <w:tcW w:type="dxa" w:w="153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T04 系统实现</w:t>
            </w:r>
          </w:p>
        </w:tc>
        <w:tc>
          <w:tcPr>
            <w:tcW w:type="dxa" w:w="527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开发网关、身份、停车预约、交易结算服务及前端，形成端到端闭环。</w:t>
            </w:r>
          </w:p>
        </w:tc>
        <w:tc>
          <w:tcPr>
            <w:tcW w:type="dxa" w:w="249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源代码、迁移脚本、启动说明</w:t>
            </w:r>
          </w:p>
        </w:tc>
      </w:tr>
      <w:tr>
        <w:trPr>
          <w:cantSplit/>
        </w:trPr>
        <w:tc>
          <w:tcPr>
            <w:tcW w:type="dxa" w:w="153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T05 实验测试</w:t>
            </w:r>
          </w:p>
        </w:tc>
        <w:tc>
          <w:tcPr>
            <w:tcW w:type="dxa" w:w="527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验证并发预约、重复通知、故障恢复、权限隔离、金额守恒及性能目标。</w:t>
            </w:r>
          </w:p>
        </w:tc>
        <w:tc>
          <w:tcPr>
            <w:tcW w:type="dxa" w:w="249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测试脚本、原始日志、测试报告</w:t>
            </w:r>
          </w:p>
        </w:tc>
      </w:tr>
      <w:tr>
        <w:trPr>
          <w:cantSplit/>
        </w:trPr>
        <w:tc>
          <w:tcPr>
            <w:tcW w:type="dxa" w:w="1531"/>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jc w:val="center"/>
            </w:pPr>
            <w:r>
              <w:rPr>
                <w:rFonts w:ascii="Times New Roman" w:hAnsi="Times New Roman" w:eastAsia="宋体"/>
                <w:b w:val="0"/>
                <w:color w:val="000000"/>
                <w:sz w:val="19"/>
              </w:rPr>
              <w:t>T06 成果整理</w:t>
            </w:r>
          </w:p>
        </w:tc>
        <w:tc>
          <w:tcPr>
            <w:tcW w:type="dxa" w:w="5272"/>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撰写论文，整理环境与演示数据，准备答辩展示和演示视频。</w:t>
            </w:r>
          </w:p>
        </w:tc>
        <w:tc>
          <w:tcPr>
            <w:tcW w:type="dxa" w:w="249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论文、演示材料、交付清单</w:t>
            </w:r>
          </w:p>
        </w:tc>
      </w:tr>
    </w:tbl>
    <w:p>
      <w:pPr>
        <w:spacing w:after="20"/>
      </w:pPr>
    </w:p>
    <w:p>
      <w:pPr>
        <w:pStyle w:val="Heading1"/>
      </w:pPr>
      <w:r>
        <w:t>五 技术要求</w:t>
      </w:r>
    </w:p>
    <w:p>
      <w:pPr>
        <w:ind w:firstLine="440"/>
      </w:pPr>
      <w:r>
        <w:t>采用 Java 21、Spring Boot 与 Spring Cloud，使用 Spring Cloud Gateway 统一入口；按官方兼容表优先验证 Spring Boot 4.0.x 与 Spring Cloud 2025.1.x，具体补丁版在第 2 周锁定。注册发现采用 Eureka，服务间调用采用 Spring HTTP Service Clients 配合 LoadBalancer。前端采用 Vue 3 与 TypeScript；关系数据采用 MySQL 8.4，Redis 用于缓存与限流，RabbitMQ 用于异步事件，Docker Compose 用于开发演示部署。</w:t>
      </w:r>
    </w:p>
    <w:p>
      <w:pPr>
        <w:ind w:firstLine="440"/>
      </w:pPr>
      <w:r>
        <w:t>微服务以业务一致性边界划分：身份服务负责账号及权限，停车预约服务共同管理车位、可用时段与订单，交易结算服务负责支付、退款、流水与结算。各服务独立访问自己的数据库，禁止跨库直接写入。预约占用以数据库事务为最终约束，缓存不得成为正确性的唯一保障。</w:t>
      </w:r>
    </w:p>
    <w:p>
      <w:pPr>
        <w:ind w:firstLine="440"/>
      </w:pPr>
      <w:r>
        <w:t>采用请求幂等键、事件编号、Outbox 本地事件表与消费去重记录处理重试。支付和停车状态分别保存，任何金额变更都留下可关联的流水。所有支付及业主打款仅模拟执行。</w:t>
      </w:r>
    </w:p>
    <w:p>
      <w:pPr>
        <w:pStyle w:val="Heading1"/>
        <w:pageBreakBefore/>
      </w:pPr>
      <w:r>
        <w:t>六 进度安排与阶段检查</w:t>
      </w:r>
    </w:p>
    <w:p>
      <w:pPr>
        <w:ind w:firstLine="440"/>
      </w:pPr>
      <w:r>
        <w:t>项目按 16 周安排，以学院批准的启动日期为第 1 周起点。阶段顺序保持固定，实际起止日期由导师与学生根据校历补充。预计投入 320 小时，其中开发与验证约占三分之二。</w:t>
      </w:r>
    </w:p>
    <w:tbl>
      <w:tblPr>
        <w:tblW w:type="auto" w:w="0"/>
        <w:jc w:val="center"/>
        <w:tblLayout w:type="fixed"/>
        <w:tblLook w:firstColumn="1" w:firstRow="1" w:lastColumn="0" w:lastRow="0" w:noHBand="0" w:noVBand="1" w:val="04A0"/>
      </w:tblPr>
      <w:tblGrid>
        <w:gridCol w:w="1814"/>
        <w:gridCol w:w="1134"/>
        <w:gridCol w:w="6350"/>
      </w:tblGrid>
      <w:tr>
        <w:trPr>
          <w:cantSplit/>
          <w:tblHeader/>
        </w:trPr>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阶段</w:t>
            </w:r>
          </w:p>
        </w:tc>
        <w:tc>
          <w:tcPr>
            <w:tcW w:type="dxa" w:w="113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周次</w:t>
            </w:r>
          </w:p>
        </w:tc>
        <w:tc>
          <w:tcPr>
            <w:tcW w:type="dxa" w:w="635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成果与检查要求</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选题与调研</w:t>
            </w:r>
          </w:p>
        </w:tc>
        <w:tc>
          <w:tcPr>
            <w:tcW w:type="dxa" w:w="113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1—2</w:t>
            </w:r>
          </w:p>
        </w:tc>
        <w:tc>
          <w:tcPr>
            <w:tcW w:type="dxa" w:w="635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完成任务书、文献综述、开题报告及技术兼容性验证。</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需求与设计</w:t>
            </w:r>
          </w:p>
        </w:tc>
        <w:tc>
          <w:tcPr>
            <w:tcW w:type="dxa" w:w="113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3—4</w:t>
            </w:r>
          </w:p>
        </w:tc>
        <w:tc>
          <w:tcPr>
            <w:tcW w:type="dxa" w:w="635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完成需求基线、页面原型、数据库和接口设计；导师审阅核心规则。</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基础实现</w:t>
            </w:r>
          </w:p>
        </w:tc>
        <w:tc>
          <w:tcPr>
            <w:tcW w:type="dxa" w:w="113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5—6</w:t>
            </w:r>
          </w:p>
        </w:tc>
        <w:tc>
          <w:tcPr>
            <w:tcW w:type="dxa" w:w="635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登录鉴权、社区与车位审核、共享时段、统一网关可演示。</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预约与停车</w:t>
            </w:r>
          </w:p>
        </w:tc>
        <w:tc>
          <w:tcPr>
            <w:tcW w:type="dxa" w:w="113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7—8</w:t>
            </w:r>
          </w:p>
        </w:tc>
        <w:tc>
          <w:tcPr>
            <w:tcW w:type="dxa" w:w="635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完成预约冲突控制、入离场模拟及状态流转；通过并发专项测试。</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交易与结算</w:t>
            </w:r>
          </w:p>
        </w:tc>
        <w:tc>
          <w:tcPr>
            <w:tcW w:type="dxa" w:w="113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9—10</w:t>
            </w:r>
          </w:p>
        </w:tc>
        <w:tc>
          <w:tcPr>
            <w:tcW w:type="dxa" w:w="635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完成模拟支付、退款、流水、收益结算和对账。</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集成与验证</w:t>
            </w:r>
          </w:p>
        </w:tc>
        <w:tc>
          <w:tcPr>
            <w:tcW w:type="dxa" w:w="113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11—12</w:t>
            </w:r>
          </w:p>
        </w:tc>
        <w:tc>
          <w:tcPr>
            <w:tcW w:type="dxa" w:w="635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形成全部核心用例闭环，完成权限与消息恢复测试。</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质量与论文</w:t>
            </w:r>
          </w:p>
        </w:tc>
        <w:tc>
          <w:tcPr>
            <w:tcW w:type="dxa" w:w="113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13—14</w:t>
            </w:r>
          </w:p>
        </w:tc>
        <w:tc>
          <w:tcPr>
            <w:tcW w:type="dxa" w:w="635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完成性能实验、缺陷修复、论文初稿及部署说明。</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验收与答辩</w:t>
            </w:r>
          </w:p>
        </w:tc>
        <w:tc>
          <w:tcPr>
            <w:tcW w:type="dxa" w:w="113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15—16</w:t>
            </w:r>
          </w:p>
        </w:tc>
        <w:tc>
          <w:tcPr>
            <w:tcW w:type="dxa" w:w="6350"/>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完成回归测试、论文定稿、成果归档和答辩演练。</w:t>
            </w:r>
          </w:p>
        </w:tc>
      </w:tr>
    </w:tbl>
    <w:p>
      <w:pPr>
        <w:spacing w:after="20"/>
      </w:pPr>
    </w:p>
    <w:p>
      <w:pPr>
        <w:pStyle w:val="Heading1"/>
      </w:pPr>
      <w:r>
        <w:t>七 预期成果</w:t>
      </w:r>
    </w:p>
    <w:p>
      <w:pPr>
        <w:ind w:firstLine="440"/>
      </w:pPr>
      <w:r>
        <w:t>提交本任务书、文献调研与综述、开题报告、项目实施计划报告、需求规格说明书、原型与概要设计六份独立文档；实施阶段继续提交前后端源代码、数据库迁移与演示数据脚本、接口文档、测试报告、部署与用户手册、毕业论文及答辩材料。</w:t>
      </w:r>
    </w:p>
    <w:p>
      <w:pPr>
        <w:ind w:firstLine="440"/>
      </w:pPr>
      <w:r>
        <w:t>代码仓库应包含清晰的模块结构与版本记录，演示数据标记为模拟数据。论文中的截图、性能指标和测试结论须来自最终交付版本，未经实验不得填写“已达到”或虚构实测值。</w:t>
      </w:r>
    </w:p>
    <w:p>
      <w:pPr>
        <w:pStyle w:val="Heading1"/>
        <w:pageBreakBefore/>
      </w:pPr>
      <w:r>
        <w:t>八 验收要求与指导安排</w:t>
      </w:r>
    </w:p>
    <w:tbl>
      <w:tblPr>
        <w:tblW w:type="auto" w:w="0"/>
        <w:jc w:val="center"/>
        <w:tblLayout w:type="fixed"/>
        <w:tblLook w:firstColumn="1" w:firstRow="1" w:lastColumn="0" w:lastRow="0" w:noHBand="0" w:noVBand="1" w:val="04A0"/>
      </w:tblPr>
      <w:tblGrid>
        <w:gridCol w:w="1814"/>
        <w:gridCol w:w="7483"/>
      </w:tblGrid>
      <w:tr>
        <w:trPr>
          <w:cantSplit/>
          <w:tblHeader/>
        </w:trPr>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验收项目</w:t>
            </w:r>
          </w:p>
        </w:tc>
        <w:tc>
          <w:tcPr>
            <w:tcW w:type="dxa" w:w="7483"/>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shd w:fill="E8EDF2"/>
          </w:tcPr>
          <w:p>
            <w:pPr>
              <w:spacing w:after="40" w:before="40" w:line="269" w:lineRule="auto"/>
            </w:pPr>
            <w:r>
              <w:rPr>
                <w:rFonts w:ascii="Times New Roman" w:hAnsi="Times New Roman" w:eastAsia="宋体"/>
                <w:b/>
                <w:color w:val="000000"/>
                <w:sz w:val="19"/>
              </w:rPr>
              <w:t>可判定标准</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核心业务</w:t>
            </w:r>
          </w:p>
        </w:tc>
        <w:tc>
          <w:tcPr>
            <w:tcW w:type="dxa" w:w="7483"/>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四类角色可分别完成授权操作；从车位发布、预约、支付到结算的主流程可复现。</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预约正确性</w:t>
            </w:r>
          </w:p>
        </w:tc>
        <w:tc>
          <w:tcPr>
            <w:tcW w:type="dxa" w:w="7483"/>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在车位可用、参数合法且依赖健康时，100 个不同请求争抢同一时段应恰好 1 单成功、99 个冲突；相邻时段均可预约。</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幂等与恢复</w:t>
            </w:r>
          </w:p>
        </w:tc>
        <w:tc>
          <w:tcPr>
            <w:tcW w:type="dxa" w:w="7483"/>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同一支付结果重放 100 次仅产生 1 次有效入账；消息中断恢复后无重复结算。</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金额守恒</w:t>
            </w:r>
          </w:p>
        </w:tc>
        <w:tc>
          <w:tcPr>
            <w:tcW w:type="dxa" w:w="7483"/>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逐单满足实收减退款等于平台收入加业主收益；已结算退款通过冲正追溯，金额差为 0 分。</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权限隔离</w:t>
            </w:r>
          </w:p>
        </w:tc>
        <w:tc>
          <w:tcPr>
            <w:tcW w:type="dxa" w:w="7483"/>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普通用户不能读取他人订单；业主不能管理他人车位；物业只能操作授权社区。</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性能目标</w:t>
            </w:r>
          </w:p>
        </w:tc>
        <w:tc>
          <w:tcPr>
            <w:tcW w:type="dxa" w:w="7483"/>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在记录配置的测试环境中，以 50 个并发用户持续 10 分钟运行，查询 P95 ≤ 1 秒，预约 P95 ≤ 2 秒，非业务预期错误率 &lt; 1%。</w:t>
            </w:r>
          </w:p>
        </w:tc>
      </w:tr>
      <w:tr>
        <w:trPr>
          <w:cantSplit/>
        </w:trPr>
        <w:tc>
          <w:tcPr>
            <w:tcW w:type="dxa" w:w="1814"/>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工程可交付</w:t>
            </w:r>
          </w:p>
        </w:tc>
        <w:tc>
          <w:tcPr>
            <w:tcW w:type="dxa" w:w="7483"/>
            <w:vAlign w:val="center"/>
            <w:tcBorders>
              <w:top w:val="single" w:sz="4" w:color="D9D9D9"/>
              <w:left w:val="single" w:sz="4" w:color="D9D9D9"/>
              <w:bottom w:val="single" w:sz="4" w:color="D9D9D9"/>
              <w:right w:val="single" w:sz="4" w:color="D9D9D9"/>
            </w:tcBorders>
            <w:tcMar>
              <w:top w:w="65" w:type="dxa"/>
              <w:bottom w:w="65" w:type="dxa"/>
              <w:left w:w="90" w:type="dxa"/>
              <w:right w:w="90" w:type="dxa"/>
            </w:tcMar>
          </w:tcPr>
          <w:p>
            <w:pPr>
              <w:spacing w:after="40" w:before="40" w:line="269" w:lineRule="auto"/>
            </w:pPr>
            <w:r>
              <w:rPr>
                <w:rFonts w:ascii="Times New Roman" w:hAnsi="Times New Roman" w:eastAsia="宋体"/>
                <w:b w:val="0"/>
                <w:color w:val="000000"/>
                <w:sz w:val="19"/>
              </w:rPr>
              <w:t>按部署说明完成干净环境启动；核心用例全部通过；无未解决的阻断级和严重级缺陷。</w:t>
            </w:r>
          </w:p>
        </w:tc>
      </w:tr>
    </w:tbl>
    <w:p>
      <w:pPr>
        <w:spacing w:after="20"/>
      </w:pPr>
    </w:p>
    <w:p>
      <w:pPr>
        <w:ind w:firstLine="440"/>
      </w:pPr>
      <w:r>
        <w:t>性能指标属于拟验收目标，测试数据建议包含 3 个社区、300 个车位、1000 名用户和 10000 条历史订单；测试报告记录硬件、容器资源、软件版本、预热方式、样本数量及 P95 计算口径。</w:t>
      </w:r>
    </w:p>
    <w:p>
      <w:pPr>
        <w:pStyle w:val="Heading1"/>
      </w:pPr>
      <w:r>
        <w:t>九 指导与学术要求</w:t>
      </w:r>
    </w:p>
    <w:p>
      <w:pPr>
        <w:ind w:firstLine="440"/>
      </w:pPr>
      <w:r>
        <w:t>每周向导师提交进度记录，说明已完成工作、问题、下一周任务及对应代码版本；第 4、8、12、15 周安排里程碑检查。所有引用按学校规范标注，第三方代码与素材注明来源。身份信息仅在封面填写，演示使用虚拟账号与脱敏车牌。</w:t>
      </w:r>
    </w:p>
    <w:p>
      <w:pPr>
        <w:pStyle w:val="Heading1"/>
      </w:pPr>
      <w:r>
        <w:t>十 主要参考依据</w:t>
      </w:r>
    </w:p>
    <w:p>
      <w:pPr>
        <w:ind w:firstLine="440"/>
      </w:pPr>
      <w:r>
        <w:t>主要参考依据列于下页，编号与文献综述保持一致，可独立检索。性能及恢复测试的执行口径见本任务书附件，所有指标均为拟验收目标。</w:t>
      </w:r>
    </w:p>
    <w:p>
      <w:r>
        <w:t>指导教师意见：________________________________________________</w:t>
        <w:br/>
        <w:t>指导教师签名：____________    日期：____________</w:t>
        <w:br/>
        <w:t>教研室审核意见：______________________________________________</w:t>
        <w:br/>
        <w:t>审核人签名：____________      日期：____________</w:t>
      </w:r>
    </w:p>
    <w:p>
      <w:pPr>
        <w:pStyle w:val="Heading1"/>
        <w:pageBreakBefore/>
      </w:pPr>
      <w:r>
        <w:t>附件 参考依据与测试口径</w:t>
      </w:r>
    </w:p>
    <w:p>
      <w:pPr>
        <w:spacing w:after="200"/>
      </w:pPr>
      <w:r>
        <w:rPr>
          <w:rFonts w:ascii="Times New Roman" w:hAnsi="Times New Roman" w:eastAsia="宋体"/>
          <w:color w:val="000000"/>
          <w:sz w:val="20"/>
        </w:rPr>
        <w:t>[1] 国务院办公厅. 国务院办公厅转发国家发展改革委等部门关于推动城市停车设施发展意见的通知 国办函〔2021〕46号[EB/OL]. (2021-05-21)[2026-10-15]. https://app.www.gov.cn/govdata/gov/202105/21/471594/article.html</w:t>
      </w:r>
    </w:p>
    <w:p>
      <w:pPr>
        <w:spacing w:after="200"/>
      </w:pPr>
      <w:r>
        <w:rPr>
          <w:rFonts w:ascii="Times New Roman" w:hAnsi="Times New Roman" w:eastAsia="宋体"/>
          <w:color w:val="000000"/>
          <w:sz w:val="20"/>
        </w:rPr>
        <w:t>[2] 段满珍, 杨兆升, 张林, 等. 个性化诱导下的居住区共享停车泊位分配模型[J]. 东北大学学报 自然科学版, 2017, 38(2): 174-179. DOI: 10.12068/j.issn.1005-3026.2017.02.005.</w:t>
      </w:r>
    </w:p>
    <w:p>
      <w:pPr>
        <w:spacing w:after="200"/>
      </w:pPr>
      <w:r>
        <w:rPr>
          <w:rFonts w:ascii="Times New Roman" w:hAnsi="Times New Roman" w:eastAsia="宋体"/>
          <w:color w:val="000000"/>
          <w:sz w:val="20"/>
        </w:rPr>
        <w:t>[8] Spring. Spring Cloud[EB/OL]. [2026-10-15]. https://spring.io/projects/spring-cloud/</w:t>
      </w:r>
    </w:p>
    <w:p>
      <w:pPr>
        <w:spacing w:after="200"/>
      </w:pPr>
      <w:r>
        <w:rPr>
          <w:rFonts w:ascii="Times New Roman" w:hAnsi="Times New Roman" w:eastAsia="宋体"/>
          <w:color w:val="000000"/>
          <w:sz w:val="20"/>
        </w:rPr>
        <w:t>[10] Oracle. MySQL 8.4 Reference Manual 17.7.2.4 Locking Reads[EB/OL]. [2026-10-15]. https://dev.mysql.com/doc/refman/8.4/en/innodb-locking-reads.html</w:t>
      </w:r>
    </w:p>
    <w:p>
      <w:pPr>
        <w:spacing w:after="200"/>
      </w:pPr>
      <w:r>
        <w:rPr>
          <w:rFonts w:ascii="Times New Roman" w:hAnsi="Times New Roman" w:eastAsia="宋体"/>
          <w:color w:val="000000"/>
          <w:sz w:val="20"/>
        </w:rPr>
        <w:t>[11] RabbitMQ. Consumer Acknowledgements and Publisher Confirms[EB/OL]. [2026-10-15]. https://www.rabbitmq.com/docs/confirms</w:t>
      </w:r>
    </w:p>
    <w:p>
      <w:pPr>
        <w:spacing w:after="200"/>
      </w:pPr>
      <w:r>
        <w:rPr>
          <w:rFonts w:ascii="Times New Roman" w:hAnsi="Times New Roman" w:eastAsia="宋体"/>
          <w:color w:val="000000"/>
          <w:sz w:val="20"/>
        </w:rPr>
        <w:t>[12] OWASP. API1 2023 Broken Object Level Authorization[EB/OL]. [2026-10-15]. https://api-security.owasp.org/editions/2023/en/0xa1-broken-object-level-authorization/</w:t>
      </w:r>
    </w:p>
    <w:p>
      <w:pPr>
        <w:pStyle w:val="Heading1"/>
      </w:pPr>
      <w:r>
        <w:t>统一验收口径</w:t>
      </w:r>
    </w:p>
    <w:p>
      <w:pPr>
        <w:ind w:firstLine="440"/>
      </w:pPr>
      <w:r>
        <w:t>性能测试基准为 4 核 CPU、16 GB 内存及 SSD。50 并发用户按查询 70%、预约创建 20%、本人订单查询 10% 运行；预热 2 分钟后计时 10 分钟，独立复位数据并执行 3 轮。预约采用可用资源，冲突竞争另测。分别按接口统计全部响应的 P95，另列成功响应 P95；超时计入非预期错误。每轮必须达标，不以多轮平均掩盖失败。</w:t>
      </w:r>
    </w:p>
    <w:p>
      <w:pPr>
        <w:ind w:firstLine="440"/>
      </w:pPr>
      <w:r>
        <w:t>恢复测试使用 100 个尚未进入死信的待处理事件。依赖健康后开始计时，60 秒内全部落库并完成状态联动；已入死信事件以人工重放流程单独验收。固定场景、原始请求、日志及数据库核查结果一并归档。</w:t>
      </w:r>
    </w:p>
    <w:sectPr w:rsidR="00FC693F" w:rsidRPr="0006063C" w:rsidSect="00034616">
      <w:footerReference w:type="default" r:id="rId9"/>
      <w:pgSz w:w="11906" w:h="16838"/>
      <w:pgMar w:top="1191" w:right="1304" w:bottom="1077" w:left="130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t xml:space="preserve">第 </w:t>
    </w:r>
    <w:fldSimple w:instr="PAGE"/>
    <w:r>
      <w:rPr>
        <w:rFonts w:ascii="Times New Roman" w:hAnsi="Times New Roman" w:eastAsia="宋体"/>
        <w:color w:val="00000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4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00" w:after="14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40"/>
      <w:outlineLvl w:val="2"/>
    </w:pPr>
    <w:rPr>
      <w:rFonts w:asciiTheme="majorHAnsi" w:eastAsiaTheme="majorEastAsia" w:hAnsiTheme="majorHAnsi" w:cstheme="majorBidi" w:ascii="Times New Roman" w:hAnsi="Times New Roman"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40" w:lineRule="auto" w:before="0"/>
      <w:contextualSpacing/>
    </w:pPr>
    <w:rPr>
      <w:rFonts w:asciiTheme="majorHAnsi" w:eastAsiaTheme="majorEastAsia" w:hAnsiTheme="majorHAnsi" w:cstheme="majorBidi" w:ascii="Times New Roman" w:hAnsi="Times New Roman" w:eastAsia="黑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Times New Roman" w:hAnsi="Times New Roman" w:eastAsia="黑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黑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Spring Cloud 的智慧社区停车位共享与结算系统 毕业设计任务书</dc:title>
  <dc:subject>毕业设计任务书</dc:subject>
  <dc:creator/>
  <cp:keywords>毕业设计 Spring Cloud 共享停车 结算</cp:keywords>
  <dc:description>generated by python-docx</dc:description>
  <cp:lastModifiedBy/>
  <cp:revision>1</cp:revision>
  <dcterms:created xsi:type="dcterms:W3CDTF">2013-12-23T23:15:00Z</dcterms:created>
  <dcterms:modified xsi:type="dcterms:W3CDTF">2013-12-23T23:15:00Z</dcterms:modified>
  <cp:category/>
</cp:coreProperties>
</file>