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文献调研与综述</w:t>
      </w:r>
    </w:p>
    <w:p>
      <w:pPr>
        <w:spacing w:after="200"/>
      </w:pPr>
      <w:r>
        <w:rPr>
          <w:rFonts w:ascii="Times New Roman" w:hAnsi="Times New Roman" w:eastAsia="黑体"/>
          <w:color w:val="000000"/>
          <w:sz w:val="24"/>
        </w:rPr>
        <w:t>基于 Spring Cloud 的智慧社区停车位共享与结算系统</w:t>
      </w:r>
    </w:p>
    <w:p>
      <w:pPr>
        <w:spacing w:after="160"/>
      </w:pPr>
      <w:r>
        <w:rPr>
          <w:rFonts w:ascii="Times New Roman" w:hAnsi="Times New Roman" w:eastAsia="宋体"/>
          <w:color w:val="000000"/>
          <w:sz w:val="18"/>
        </w:rPr>
        <w:t>文档编号 SPCS L01    版本 V1.1    编制日期 2026年10月15日</w:t>
      </w:r>
    </w:p>
    <w:p>
      <w:r>
        <w:t>学校：____________    学院与专业：____________</w:t>
        <w:br/>
        <w:t>学生姓名：________    学号：________    指导教师：________</w:t>
      </w:r>
    </w:p>
    <w:p>
      <w:pPr>
        <w:pStyle w:val="Heading1"/>
      </w:pPr>
      <w:r>
        <w:t>摘要</w:t>
      </w:r>
    </w:p>
    <w:p>
      <w:pPr>
        <w:ind w:firstLine="440"/>
      </w:pPr>
      <w:r>
        <w:t>本综述围绕智慧社区共享停车系统的设计依据，考察停车资源共享、停车感知与信息服务、预约时段管理、微服务架构以及支付结算可靠性。现有研究为闲置车位释放、泊位分配和服务集成提供了方法，但社区应用仍需将业主授权、时间约束、用户履约与资金记录统一表达。本课题据此选择可解释的预约规则与模拟交易闭环，将时段防冲突、异步幂等和账目追溯作为主要验证对象，不将采用微服务框架本身视为算法创新。</w:t>
      </w:r>
    </w:p>
    <w:p>
      <w:r>
        <w:t>关键词：智慧社区；共享停车；时段预约；Spring Cloud；模拟结算；数据一致性</w:t>
      </w:r>
    </w:p>
    <w:p>
      <w:pPr>
        <w:pStyle w:val="Heading1"/>
      </w:pPr>
      <w:r>
        <w:t>一 调研问题与资料范围</w:t>
      </w:r>
    </w:p>
    <w:p>
      <w:pPr>
        <w:ind w:firstLine="440"/>
      </w:pPr>
      <w:r>
        <w:t>调研拟回答四个问题：社区闲置车位共享应满足哪些前提；预约可用性与实际停车占用之间存在什么差异；系统需要哪些技术支撑才能可靠处理重试与故障；毕业设计应采用怎样的实验范围才能使结论可验证。</w:t>
      </w:r>
    </w:p>
    <w:p>
      <w:pPr>
        <w:ind w:firstLine="440"/>
      </w:pPr>
      <w:r>
        <w:t>本次资料核对日期为 2026 年 10 月 15 日。已核验来源为政府公开文件、期刊出版页或开放论文、Spring、MySQL、RabbitMQ 与 OWASP 官方文档。选取 2017—2022 年的代表性研究为基础，补充 2024—2025 年的共享停车论文，并辅以官方技术资料；这是围绕课题开展的主题综述，不作覆盖全部最新研究的系统综述或计量统计声明。</w:t>
      </w:r>
    </w:p>
    <w:p>
      <w:pPr>
        <w:pStyle w:val="Heading1"/>
      </w:pPr>
      <w:r>
        <w:t>二 检索与筛选方法</w:t>
      </w:r>
    </w:p>
    <w:p>
      <w:pPr>
        <w:ind w:firstLine="440"/>
      </w:pPr>
      <w:r>
        <w:t>中文检索词包括“共享停车”“居住区 泊位分配”“智慧停车 预约”；英文检索词包括 shared parking、smart parking survey、reservation allocation、internal demand、payment idempotency。按题名与摘要识别相关资料，再对可访问正文或摘要核查研究对象和适用边界。优先保留可定位到期刊、DOI 或官方页面的资料，排除无作者信息、营销宣传和来源不明的代码介绍。</w:t>
      </w:r>
    </w:p>
    <w:p>
      <w:pPr>
        <w:ind w:firstLine="440"/>
      </w:pPr>
      <w:r>
        <w:t>资料按政策背景、学术研究、工程依据分别归类。工程文档用于解释技术机制，不作为证明停车供需改善的实证研究；论文中的仿真或特定场地结论也不直接推定为本系统效果。</w:t>
      </w:r>
    </w:p>
    <w:p>
      <w:pPr>
        <w:pStyle w:val="Heading1"/>
        <w:pageBreakBefore/>
      </w:pPr>
      <w:r>
        <w:t>三 社区共享停车研究脉络</w:t>
      </w:r>
    </w:p>
    <w:p>
      <w:pPr>
        <w:pStyle w:val="Heading2"/>
      </w:pPr>
      <w:r>
        <w:t>3.1 国内场景与资源释放约束</w:t>
      </w:r>
    </w:p>
    <w:p>
      <w:pPr>
        <w:ind w:firstLine="440"/>
      </w:pPr>
      <w:r>
        <w:t>我国关于城市停车设施发展的政策提出，在保障安全和满足基本停车需求的前提下推动资源共享，为社区错时停车提供了政策背景 [1]。对本课题的直接启示是：共享能力不能仅由业主点击发布决定，还应包含物业审核、共享时间约束和临时停用机制。政策倡导不等同于具体社区已取得对外经营许可，实际运营条件需要另行落实。</w:t>
      </w:r>
    </w:p>
    <w:p>
      <w:pPr>
        <w:ind w:firstLine="440"/>
      </w:pPr>
      <w:r>
        <w:t>段满珍等面向居住区共享泊位研究个性化诱导，将泊位利用与停车后步行距离纳入模型 [2]。该研究说明匹配不能只比较“有没有空位”，还要考虑停车用户的可接受范围。对本系统而言，可先提供社区、价格、时段筛选及可解释排序，再将复杂的优化算法作为后续研究方向。</w:t>
      </w:r>
    </w:p>
    <w:p>
      <w:pPr>
        <w:pStyle w:val="Heading2"/>
      </w:pPr>
      <w:r>
        <w:t>3.2 国际研究中的感知与信息服务</w:t>
      </w:r>
    </w:p>
    <w:p>
      <w:pPr>
        <w:ind w:firstLine="440"/>
      </w:pPr>
      <w:r>
        <w:t>Diaz Ogás 等按停车系统类型、车辆检测方法、算法和发展阶段整理研究 [3]；Barriga 等从技术角度综述停车系统 [4]；Fahim 等比较感知、网络、界面与服务方案 [5]。这些研究共同提示，智慧停车是设备、数据和服务协作的问题，不能仅以页面能查询车位判断系统可靠性。</w:t>
      </w:r>
    </w:p>
    <w:p>
      <w:pPr>
        <w:ind w:firstLine="440"/>
      </w:pPr>
      <w:r>
        <w:t>本课题不开展传感器精度实验，因此以受控的入离场事件模拟设备输入。界面明确区分“预约时段可用”与“当前物理空闲”。模拟事件能够验证应用流程，却不能证明真实道闸识别率、通信稳定性或现场通行效率，这些指标不纳入本次结论。</w:t>
      </w:r>
    </w:p>
    <w:p>
      <w:pPr>
        <w:pStyle w:val="Heading2"/>
      </w:pPr>
      <w:r>
        <w:t>3.3 从静态发布到动态共享</w:t>
      </w:r>
    </w:p>
    <w:p>
      <w:pPr>
        <w:ind w:firstLine="440"/>
      </w:pPr>
      <w:r>
        <w:t>Chou 等提出基于内部需求的共享车位释放过程，将需求预测与预约服务连接 [7]。该研究对本课题的启发是：业主自身需求应优先进入资源可用性判定。预测方案依赖持续数据积累，而毕业设计初期没有可信真实历史数据，因此使用业主显式发布时段、物业审核和预约前事务复核作为基线。</w:t>
      </w:r>
    </w:p>
    <w:p>
      <w:pPr>
        <w:ind w:firstLine="440"/>
      </w:pPr>
      <w:r>
        <w:t>综合国内场景研究与国际技术综述，本课题将“可共享的资源”定义为已经审核、在指定时间开放、未被有效订单占用且未被临时封禁的车位。该定义把宏观共享概念转化为可实现、可测试的数据条件。</w:t>
      </w:r>
    </w:p>
    <w:p>
      <w:pPr>
        <w:pStyle w:val="Heading1"/>
        <w:pageBreakBefore/>
      </w:pPr>
      <w:r>
        <w:t>3.4 近期研究与履约异常</w:t>
      </w:r>
    </w:p>
    <w:p>
      <w:pPr>
        <w:ind w:firstLine="440"/>
      </w:pPr>
      <w:r>
        <w:t>Li、Cheng 与 Fu 在 2024 年研究逾期停车条件下的共享泊位匹配，将原有分配受到超时占用影响的问题纳入匹配方法 [13]。该研究提示，预约区间在数据库中不重叠，仍不等于下一位用户能按时入场。对本课题的设计推论是：保留独立的物理占用状态，识别超时对后续订单的影响，并提供物业确认无法履约及退款的处理路径。</w:t>
      </w:r>
    </w:p>
    <w:p>
      <w:pPr>
        <w:ind w:firstLine="440"/>
      </w:pPr>
      <w:r>
        <w:t>黄敏、杨靖和梁宁晨在 2025 年提出面向不规范停车治理的动态共享停车分配模型，以双层规划和滚动时间窗组织分配，并使用协同进化遗传算法求解 [14]。其研究场景涉及支路级资源与停车需求匹配，与本课题的单社区预约交易边界不同。本文借鉴动态检查资源状态的思想，不将该模型的场景仿真结论移用为系统运营效果。</w:t>
      </w:r>
    </w:p>
    <w:tbl>
      <w:tblPr>
        <w:tblW w:type="auto" w:w="0"/>
        <w:jc w:val="center"/>
        <w:tblLayout w:type="fixed"/>
        <w:tblLook w:firstColumn="1" w:firstRow="1" w:lastColumn="0" w:lastRow="0" w:noHBand="0" w:noVBand="1" w:val="04A0"/>
      </w:tblPr>
      <w:tblGrid>
        <w:gridCol w:w="1474"/>
        <w:gridCol w:w="3912"/>
        <w:gridCol w:w="3912"/>
      </w:tblGrid>
      <w:tr>
        <w:trPr>
          <w:cantSplit/>
          <w:tblHeader/>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比较维度</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文献 [13] 与 [14]</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本课题方案</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核心问题</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逾期占用下的匹配；动态需求与资源分配。</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固定窗口内的可靠预约与异常履约闭环。</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方法与数据</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匹配或优化模型，依赖场景输入与实验设定。</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规则筛选、资源行锁、事件驱动及可重建模拟数据。</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验证指标</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按论文模型与场景评价分配效果。</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并发唯一占用、异常可追溯、金额守恒与接口性能。</w:t>
            </w:r>
          </w:p>
        </w:tc>
      </w:tr>
      <w:tr>
        <w:trPr>
          <w:cantSplit/>
        </w:trPr>
        <w:tc>
          <w:tcPr>
            <w:tcW w:type="dxa" w:w="147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适用边界</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不能直接替代本项目的权限、支付和结算设计。</w:t>
            </w:r>
          </w:p>
        </w:tc>
        <w:tc>
          <w:tcPr>
            <w:tcW w:type="dxa" w:w="39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不宣称获得全局最优分配或真实社区利用率提升。</w:t>
            </w:r>
          </w:p>
        </w:tc>
      </w:tr>
    </w:tbl>
    <w:p>
      <w:pPr>
        <w:spacing w:after="20"/>
      </w:pPr>
    </w:p>
    <w:p>
      <w:pPr>
        <w:pStyle w:val="Heading2"/>
      </w:pPr>
      <w:r>
        <w:t>3.5 对需求基线的影响</w:t>
      </w:r>
    </w:p>
    <w:p>
      <w:pPr>
        <w:ind w:firstLine="440"/>
      </w:pPr>
      <w:r>
        <w:t>综合早期资源分配研究与近期动态匹配研究，系统除审核、窗口和冲突判断外，还需显式管理车辆绑定、当前占用订单、入场截止时间、受影响订单通知及无法履约原因。这些规则分别落实到 FR07、FR09、FR12、FR15 和 FR17，并在需求说明书的边界用例中验收。</w:t>
      </w:r>
    </w:p>
    <w:p>
      <w:pPr>
        <w:pStyle w:val="Heading1"/>
        <w:pageBreakBefore/>
      </w:pPr>
      <w:r>
        <w:t>四 代表性文献比较</w:t>
      </w:r>
    </w:p>
    <w:tbl>
      <w:tblPr>
        <w:tblW w:type="auto" w:w="0"/>
        <w:jc w:val="center"/>
        <w:tblLayout w:type="fixed"/>
        <w:tblLook w:firstColumn="1" w:firstRow="1" w:lastColumn="0" w:lastRow="0" w:noHBand="0" w:noVBand="1" w:val="04A0"/>
      </w:tblPr>
      <w:tblGrid>
        <w:gridCol w:w="2041"/>
        <w:gridCol w:w="2494"/>
        <w:gridCol w:w="4762"/>
      </w:tblGrid>
      <w:tr>
        <w:trPr>
          <w:cantSplit/>
          <w:tblHeader/>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来源</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研究或资料重点</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对本课题的启示与边界</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[2] 段满珍等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居住区共享与个性化诱导</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纳入停车选择与资源均衡；本系统先实现规则筛选，不复现双层优化求解器。</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[3] Diaz Ogás 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系统类型、检测与算法分类</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分清方案提出、仿真与落地验证；本课题仅报告实际完成的测试。</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[4] Barriga 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智慧停车技术综述</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按感知、通信与应用组织边界；模拟硬件只验证接口。</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[5] Fahim 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多种技术与使用环境比较</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技术适用性受场地与成本约束；不直接采用最复杂硬件方案。</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[6] Biyik 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系统架构与未来方向</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需要考虑服务集成；本课题采用有限服务拆分以控制运维成本。</w:t>
            </w:r>
          </w:p>
        </w:tc>
      </w:tr>
      <w:tr>
        <w:trPr>
          <w:cantSplit/>
        </w:trPr>
        <w:tc>
          <w:tcPr>
            <w:tcW w:type="dxa" w:w="204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[7] Chou 等</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内部需求驱动的车位释放</w:t>
            </w:r>
          </w:p>
        </w:tc>
        <w:tc>
          <w:tcPr>
            <w:tcW w:type="dxa" w:w="476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共享供给应响应内部需求；规则发布替代无数据支撑的预测。</w:t>
            </w:r>
          </w:p>
        </w:tc>
      </w:tr>
    </w:tbl>
    <w:p>
      <w:pPr>
        <w:spacing w:after="20"/>
      </w:pPr>
    </w:p>
    <w:p>
      <w:pPr>
        <w:pStyle w:val="Heading2"/>
      </w:pPr>
      <w:r>
        <w:t>4.1 方法选择的取舍</w:t>
      </w:r>
    </w:p>
    <w:p>
      <w:pPr>
        <w:ind w:firstLine="440"/>
      </w:pPr>
      <w:r>
        <w:t>本课题采用“先按硬约束筛选，再按价格或时间排序”的方法。硬约束包括审核状态、共享窗口、预约区间与封禁状态。与预测或全局优化方法相比，该方法对历史数据的依赖较低，容易说明为什么某个车位可预约或不可预约，适合在有限周期内形成可复现的软件成果。</w:t>
      </w:r>
    </w:p>
    <w:p>
      <w:pPr>
        <w:ind w:firstLine="440"/>
      </w:pPr>
      <w:r>
        <w:t>局限在于局部先到先得可能降低整体利用率，固定共享窗口也不能自动适应居民临时用车。因此论文应将算法优化列为后续方向，并通过订单接受率、冲突拒绝率和履约异常数量描述现有规则表现，避免从单个演示样例推导最优性。</w:t>
      </w:r>
    </w:p>
    <w:p>
      <w:pPr>
        <w:pStyle w:val="Heading2"/>
      </w:pPr>
      <w:r>
        <w:t>4.2 现有资料未直接解决的工程问题</w:t>
      </w:r>
    </w:p>
    <w:p>
      <w:pPr>
        <w:ind w:firstLine="440"/>
      </w:pPr>
      <w:r>
        <w:t>在本次选取的资料范围内，感知、分配和架构讨论较充分，但不能据此得到适用于本项目的完整支付与业主结算方案。订单并发、迟到消息、重复退款与收益冲正需要结合具体数据模型设计。这里的不足是本次资料与项目实施需求之间的距离，并非对整个研究领域作“无人研究”的判断。</w:t>
      </w:r>
    </w:p>
    <w:p>
      <w:pPr>
        <w:pStyle w:val="Heading1"/>
        <w:pageBreakBefore/>
      </w:pPr>
      <w:r>
        <w:t>五 技术基础与研究方案形成</w:t>
      </w:r>
    </w:p>
    <w:p>
      <w:pPr>
        <w:pStyle w:val="Heading2"/>
      </w:pPr>
      <w:r>
        <w:t>5.1 微服务拆分与版本控制</w:t>
      </w:r>
    </w:p>
    <w:p>
      <w:pPr>
        <w:ind w:firstLine="440"/>
      </w:pPr>
      <w:r>
        <w:t>Spring Cloud 提供服务治理相关能力，其版本必须与 Spring Boot 兼容 [8]；Gateway 用于统一路由入口 [9]。本课题选用三类业务服务及网关，兼顾分布式开发训练与单人项目规模。车位、共享窗口与预约订单归属同一停车预约服务，使最关键的时间冲突约束保留在单库事务内。</w:t>
      </w:r>
    </w:p>
    <w:p>
      <w:pPr>
        <w:pStyle w:val="Heading2"/>
      </w:pPr>
      <w:r>
        <w:t>5.2 预约并发控制</w:t>
      </w:r>
    </w:p>
    <w:p>
      <w:pPr>
        <w:ind w:firstLine="440"/>
      </w:pPr>
      <w:r>
        <w:t>MySQL 锁定读说明普通读取后再修改不足以保护并发操作 [10]。本课题据此设计固定车位资源行锁：开始事务后锁定车位，再读取最新共享窗口与有效占用，判定新区间与已有区间是否重叠。所有改变占用的路径遵循同一加锁顺序。该设计还需通过并发测试验证，不能只靠 Redis 锁或代码注释推断正确。</w:t>
      </w:r>
    </w:p>
    <w:p>
      <w:pPr>
        <w:pStyle w:val="Heading2"/>
      </w:pPr>
      <w:r>
        <w:t>5.3 事件可靠性与账目追踪</w:t>
      </w:r>
    </w:p>
    <w:p>
      <w:pPr>
        <w:ind w:firstLine="440"/>
      </w:pPr>
      <w:r>
        <w:t>RabbitMQ 区分发布者确认与消费者确认 [11]。确认机制并不能替代业务幂等。本课题进一步采用业务数据与 Outbox 同事务提交、消费者按事件编号去重、失败重投及定时对账；支付与退款分别使用业务唯一编号，账目通过追加流水与冲正保留历史，而非覆盖余额。</w:t>
      </w:r>
    </w:p>
    <w:p>
      <w:pPr>
        <w:pStyle w:val="Heading2"/>
      </w:pPr>
      <w:r>
        <w:t>5.4 权限边界</w:t>
      </w:r>
    </w:p>
    <w:p>
      <w:pPr>
        <w:ind w:firstLine="440"/>
      </w:pPr>
      <w:r>
        <w:t>OWASP 的对象级授权风险提示，应在访问具体记录时校验权限 [12]。本系统除检查司机、业主、物业和平台角色外，还检查订单归属、车位归属和社区授权。接口能够登录不意味着可以读取任意订单，隐藏前端按钮也不能作为安全措施。</w:t>
      </w:r>
    </w:p>
    <w:p>
      <w:pPr>
        <w:pStyle w:val="Heading1"/>
      </w:pPr>
      <w:r>
        <w:t>六 综述结论与待验证问题</w:t>
      </w:r>
    </w:p>
    <w:p>
      <w:pPr>
        <w:ind w:firstLine="440"/>
      </w:pPr>
      <w:r>
        <w:t>课题确定三项可验证问题：数据库资源行锁能否避免重叠预约；异步事件重放和服务中断后能否保持单次有效入账；退款与结算交错时能否维持逐单金额守恒。拟使用重复请求、并发竞争、消息中断、越权访问和对账差异注入实验进行验证。</w:t>
      </w:r>
    </w:p>
    <w:p>
      <w:pPr>
        <w:ind w:firstLine="440"/>
      </w:pPr>
      <w:r>
        <w:t>创新表述限于工程设计层面：将共享时段、交易幂等与收益追溯整合为可审计闭环，并提供可重复验证的异常用例。现阶段不宣称算法创新、真实社区收益提升或实测性能达标。本次已补充 2024—2025 年的相关研究；论文定稿前继续复核新增文献，在具备实际数据后再评估预测和动态定价方案。</w:t>
      </w:r>
    </w:p>
    <w:p>
      <w:pPr>
        <w:pStyle w:val="Heading1"/>
        <w:pageBreakBefore/>
      </w:pPr>
      <w:r>
        <w:t>七 参考文献</w:t>
      </w:r>
    </w:p>
    <w:p>
      <w:r>
        <w:t>以下编号在六份文档中保持一致。期刊文献按作者、题名、刊名、年份、卷期和 DOI 列示；在线资料附访问日期。学院如有专用参考文献格式，应按其要求调整。</w:t>
      </w:r>
    </w:p>
    <w:p>
      <w:pPr>
        <w:spacing w:after="200"/>
      </w:pPr>
      <w:r>
        <w:rPr>
          <w:rFonts w:ascii="Times New Roman" w:hAnsi="Times New Roman" w:eastAsia="宋体"/>
          <w:color w:val="000000"/>
          <w:sz w:val="20"/>
        </w:rPr>
        <w:t>[1] 国务院办公厅. 国务院办公厅转发国家发展改革委等部门关于推动城市停车设施发展意见的通知 国办函〔2021〕46号[EB/OL]. (2021-05-21)[2026-10-15]. https://app.www.gov.cn/govdata/gov/202105/21/471594/article.html</w:t>
      </w:r>
    </w:p>
    <w:p>
      <w:pPr>
        <w:spacing w:after="200"/>
      </w:pPr>
      <w:r>
        <w:rPr>
          <w:rFonts w:ascii="Times New Roman" w:hAnsi="Times New Roman" w:eastAsia="宋体"/>
          <w:color w:val="000000"/>
          <w:sz w:val="20"/>
        </w:rPr>
        <w:t>[2] 段满珍, 杨兆升, 张林, 等. 个性化诱导下的居住区共享停车泊位分配模型[J]. 东北大学学报 自然科学版, 2017, 38(2): 174-179. DOI: 10.12068/j.issn.1005-3026.2017.02.005.</w:t>
      </w:r>
    </w:p>
    <w:p>
      <w:pPr>
        <w:spacing w:after="200"/>
      </w:pPr>
      <w:r>
        <w:rPr>
          <w:rFonts w:ascii="Times New Roman" w:hAnsi="Times New Roman" w:eastAsia="宋体"/>
          <w:color w:val="000000"/>
          <w:sz w:val="20"/>
        </w:rPr>
        <w:t>[3] DIAZ OGÁS M G, FABREGAT R, ACIAR S. Survey of Smart Parking Systems[J]. Applied Sciences, 2020, 10(11): 3872. DOI: 10.3390/app10113872.</w:t>
      </w:r>
    </w:p>
    <w:p>
      <w:pPr>
        <w:spacing w:after="200"/>
      </w:pPr>
      <w:r>
        <w:rPr>
          <w:rFonts w:ascii="Times New Roman" w:hAnsi="Times New Roman" w:eastAsia="宋体"/>
          <w:color w:val="000000"/>
          <w:sz w:val="20"/>
        </w:rPr>
        <w:t>[4] BARRIGA J J, SULCA J, LEÓN J L, et al. Smart Parking: A Literature Review from the Technological Perspective[J]. Applied Sciences, 2019, 9(21): 4569. DOI: 10.3390/app9214569.</w:t>
      </w:r>
    </w:p>
    <w:p>
      <w:pPr>
        <w:spacing w:after="200"/>
      </w:pPr>
      <w:r>
        <w:rPr>
          <w:rFonts w:ascii="Times New Roman" w:hAnsi="Times New Roman" w:eastAsia="宋体"/>
          <w:color w:val="000000"/>
          <w:sz w:val="20"/>
        </w:rPr>
        <w:t>[5] FAHIM A, HASAN M, CHOWDHURY M A. Smart parking systems: comprehensive review based on various aspects[J]. Heliyon, 2021, 7(5): e07050. DOI: 10.1016/j.heliyon.2021.e07050.</w:t>
      </w:r>
    </w:p>
    <w:p>
      <w:pPr>
        <w:spacing w:after="200"/>
      </w:pPr>
      <w:r>
        <w:rPr>
          <w:rFonts w:ascii="Times New Roman" w:hAnsi="Times New Roman" w:eastAsia="宋体"/>
          <w:color w:val="000000"/>
          <w:sz w:val="20"/>
        </w:rPr>
        <w:t>[6] BIYIK C, ALLAM Z, PIERI G, et al. Smart Parking Systems: Reviewing the Literature, Architecture and Ways Forward[J]. Smart Cities, 2021, 4(2): 623-642. DOI: 10.3390/smartcities4020032.</w:t>
      </w:r>
    </w:p>
    <w:p>
      <w:pPr>
        <w:pStyle w:val="Heading1"/>
        <w:pageBreakBefore/>
      </w:pPr>
      <w:r>
        <w:t>参考文献续</w:t>
      </w:r>
    </w:p>
    <w:p>
      <w:pPr>
        <w:spacing w:after="200"/>
      </w:pPr>
      <w:r>
        <w:rPr>
          <w:rFonts w:ascii="Times New Roman" w:hAnsi="Times New Roman" w:eastAsia="宋体"/>
          <w:color w:val="000000"/>
          <w:sz w:val="20"/>
        </w:rPr>
        <w:t>[7] CHOU S Y, DEWABHARATA A, ZULVIA F E. Dynamic Space Allocation Based on Internal Demand for Optimizing Release of Shared Parking[J]. Sensors, 2022, 22(1): 235. DOI: 10.3390/s22010235.</w:t>
      </w:r>
    </w:p>
    <w:p>
      <w:pPr>
        <w:spacing w:after="200"/>
      </w:pPr>
      <w:r>
        <w:rPr>
          <w:rFonts w:ascii="Times New Roman" w:hAnsi="Times New Roman" w:eastAsia="宋体"/>
          <w:color w:val="000000"/>
          <w:sz w:val="20"/>
        </w:rPr>
        <w:t>[8] Spring. Spring Cloud[EB/OL]. [2026-10-15]. https://spring.io/projects/spring-cloud/</w:t>
      </w:r>
    </w:p>
    <w:p>
      <w:pPr>
        <w:spacing w:after="200"/>
      </w:pPr>
      <w:r>
        <w:rPr>
          <w:rFonts w:ascii="Times New Roman" w:hAnsi="Times New Roman" w:eastAsia="宋体"/>
          <w:color w:val="000000"/>
          <w:sz w:val="20"/>
        </w:rPr>
        <w:t>[9] Spring. Spring Cloud Gateway Reference[EB/OL]. [2026-10-15]. https://docs.spring.io/spring-cloud-gateway/reference/</w:t>
      </w:r>
    </w:p>
    <w:p>
      <w:pPr>
        <w:spacing w:after="200"/>
      </w:pPr>
      <w:r>
        <w:rPr>
          <w:rFonts w:ascii="Times New Roman" w:hAnsi="Times New Roman" w:eastAsia="宋体"/>
          <w:color w:val="000000"/>
          <w:sz w:val="20"/>
        </w:rPr>
        <w:t>[10] Oracle. MySQL 8.4 Reference Manual 17.7.2.4 Locking Reads[EB/OL]. [2026-10-15]. https://dev.mysql.com/doc/refman/8.4/en/innodb-locking-reads.html</w:t>
      </w:r>
    </w:p>
    <w:p>
      <w:pPr>
        <w:spacing w:after="200"/>
      </w:pPr>
      <w:r>
        <w:rPr>
          <w:rFonts w:ascii="Times New Roman" w:hAnsi="Times New Roman" w:eastAsia="宋体"/>
          <w:color w:val="000000"/>
          <w:sz w:val="20"/>
        </w:rPr>
        <w:t>[11] RabbitMQ. Consumer Acknowledgements and Publisher Confirms[EB/OL]. [2026-10-15]. https://www.rabbitmq.com/docs/confirms</w:t>
      </w:r>
    </w:p>
    <w:p>
      <w:pPr>
        <w:spacing w:after="200"/>
      </w:pPr>
      <w:r>
        <w:rPr>
          <w:rFonts w:ascii="Times New Roman" w:hAnsi="Times New Roman" w:eastAsia="宋体"/>
          <w:color w:val="000000"/>
          <w:sz w:val="20"/>
        </w:rPr>
        <w:t>[12] OWASP. API1 2023 Broken Object Level Authorization[EB/OL]. [2026-10-15]. https://api-security.owasp.org/editions/2023/en/0xa1-broken-object-level-authorization/</w:t>
      </w:r>
    </w:p>
    <w:p>
      <w:pPr>
        <w:spacing w:after="200"/>
      </w:pPr>
      <w:r>
        <w:rPr>
          <w:rFonts w:ascii="Times New Roman" w:hAnsi="Times New Roman" w:eastAsia="宋体"/>
          <w:color w:val="000000"/>
          <w:sz w:val="20"/>
        </w:rPr>
        <w:t>[13] LI M, CHENG J, FU J. Matching Methods of Shared Parking Slots Considering Overdue Parking Behavior[J]. Sustainability, 2024, 16(24): 11253. DOI: 10.3390/su162411253.</w:t>
      </w:r>
    </w:p>
    <w:p>
      <w:pPr>
        <w:spacing w:after="200"/>
      </w:pPr>
      <w:r>
        <w:rPr>
          <w:rFonts w:ascii="Times New Roman" w:hAnsi="Times New Roman" w:eastAsia="宋体"/>
          <w:color w:val="000000"/>
          <w:sz w:val="20"/>
        </w:rPr>
        <w:t>[14] 黄敏, 杨靖, 梁宁晨. 面向不规范停车治理的动态共享停车分配模型[J]. 中山大学学报(自然科学版)(中英文), 2025, 64(5): 59-67. DOI: 10.13471/j.cnki.acta.snus.ZR20250051.</w:t>
      </w:r>
    </w:p>
    <w:p>
      <w:pPr>
        <w:pStyle w:val="Heading1"/>
      </w:pPr>
      <w:r>
        <w:t>资料使用说明</w:t>
      </w:r>
    </w:p>
    <w:p>
      <w:pPr>
        <w:ind w:firstLine="440"/>
      </w:pPr>
      <w:r>
        <w:t>文献 [1] 为政策背景，[2]—[7]、[13]—[14] 为学术研究，[8]—[12] 为工程技术依据。对部分学术资料的分析以出版页摘要或可访问内容为依据；没有将出版页索引误写为全文实证结果，也没有引用二手宣传中的停车规模和改善比例。</w:t>
      </w:r>
    </w:p>
    <w:sectPr w:rsidR="00FC693F" w:rsidRPr="0006063C" w:rsidSect="00034616">
      <w:footerReference w:type="default" r:id="rId9"/>
      <w:pgSz w:w="11906" w:h="16838"/>
      <w:pgMar w:top="1191" w:right="1304"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黑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Cloud 的智慧社区停车位共享与结算系统 文献调研与综述</dc:title>
  <dc:subject>文献调研与综述</dc:subject>
  <dc:creator/>
  <cp:keywords>毕业设计 Spring Cloud 共享停车 结算</cp:keywords>
  <dc:description>generated by python-docx</dc:description>
  <cp:lastModifiedBy/>
  <cp:revision>1</cp:revision>
  <dcterms:created xsi:type="dcterms:W3CDTF">2013-12-23T23:15:00Z</dcterms:created>
  <dcterms:modified xsi:type="dcterms:W3CDTF">2013-12-23T23:15:00Z</dcterms:modified>
  <cp:category/>
</cp:coreProperties>
</file>