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开题报告</w:t>
      </w:r>
    </w:p>
    <w:p>
      <w:pPr>
        <w:spacing w:after="200"/>
      </w:pPr>
      <w:r>
        <w:rPr>
          <w:rFonts w:ascii="Times New Roman" w:hAnsi="Times New Roman" w:eastAsia="黑体"/>
          <w:color w:val="000000"/>
          <w:sz w:val="24"/>
        </w:rPr>
        <w:t>基于 Spring Cloud 的智慧社区停车位共享与结算系统</w:t>
      </w:r>
    </w:p>
    <w:p>
      <w:pPr>
        <w:spacing w:after="160"/>
      </w:pPr>
      <w:r>
        <w:rPr>
          <w:rFonts w:ascii="Times New Roman" w:hAnsi="Times New Roman" w:eastAsia="宋体"/>
          <w:color w:val="000000"/>
          <w:sz w:val="18"/>
        </w:rPr>
        <w:t>文档编号 SPCS O01    版本 V1.1    编制日期 2026年10月15日</w:t>
      </w:r>
    </w:p>
    <w:p>
      <w:r>
        <w:t>学校：____________    学院与专业：____________</w:t>
        <w:br/>
        <w:t>学生姓名：________    学号：________    指导教师：________</w:t>
      </w:r>
    </w:p>
    <w:p>
      <w:pPr>
        <w:pStyle w:val="Heading1"/>
      </w:pPr>
      <w:r>
        <w:t>一 选题背景与研究意义</w:t>
      </w:r>
    </w:p>
    <w:p>
      <w:pPr>
        <w:ind w:firstLine="440"/>
      </w:pPr>
      <w:r>
        <w:t>社区停车资源在不同时间存在使用差异。共享模式的关键是将“某个车位空闲”转化为有明确授权、时间范围和费用规则的可预约服务。只有提供信息列表，无法解决多用户竞争同一时段、业主临时停用、实际离场延迟以及费用争议。本课题拟构建基于 Spring Cloud 的共享与结算系统，支持物业监督下的车位发布及预约交易。</w:t>
      </w:r>
    </w:p>
    <w:p>
      <w:pPr>
        <w:ind w:firstLine="440"/>
      </w:pPr>
      <w:r>
        <w:t>政策资料鼓励在安全和基本停车需求得到保障的前提下开展停车资源共享 [1]；居住区共享泊位研究表明，应同时考虑资源利用和停车用户的选择约束 [2]。这些依据确定了课题的问题背景，而本系统是否有效仍需通过自身实验检验，不能直接套用文献中的结果。</w:t>
      </w:r>
    </w:p>
    <w:p>
      <w:pPr>
        <w:pStyle w:val="Heading1"/>
      </w:pPr>
      <w:r>
        <w:t>二 国内外研究现状</w:t>
      </w:r>
    </w:p>
    <w:p>
      <w:pPr>
        <w:ind w:firstLine="440"/>
      </w:pPr>
      <w:r>
        <w:t>国内代表性研究关注居住区资源共享、停车诱导和泊位分配。段满珍等将居住区共享与个性化诱导结合 [2]，表明时间、位置与用户需求共同决定分配结果。对实际软件而言，还需将车位归属、共享窗口、预约状态和物业审核转换为明确的权限与数据结构。</w:t>
      </w:r>
    </w:p>
    <w:p>
      <w:pPr>
        <w:ind w:firstLine="440"/>
      </w:pPr>
      <w:r>
        <w:t>国际智慧停车综述从系统类别、检测方法和技术架构归纳相关工作 [3]—[6]。Chou 等把内部需求分析与车位释放连接 [7]，强调供给调整的动态性。对毕业设计而言，硬件接入、预测模型与交易系统同时展开会增加验证难度，因此选择规则可解释的时段预约和可追踪的模拟结算作为主要研究范围。</w:t>
      </w:r>
    </w:p>
    <w:p>
      <w:pPr>
        <w:pStyle w:val="Heading1"/>
      </w:pPr>
      <w:r>
        <w:t>三 研究目标</w:t>
      </w:r>
    </w:p>
    <w:p>
      <w:pPr>
        <w:ind w:firstLine="440"/>
      </w:pPr>
      <w:r>
        <w:t>完成一套可部署的前后端分离系统，使司机完成查询、预约、模拟支付、入离场及账单查看，使业主完成车位发布和收益查询，使物业完成社区审核与异常处置，使平台管理员完成结算和对账。通过可复现测试证明核心约束，而非仅展示页面。</w:t>
      </w:r>
    </w:p>
    <w:p>
      <w:pPr>
        <w:pStyle w:val="Heading1"/>
        <w:pageBreakBefore/>
      </w:pPr>
      <w:r>
        <w:t>四 研究内容与拟解决的问题</w:t>
      </w:r>
    </w:p>
    <w:p>
      <w:pPr>
        <w:pStyle w:val="Heading2"/>
      </w:pPr>
      <w:r>
        <w:t>4.1 业务建模与服务边界</w:t>
      </w:r>
    </w:p>
    <w:p>
      <w:pPr>
        <w:ind w:firstLine="440"/>
      </w:pPr>
      <w:r>
        <w:t>围绕车位、共享窗口、预约订单、停车记录、支付单、退款单、账务流水和结算批次建立模型。将车位与订单置于同一停车预约服务，以本地事务保障时段占用；将支付、退款和结算置于交易服务，形成可审计的账务边界；身份服务统一管理账号与授权。</w:t>
      </w:r>
    </w:p>
    <w:p>
      <w:pPr>
        <w:pStyle w:val="Heading2"/>
      </w:pPr>
      <w:r>
        <w:t>4.2 预约并发与资源占用</w:t>
      </w:r>
    </w:p>
    <w:p>
      <w:pPr>
        <w:ind w:firstLine="440"/>
      </w:pPr>
      <w:r>
        <w:t>研究多个请求在同一时刻读取空闲结果时的竞争问题。采用固定车位资源行锁和半开区间重叠判断，在单个数据库事务内完成审核状态校验、时段覆盖校验、有效占用检查及订单写入。对取消、过期释放、共享窗口修改同样执行统一锁顺序。通过 100 个并发请求及相邻区间测试验证不重复占用。</w:t>
      </w:r>
    </w:p>
    <w:p>
      <w:pPr>
        <w:pStyle w:val="Heading2"/>
      </w:pPr>
      <w:r>
        <w:t>4.3 支付与结算一致性</w:t>
      </w:r>
    </w:p>
    <w:p>
      <w:pPr>
        <w:ind w:firstLine="440"/>
      </w:pPr>
      <w:r>
        <w:t>预约采用预付预约时段费用，离场超时另行补缴；提前离场不退已预付的预约费用。支付结果、预约确认和收益形成通过事件协同。研究重复回调、通知乱序、取消与支付并发以及结算后退款等情形，使用幂等键、Outbox、消费去重与冲正流水形成恢复路径。</w:t>
      </w:r>
    </w:p>
    <w:p>
      <w:pPr>
        <w:pStyle w:val="Heading2"/>
      </w:pPr>
      <w:r>
        <w:t>4.4 原型与可用性</w:t>
      </w:r>
    </w:p>
    <w:p>
      <w:pPr>
        <w:ind w:firstLine="440"/>
      </w:pPr>
      <w:r>
        <w:t>通过司机、业主、物业和平台四组页面组织任务，显示可用时段、计费依据、订单状态及异常处理入口。原型需覆盖空列表、冲突提示、支付处理中、退款中和对账差异等状态。采用虚拟用户按任务脚本走查流程，记录问题，不虚构访谈或满意度调查数据。</w:t>
      </w:r>
    </w:p>
    <w:p>
      <w:pPr>
        <w:pStyle w:val="Heading2"/>
      </w:pPr>
      <w:r>
        <w:t>4.5 拟研究问题与假设</w:t>
      </w:r>
    </w:p>
    <w:tbl>
      <w:tblPr>
        <w:tblW w:type="auto" w:w="0"/>
        <w:jc w:val="center"/>
        <w:tblLayout w:type="fixed"/>
        <w:tblLook w:firstColumn="1" w:firstRow="1" w:lastColumn="0" w:lastRow="0" w:noHBand="0" w:noVBand="1" w:val="04A0"/>
      </w:tblPr>
      <w:tblGrid>
        <w:gridCol w:w="794"/>
        <w:gridCol w:w="4025"/>
        <w:gridCol w:w="4479"/>
      </w:tblGrid>
      <w:tr>
        <w:trPr>
          <w:cantSplit/>
          <w:tblHeader/>
        </w:trPr>
        <w:tc>
          <w:tcPr>
            <w:tcW w:type="dxa" w:w="7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编号</w:t>
            </w:r>
          </w:p>
        </w:tc>
        <w:tc>
          <w:tcPr>
            <w:tcW w:type="dxa" w:w="402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待验证假设</w:t>
            </w:r>
          </w:p>
        </w:tc>
        <w:tc>
          <w:tcPr>
            <w:tcW w:type="dxa" w:w="447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判定证据</w:t>
            </w:r>
          </w:p>
        </w:tc>
      </w:tr>
      <w:tr>
        <w:trPr>
          <w:cantSplit/>
        </w:trPr>
        <w:tc>
          <w:tcPr>
            <w:tcW w:type="dxa" w:w="7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Q1</w:t>
            </w:r>
          </w:p>
        </w:tc>
        <w:tc>
          <w:tcPr>
            <w:tcW w:type="dxa" w:w="402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统一资源行锁可防止重叠预约。</w:t>
            </w:r>
          </w:p>
        </w:tc>
        <w:tc>
          <w:tcPr>
            <w:tcW w:type="dxa" w:w="447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合法空闲场景恰好一单成功，其余为冲突；数据库无交叠有效订单。</w:t>
            </w:r>
          </w:p>
        </w:tc>
      </w:tr>
      <w:tr>
        <w:trPr>
          <w:cantSplit/>
        </w:trPr>
        <w:tc>
          <w:tcPr>
            <w:tcW w:type="dxa" w:w="7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Q2</w:t>
            </w:r>
          </w:p>
        </w:tc>
        <w:tc>
          <w:tcPr>
            <w:tcW w:type="dxa" w:w="402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重复事件不会造成重复入账。</w:t>
            </w:r>
          </w:p>
        </w:tc>
        <w:tc>
          <w:tcPr>
            <w:tcW w:type="dxa" w:w="447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同一回调重放 100 次，支付入账与业务确认各生效一次。</w:t>
            </w:r>
          </w:p>
        </w:tc>
      </w:tr>
      <w:tr>
        <w:trPr>
          <w:cantSplit/>
        </w:trPr>
        <w:tc>
          <w:tcPr>
            <w:tcW w:type="dxa" w:w="7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Q3</w:t>
            </w:r>
          </w:p>
        </w:tc>
        <w:tc>
          <w:tcPr>
            <w:tcW w:type="dxa" w:w="402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故障恢复后订单与账目能够收敛。</w:t>
            </w:r>
          </w:p>
        </w:tc>
        <w:tc>
          <w:tcPr>
            <w:tcW w:type="dxa" w:w="447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恢复后 60 秒内完成 100 个非死信事件；最终差额为 0 分。</w:t>
            </w:r>
          </w:p>
        </w:tc>
      </w:tr>
    </w:tbl>
    <w:p>
      <w:pPr>
        <w:spacing w:after="20"/>
      </w:pPr>
    </w:p>
    <w:p>
      <w:pPr>
        <w:pStyle w:val="Heading1"/>
        <w:pageBreakBefore/>
      </w:pPr>
      <w:r>
        <w:t>五 研究方法与技术路线</w:t>
      </w:r>
    </w:p>
    <w:p>
      <w:pPr>
        <w:ind w:firstLine="440"/>
      </w:pPr>
      <w:r>
        <w:t>研究采用文献分析、需求建模、原型设计、迭代开发和分组实验相结合的方法。首先提取场景约束，形成需求与验收基线；其次确定数据所有权和状态机；再按基础管理、预约、交易、结算的顺序完成纵向业务链；最后用边界与故障用例检验实现。</w:t>
      </w:r>
    </w:p>
    <w:tbl>
      <w:tblPr>
        <w:tblW w:type="auto" w:w="0"/>
        <w:jc w:val="center"/>
        <w:tblLayout w:type="fixed"/>
        <w:tblLook w:firstColumn="1" w:firstRow="1" w:lastColumn="0" w:lastRow="0" w:noHBand="0" w:noVBand="1" w:val="04A0"/>
      </w:tblPr>
      <w:tblGrid>
        <w:gridCol w:w="1474"/>
        <w:gridCol w:w="3515"/>
        <w:gridCol w:w="4309"/>
      </w:tblGrid>
      <w:tr>
        <w:trPr>
          <w:cantSplit/>
          <w:tblHeader/>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层次</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拟采用技术</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选用理由</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交互层</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Vue 3、TypeScript</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支持角色页面复用、类型约束与前后端分离。</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入口与治理</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Gateway、Eureka、LoadBalancer</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统一路由和鉴权入口，验证服务注册与实例调用。</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业务层</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Java 21、Spring Boot、Spring Cloud</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利用成熟 Java 生态实施服务拆分；版本按官方兼容表锁定。</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数据与事件</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MySQL 8.4、Redis、RabbitMQ</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分别承担持久化约束、非关键缓存和异步通知。</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验证与部署</w:t>
            </w:r>
          </w:p>
        </w:tc>
        <w:tc>
          <w:tcPr>
            <w:tcW w:type="dxa" w:w="351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JUnit、接口测试、JMeter、Docker Compose</w:t>
            </w:r>
          </w:p>
        </w:tc>
        <w:tc>
          <w:tcPr>
            <w:tcW w:type="dxa" w:w="430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形成可复现的自动化验证和部署过程。</w:t>
            </w:r>
          </w:p>
        </w:tc>
      </w:tr>
    </w:tbl>
    <w:p>
      <w:pPr>
        <w:spacing w:after="20"/>
      </w:pPr>
    </w:p>
    <w:p>
      <w:pPr>
        <w:ind w:firstLine="440"/>
      </w:pPr>
      <w:r>
        <w:t>候选版本组合为 Spring Boot 4.0.x 与 Spring Cloud 2025.1.x，具体补丁和第三方依赖须在技术预研后固定。注册发现明确采用 Eureka，不再并行引入 Nacos。跨服务一致性采用本地事务与 Outbox，不额外引入 Seata；不同组件的职责不得混为一谈。</w:t>
      </w:r>
    </w:p>
    <w:p>
      <w:pPr>
        <w:pStyle w:val="Heading1"/>
      </w:pPr>
      <w:r>
        <w:t>六 实验设计</w:t>
      </w:r>
    </w:p>
    <w:p>
      <w:pPr>
        <w:ind w:firstLine="440"/>
      </w:pPr>
      <w:r>
        <w:t>实验环境建议为至少 4 核 CPU、16 GB 内存和 SSD 的单机，最终报告如实记录实际配置及容器限额。采用 3 个社区、300 个车位、1000 个用户、10000 条历史订单的可重建模拟数据集；压力测试前预热 2 分钟，每轮持续 10 分钟，进行 3 轮并报告各轮结果。</w:t>
      </w:r>
    </w:p>
    <w:p>
      <w:pPr>
        <w:ind w:firstLine="440"/>
      </w:pPr>
      <w:r>
        <w:t>并发实验设置同一车位同一时段的竞争组和不同车位的对照组；故障实验在发布事件前后和消费提交前后暂停服务；账务实验覆盖全额退款、部分退款、补缴与结算后冲正。记录请求成功数、业务冲突数、P95 延迟、恢复耗时、重复入账数与金额差异。</w:t>
      </w:r>
    </w:p>
    <w:p>
      <w:pPr>
        <w:ind w:firstLine="440"/>
      </w:pPr>
      <w:r>
        <w:t>性能目标为 50 个并发用户下查询 P95 不超过 1 秒、预约 P95 不超过 2 秒、非预期错误率小于 1%。这些数字为拟定目标，测试完成后才能写入结论。</w:t>
      </w:r>
    </w:p>
    <w:p>
      <w:pPr>
        <w:pStyle w:val="Heading1"/>
        <w:pageBreakBefore/>
      </w:pPr>
      <w:r>
        <w:t>七 可行性分析与风险控制</w:t>
      </w:r>
    </w:p>
    <w:p>
      <w:pPr>
        <w:pStyle w:val="Heading2"/>
      </w:pPr>
      <w:r>
        <w:t>7.1 技术与资源可行性</w:t>
      </w:r>
    </w:p>
    <w:p>
      <w:pPr>
        <w:ind w:firstLine="440"/>
      </w:pPr>
      <w:r>
        <w:t>Java 与关系数据库能够实现业务约束，Spring Cloud 可支撑有限数量的服务协作。核心难点为分布式状态收敛和资金口径，而不是服务数量。通过将强一致业务保留在单库事务内，把跨服务流程限制为明确事件，控制实现难度。项目以个人电脑和开源工具完成本地演示，真实支付和硬件采购不作为前置条件。</w:t>
      </w:r>
    </w:p>
    <w:p>
      <w:pPr>
        <w:pStyle w:val="Heading2"/>
      </w:pPr>
      <w:r>
        <w:t>7.2 周期与工作量可行性</w:t>
      </w:r>
    </w:p>
    <w:p>
      <w:pPr>
        <w:ind w:firstLine="440"/>
      </w:pPr>
      <w:r>
        <w:t>按 16 周、约 320 小时规划。第 1—4 周完成资料、需求和设计；第 5—10 周形成业务闭环；第 11—14 周进行联调、实验与论文整理；第 15—16 周回归和答辩。每阶段以可演示成果结束。若出现延期，优先取消地图、推荐等扩展，不削减并发、账务与权限验收。</w:t>
      </w:r>
    </w:p>
    <w:p>
      <w:pPr>
        <w:pStyle w:val="Heading2"/>
      </w:pPr>
      <w:r>
        <w:t>7.3 主要风险及应对</w:t>
      </w:r>
    </w:p>
    <w:tbl>
      <w:tblPr>
        <w:tblW w:type="auto" w:w="0"/>
        <w:jc w:val="center"/>
        <w:tblLayout w:type="fixed"/>
        <w:tblLook w:firstColumn="1" w:firstRow="1" w:lastColumn="0" w:lastRow="0" w:noHBand="0" w:noVBand="1" w:val="04A0"/>
      </w:tblPr>
      <w:tblGrid>
        <w:gridCol w:w="1474"/>
        <w:gridCol w:w="2721"/>
        <w:gridCol w:w="5102"/>
      </w:tblGrid>
      <w:tr>
        <w:trPr>
          <w:cantSplit/>
          <w:tblHeader/>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风险</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预警信号</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应对措施</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依赖兼容</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预研无法稳定启动</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第 2 周完成兼容验证和版本冻结，保留构建清单。</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范围扩大</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新增硬件或复杂预测需求</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执行变更评估，将扩展移至核心验收后。</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异步不一致</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积压、重复入账或状态回退</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保留事件、消费记录、重试与对账入口。</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资料不足</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缺乏真实场地与样本</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使用可重建模拟场景，限制结论外推范围。</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现场演示故障</w:t>
            </w:r>
          </w:p>
        </w:tc>
        <w:tc>
          <w:tcPr>
            <w:tcW w:type="dxa" w:w="272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依赖外网或临时账户</w:t>
            </w:r>
          </w:p>
        </w:tc>
        <w:tc>
          <w:tcPr>
            <w:tcW w:type="dxa" w:w="510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准备离线启动包、模拟支付和固定演示脚本。</w:t>
            </w:r>
          </w:p>
        </w:tc>
      </w:tr>
    </w:tbl>
    <w:p>
      <w:pPr>
        <w:spacing w:after="20"/>
      </w:pPr>
    </w:p>
    <w:p>
      <w:pPr>
        <w:pStyle w:val="Heading1"/>
      </w:pPr>
      <w:r>
        <w:t>八 预期成果与创新点</w:t>
      </w:r>
    </w:p>
    <w:p>
      <w:pPr>
        <w:ind w:firstLine="440"/>
      </w:pPr>
      <w:r>
        <w:t>预期形成完整源代码、六份前期工程文档、测试与部署资料、毕业论文及答辩材料。拟体现的特色为社区时段资源与交易结算的闭环建模、重复通知及退款冲正的可追踪设计、针对异常情况的可复现实验。上述内容属于拟实现的工程特色，最终贡献以实际完成与验证结果为准。</w:t>
      </w:r>
    </w:p>
    <w:p>
      <w:pPr>
        <w:pStyle w:val="Heading1"/>
      </w:pPr>
      <w:r>
        <w:t>九 参考文献与审批</w:t>
      </w:r>
    </w:p>
    <w:p>
      <w:r>
        <w:t>下页列出独立参考文献，编号与文献综述保持一致。开题评议意见：________________________________________________</w:t>
        <w:br/>
        <w:t>指导教师签名：____________    评议日期：____________</w:t>
      </w:r>
    </w:p>
    <w:p>
      <w:pPr>
        <w:pStyle w:val="Heading1"/>
        <w:pageBreakBefore/>
      </w:pPr>
      <w:r>
        <w:t>附件 近期研究补充与参考文献</w:t>
      </w:r>
    </w:p>
    <w:p>
      <w:pPr>
        <w:ind w:firstLine="440"/>
      </w:pPr>
      <w:r>
        <w:t>近期研究进一步关注超时占用对匹配的影响 [13]，以及滚动时间窗下的动态共享分配 [14]。本课题据此将物理占用、无法履约及通知退款列为必须处理的场景；优化算法只作为拓展研究，不替代可验证的交易闭环。</w:t>
      </w:r>
    </w:p>
    <w:p>
      <w:pPr>
        <w:spacing w:after="200"/>
      </w:pPr>
      <w:r>
        <w:rPr>
          <w:rFonts w:ascii="Times New Roman" w:hAnsi="Times New Roman" w:eastAsia="宋体"/>
          <w:color w:val="000000"/>
          <w:sz w:val="20"/>
        </w:rPr>
        <w:t>[1] 国务院办公厅. 国务院办公厅转发国家发展改革委等部门关于推动城市停车设施发展意见的通知 国办函〔2021〕46号[EB/OL]. (2021-05-21)[2026-10-15]. https://app.www.gov.cn/govdata/gov/202105/21/471594/article.html</w:t>
      </w:r>
    </w:p>
    <w:p>
      <w:pPr>
        <w:spacing w:after="200"/>
      </w:pPr>
      <w:r>
        <w:rPr>
          <w:rFonts w:ascii="Times New Roman" w:hAnsi="Times New Roman" w:eastAsia="宋体"/>
          <w:color w:val="000000"/>
          <w:sz w:val="20"/>
        </w:rPr>
        <w:t>[2] 段满珍, 杨兆升, 张林, 等. 个性化诱导下的居住区共享停车泊位分配模型[J]. 东北大学学报 自然科学版, 2017, 38(2): 174-179. DOI: 10.12068/j.issn.1005-3026.2017.02.005.</w:t>
      </w:r>
    </w:p>
    <w:p>
      <w:pPr>
        <w:spacing w:after="200"/>
      </w:pPr>
      <w:r>
        <w:rPr>
          <w:rFonts w:ascii="Times New Roman" w:hAnsi="Times New Roman" w:eastAsia="宋体"/>
          <w:color w:val="000000"/>
          <w:sz w:val="20"/>
        </w:rPr>
        <w:t>[3] DIAZ OGÁS M G, FABREGAT R, ACIAR S. Survey of Smart Parking Systems[J]. Applied Sciences, 2020, 10(11): 3872. DOI: 10.3390/app10113872.</w:t>
      </w:r>
    </w:p>
    <w:p>
      <w:pPr>
        <w:spacing w:after="200"/>
      </w:pPr>
      <w:r>
        <w:rPr>
          <w:rFonts w:ascii="Times New Roman" w:hAnsi="Times New Roman" w:eastAsia="宋体"/>
          <w:color w:val="000000"/>
          <w:sz w:val="20"/>
        </w:rPr>
        <w:t>[4] BARRIGA J J, SULCA J, LEÓN J L, et al. Smart Parking: A Literature Review from the Technological Perspective[J]. Applied Sciences, 2019, 9(21): 4569. DOI: 10.3390/app9214569.</w:t>
      </w:r>
    </w:p>
    <w:p>
      <w:pPr>
        <w:spacing w:after="200"/>
      </w:pPr>
      <w:r>
        <w:rPr>
          <w:rFonts w:ascii="Times New Roman" w:hAnsi="Times New Roman" w:eastAsia="宋体"/>
          <w:color w:val="000000"/>
          <w:sz w:val="20"/>
        </w:rPr>
        <w:t>[5] FAHIM A, HASAN M, CHOWDHURY M A. Smart parking systems: comprehensive review based on various aspects[J]. Heliyon, 2021, 7(5): e07050. DOI: 10.1016/j.heliyon.2021.e07050.</w:t>
      </w:r>
    </w:p>
    <w:p>
      <w:pPr>
        <w:spacing w:after="200"/>
      </w:pPr>
      <w:r>
        <w:rPr>
          <w:rFonts w:ascii="Times New Roman" w:hAnsi="Times New Roman" w:eastAsia="宋体"/>
          <w:color w:val="000000"/>
          <w:sz w:val="20"/>
        </w:rPr>
        <w:t>[6] BIYIK C, ALLAM Z, PIERI G, et al. Smart Parking Systems: Reviewing the Literature, Architecture and Ways Forward[J]. Smart Cities, 2021, 4(2): 623-642. DOI: 10.3390/smartcities4020032.</w:t>
      </w:r>
    </w:p>
    <w:p>
      <w:pPr>
        <w:spacing w:after="200"/>
      </w:pPr>
      <w:r>
        <w:rPr>
          <w:rFonts w:ascii="Times New Roman" w:hAnsi="Times New Roman" w:eastAsia="宋体"/>
          <w:color w:val="000000"/>
          <w:sz w:val="20"/>
        </w:rPr>
        <w:t>[7] CHOU S Y, DEWABHARATA A, ZULVIA F E. Dynamic Space Allocation Based on Internal Demand for Optimizing Release of Shared Parking[J]. Sensors, 2022, 22(1): 235. DOI: 10.3390/s22010235.</w:t>
      </w:r>
    </w:p>
    <w:p>
      <w:pPr>
        <w:pStyle w:val="Heading1"/>
        <w:pageBreakBefore/>
      </w:pPr>
      <w:r>
        <w:t>参考文献续与实验执行口径</w:t>
      </w:r>
    </w:p>
    <w:p>
      <w:pPr>
        <w:spacing w:after="200"/>
      </w:pPr>
      <w:r>
        <w:rPr>
          <w:rFonts w:ascii="Times New Roman" w:hAnsi="Times New Roman" w:eastAsia="宋体"/>
          <w:color w:val="000000"/>
          <w:sz w:val="20"/>
        </w:rPr>
        <w:t>[8] Spring. Spring Cloud[EB/OL]. [2026-10-15]. https://spring.io/projects/spring-cloud/</w:t>
      </w:r>
    </w:p>
    <w:p>
      <w:pPr>
        <w:spacing w:after="200"/>
      </w:pPr>
      <w:r>
        <w:rPr>
          <w:rFonts w:ascii="Times New Roman" w:hAnsi="Times New Roman" w:eastAsia="宋体"/>
          <w:color w:val="000000"/>
          <w:sz w:val="20"/>
        </w:rPr>
        <w:t>[9] Spring. Spring Cloud Gateway Reference[EB/OL]. [2026-10-15]. https://docs.spring.io/spring-cloud-gateway/reference/</w:t>
      </w:r>
    </w:p>
    <w:p>
      <w:pPr>
        <w:spacing w:after="200"/>
      </w:pPr>
      <w:r>
        <w:rPr>
          <w:rFonts w:ascii="Times New Roman" w:hAnsi="Times New Roman" w:eastAsia="宋体"/>
          <w:color w:val="000000"/>
          <w:sz w:val="20"/>
        </w:rPr>
        <w:t>[10] Oracle. MySQL 8.4 Reference Manual 17.7.2.4 Locking Reads[EB/OL]. [2026-10-15]. https://dev.mysql.com/doc/refman/8.4/en/innodb-locking-reads.html</w:t>
      </w:r>
    </w:p>
    <w:p>
      <w:pPr>
        <w:spacing w:after="200"/>
      </w:pPr>
      <w:r>
        <w:rPr>
          <w:rFonts w:ascii="Times New Roman" w:hAnsi="Times New Roman" w:eastAsia="宋体"/>
          <w:color w:val="000000"/>
          <w:sz w:val="20"/>
        </w:rPr>
        <w:t>[11] RabbitMQ. Consumer Acknowledgements and Publisher Confirms[EB/OL]. [2026-10-15]. https://www.rabbitmq.com/docs/confirms</w:t>
      </w:r>
    </w:p>
    <w:p>
      <w:pPr>
        <w:spacing w:after="200"/>
      </w:pPr>
      <w:r>
        <w:rPr>
          <w:rFonts w:ascii="Times New Roman" w:hAnsi="Times New Roman" w:eastAsia="宋体"/>
          <w:color w:val="000000"/>
          <w:sz w:val="20"/>
        </w:rPr>
        <w:t>[12] OWASP. API1 2023 Broken Object Level Authorization[EB/OL]. [2026-10-15]. https://api-security.owasp.org/editions/2023/en/0xa1-broken-object-level-authorization/</w:t>
      </w:r>
    </w:p>
    <w:p>
      <w:pPr>
        <w:spacing w:after="200"/>
      </w:pPr>
      <w:r>
        <w:rPr>
          <w:rFonts w:ascii="Times New Roman" w:hAnsi="Times New Roman" w:eastAsia="宋体"/>
          <w:color w:val="000000"/>
          <w:sz w:val="20"/>
        </w:rPr>
        <w:t>[13] LI M, CHENG J, FU J. Matching Methods of Shared Parking Slots Considering Overdue Parking Behavior[J]. Sustainability, 2024, 16(24): 11253. DOI: 10.3390/su162411253.</w:t>
      </w:r>
    </w:p>
    <w:p>
      <w:pPr>
        <w:spacing w:after="200"/>
      </w:pPr>
      <w:r>
        <w:rPr>
          <w:rFonts w:ascii="Times New Roman" w:hAnsi="Times New Roman" w:eastAsia="宋体"/>
          <w:color w:val="000000"/>
          <w:sz w:val="20"/>
        </w:rPr>
        <w:t>[14] 黄敏, 杨靖, 梁宁晨. 面向不规范停车治理的动态共享停车分配模型[J]. 中山大学学报(自然科学版)(中英文), 2025, 64(5): 59-67. DOI: 10.13471/j.cnki.acta.snus.ZR20250051.</w:t>
      </w:r>
    </w:p>
    <w:p>
      <w:pPr>
        <w:ind w:firstLine="440"/>
      </w:pPr>
      <w:r>
        <w:t>实验分组用于比较同一资源竞争与不同资源并发，不据此声称某种架构优于所有替代方案。性能负载采用查询 70%、预约创建 20%、本人订单查询 10%；预约使用有效可用资源，冲突专项单独运行。按接口、按轮保存全响应和成功响应 P95，超时归入非预期错误，3 轮分别验收。</w:t>
      </w:r>
    </w:p>
    <w:sectPr w:rsidR="00FC693F" w:rsidRPr="0006063C" w:rsidSect="00034616">
      <w:footerReference w:type="default" r:id="rId9"/>
      <w:pgSz w:w="11906" w:h="16838"/>
      <w:pgMar w:top="1191" w:right="1304"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黑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Cloud 的智慧社区停车位共享与结算系统 开题报告</dc:title>
  <dc:subject>开题报告</dc:subject>
  <dc:creator/>
  <cp:keywords>毕业设计 Spring Cloud 共享停车 结算</cp:keywords>
  <dc:description>generated by python-docx</dc:description>
  <cp:lastModifiedBy/>
  <cp:revision>1</cp:revision>
  <dcterms:created xsi:type="dcterms:W3CDTF">2013-12-23T23:15:00Z</dcterms:created>
  <dcterms:modified xsi:type="dcterms:W3CDTF">2013-12-23T23:15:00Z</dcterms:modified>
  <cp:category/>
</cp:coreProperties>
</file>