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项目实施计划报告</w:t>
      </w:r>
    </w:p>
    <w:p>
      <w:pPr>
        <w:spacing w:after="200"/>
      </w:pPr>
      <w:r>
        <w:rPr>
          <w:rFonts w:ascii="Times New Roman" w:hAnsi="Times New Roman" w:eastAsia="黑体"/>
          <w:color w:val="000000"/>
          <w:sz w:val="24"/>
        </w:rPr>
        <w:t>基于 Spring Cloud 的智慧社区停车位共享与结算系统</w:t>
      </w:r>
    </w:p>
    <w:p>
      <w:pPr>
        <w:spacing w:after="160"/>
      </w:pPr>
      <w:r>
        <w:rPr>
          <w:rFonts w:ascii="Times New Roman" w:hAnsi="Times New Roman" w:eastAsia="宋体"/>
          <w:color w:val="000000"/>
          <w:sz w:val="18"/>
        </w:rPr>
        <w:t>文档编号 SPCS P01    版本 V1.1    编制日期 2026年10月15日</w:t>
      </w:r>
    </w:p>
    <w:p>
      <w:r>
        <w:t>学校：____________    学院与专业：____________</w:t>
        <w:br/>
        <w:t>学生姓名：________    学号：________    指导教师：________</w:t>
      </w:r>
    </w:p>
    <w:p>
      <w:pPr>
        <w:pStyle w:val="Heading1"/>
      </w:pPr>
      <w:r>
        <w:t>一 项目目标与交付基线</w:t>
      </w:r>
    </w:p>
    <w:p>
      <w:pPr>
        <w:ind w:firstLine="440"/>
      </w:pPr>
      <w:r>
        <w:t>本计划用于组织智慧社区停车位共享与结算系统的毕业设计实施，覆盖范围、工作分解、进度、资源、质量和风险。计划以一名学生开发者为执行主体，导师负责阶段审阅。项目周期为 16 周，预计投入 320 小时；周次以学院批准的启动日计算，不将编制日自动视为项目正式开工日。</w:t>
      </w:r>
    </w:p>
    <w:p>
      <w:pPr>
        <w:ind w:firstLine="440"/>
      </w:pPr>
      <w:r>
        <w:t>核心交付基线为四类角色、三个业务服务、一套网关入口及一套 Web 前端，完成车辆管理、发布审核、预约、站内通知、模拟入离场、预付与补缴、退款、业主收益结算和对账。全部支付为模拟交易，结算为账务与模拟打款，不建设真实资金托管平台。</w:t>
      </w:r>
    </w:p>
    <w:p>
      <w:pPr>
        <w:pStyle w:val="Heading1"/>
      </w:pPr>
      <w:r>
        <w:t>二 工作分解与工作量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2948"/>
        <w:gridCol w:w="1020"/>
        <w:gridCol w:w="4422"/>
      </w:tblGrid>
      <w:tr>
        <w:trPr>
          <w:cantSplit/>
          <w:tblHeader/>
        </w:trPr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40" w:before="40" w:line="269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WBS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工作包</w:t>
            </w:r>
          </w:p>
        </w:tc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工时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完成标志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调研与选题</w:t>
            </w:r>
          </w:p>
        </w:tc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24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任务书、综述、开题和版本预研通过。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需求与原型</w:t>
            </w:r>
          </w:p>
        </w:tc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36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需求编号、关键页面和异常规则冻结。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架构与数据设计</w:t>
            </w:r>
          </w:p>
        </w:tc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28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服务契约、表结构和状态机完成评审。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基础功能开发</w:t>
            </w:r>
          </w:p>
        </w:tc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48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身份权限、审核和共享窗口可运行。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预约与停车开发</w:t>
            </w:r>
          </w:p>
        </w:tc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48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并发预约及入离场用例通过。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交易与结算开发</w:t>
            </w:r>
          </w:p>
        </w:tc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52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支付、退款、账务和对账闭环。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集成与专项测试</w:t>
            </w:r>
          </w:p>
        </w:tc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40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核心回归、性能和故障实验完成。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论文与答辩准备</w:t>
            </w:r>
          </w:p>
        </w:tc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28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论文、用户手册与演示材料齐备。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9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风险缓冲</w:t>
            </w:r>
          </w:p>
        </w:tc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16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用于关键缺陷修复与排期调整。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合计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全部工作</w:t>
            </w:r>
          </w:p>
        </w:tc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320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由里程碑验收确认。</w:t>
            </w:r>
          </w:p>
        </w:tc>
      </w:tr>
    </w:tbl>
    <w:p>
      <w:pPr>
        <w:spacing w:after="20"/>
      </w:pPr>
    </w:p>
    <w:p>
      <w:pPr>
        <w:ind w:firstLine="440"/>
      </w:pPr>
      <w:r>
        <w:t>工时是工作量估算，不代表已有投入记录。论文与测试资料随开发同步整理；风险缓冲不用于增加非必要功能。</w:t>
      </w:r>
    </w:p>
    <w:p>
      <w:pPr>
        <w:pStyle w:val="Heading1"/>
        <w:pageBreakBefore/>
      </w:pPr>
      <w:r>
        <w:t>三 进度计划与任务依赖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4932"/>
        <w:gridCol w:w="3231"/>
      </w:tblGrid>
      <w:tr>
        <w:trPr>
          <w:cantSplit/>
          <w:tblHeader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40" w:before="40" w:line="269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周次</w:t>
            </w:r>
          </w:p>
        </w:tc>
        <w:tc>
          <w:tcPr>
            <w:tcW w:type="dxa" w:w="49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任务与依赖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阶段输出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49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明确课题范围，检索代表性资料。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任务书、资料清单。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49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完成综述与开题；验证框架版本和开发环境。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开题基线、可启动空工程。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49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访谈提纲与场景分析；确认计费和退款规则。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需求规格说明书初稿。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49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完成原型、数据库和接口契约，依赖需求基线。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设计评审版、迁移脚本初版。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5—6</w:t>
            </w:r>
          </w:p>
        </w:tc>
        <w:tc>
          <w:tcPr>
            <w:tcW w:type="dxa" w:w="49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开发身份权限、车位审核和共享窗口。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第一条可运行管理链。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7—8</w:t>
            </w:r>
          </w:p>
        </w:tc>
        <w:tc>
          <w:tcPr>
            <w:tcW w:type="dxa" w:w="49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完成预约、释放和入离场；依赖资源模块。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预约并发与状态机测试。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9—10</w:t>
            </w:r>
          </w:p>
        </w:tc>
        <w:tc>
          <w:tcPr>
            <w:tcW w:type="dxa" w:w="49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完成支付、退款、账务、结算与对账。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端到端交易闭环。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11—12</w:t>
            </w:r>
          </w:p>
        </w:tc>
        <w:tc>
          <w:tcPr>
            <w:tcW w:type="dxa" w:w="49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前后端联调、权限检查、消息恢复与回归。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核心验收结果、缺陷清单。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13—14</w:t>
            </w:r>
          </w:p>
        </w:tc>
        <w:tc>
          <w:tcPr>
            <w:tcW w:type="dxa" w:w="49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压测与优化、环境重建、论文和部署说明。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实验记录、论文初稿。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15</w:t>
            </w:r>
          </w:p>
        </w:tc>
        <w:tc>
          <w:tcPr>
            <w:tcW w:type="dxa" w:w="49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冻结功能，完成回归及导师审阅。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发布候选版本、论文定稿。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16</w:t>
            </w:r>
          </w:p>
        </w:tc>
        <w:tc>
          <w:tcPr>
            <w:tcW w:type="dxa" w:w="49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演示排练、归档与答辩；使用剩余缓冲。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最终交付包、答辩材料。</w:t>
            </w:r>
          </w:p>
        </w:tc>
      </w:tr>
    </w:tbl>
    <w:p>
      <w:pPr>
        <w:spacing w:after="20"/>
      </w:pPr>
    </w:p>
    <w:p>
      <w:pPr>
        <w:pStyle w:val="Heading2"/>
      </w:pPr>
      <w:r>
        <w:t>3.1 关键路径</w:t>
      </w:r>
    </w:p>
    <w:p>
      <w:pPr>
        <w:ind w:firstLine="440"/>
      </w:pPr>
      <w:r>
        <w:t>需求规则确认 → 服务与数据设计 → 车位时段管理 → 预约状态机 → 支付与退款 → 结算对账 → 集成验收构成关键路径。前端静态页面、测试数据、论文背景章节可在接口契约确定后穿插开展。未冻结计费和退款规则前，不开始结算公式开发。</w:t>
      </w:r>
    </w:p>
    <w:p>
      <w:pPr>
        <w:pStyle w:val="Heading2"/>
      </w:pPr>
      <w:r>
        <w:t>3.2 里程碑门槛</w:t>
      </w:r>
    </w:p>
    <w:p>
      <w:pPr>
        <w:ind w:firstLine="440"/>
      </w:pPr>
      <w:r>
        <w:t>M1 第 4 周：六份文档形成一致基线；M2 第 8 周：预约与占用测试通过；M3 第 12 周：核心全流程与故障恢复通过；M4 第 15 周：无阻断或严重缺陷，演示环境可重建。未通过门槛应记录原因和恢复计划，不以页面数量替代完成度。</w:t>
      </w:r>
    </w:p>
    <w:p>
      <w:pPr>
        <w:pStyle w:val="Heading1"/>
        <w:pageBreakBefore/>
      </w:pPr>
      <w:r>
        <w:t>四 资源安排与实施规范</w:t>
      </w:r>
    </w:p>
    <w:p>
      <w:pPr>
        <w:pStyle w:val="Heading2"/>
      </w:pPr>
      <w:r>
        <w:t>4.1 职责与协作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762"/>
        <w:gridCol w:w="2835"/>
      </w:tblGrid>
      <w:tr>
        <w:trPr>
          <w:cantSplit/>
          <w:tblHeader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角色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职责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检查方式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学生开发者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需求整理、编码、测试、资料编写、演示。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每周提交进度、代码版本、问题清单。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指导教师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研究范围、阶段成果、论文与答辩指导。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第 4、8、12、15 周里程碑审阅。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场景评审者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可由同学按角色脚本走查交互。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记录脚本、发现和修改；非真实运营评估。</w:t>
            </w:r>
          </w:p>
        </w:tc>
      </w:tr>
    </w:tbl>
    <w:p>
      <w:pPr>
        <w:spacing w:after="20"/>
      </w:pPr>
    </w:p>
    <w:p>
      <w:pPr>
        <w:pStyle w:val="Heading2"/>
      </w:pPr>
      <w:r>
        <w:t>4.2 环境与成本假设</w:t>
      </w:r>
    </w:p>
    <w:p>
      <w:pPr>
        <w:ind w:firstLine="440"/>
      </w:pPr>
      <w:r>
        <w:t>开发环境建议至少 4 核 CPU、16 GB 内存及 20 GB 可用磁盘空间。Docker Compose 编排 MySQL、Redis、RabbitMQ、注册中心及业务服务；资源不足时按验证场景启动必要组件。预算基线为复用现有电脑、开源软件和本地模拟器，新增云服务或真实支付接入需单独估算费用及实施影响。</w:t>
      </w:r>
    </w:p>
    <w:p>
      <w:pPr>
        <w:pStyle w:val="Heading2"/>
      </w:pPr>
      <w:r>
        <w:t>4.3 配置与版本管理</w:t>
      </w:r>
    </w:p>
    <w:p>
      <w:pPr>
        <w:ind w:firstLine="440"/>
      </w:pPr>
      <w:r>
        <w:t>采用 Git 管理源代码、数据库迁移和文档版本。main 保存可演示基线，功能分支按需求编号命名；每次合并关联需求和测试结果。数据库变化采用版本化迁移脚本，禁止仅在本机手动改表。配置通过环境变量和示例文件提供，不提交密码或真实个人信息。</w:t>
      </w:r>
    </w:p>
    <w:p>
      <w:pPr>
        <w:ind w:firstLine="440"/>
      </w:pPr>
      <w:r>
        <w:t>第 2 周记录 JDK、Spring Boot、Spring Cloud BOM、前端依赖与镜像版本，锁定可重建组合；不能只写 latest 标签。每个阶段保存可运行标签。升级依赖必须重新运行构建、登录、预约、支付及结算回归。</w:t>
      </w:r>
    </w:p>
    <w:p>
      <w:pPr>
        <w:pStyle w:val="Heading2"/>
      </w:pPr>
      <w:r>
        <w:t>4.4 质量与缺陷管理</w:t>
      </w:r>
    </w:p>
    <w:p>
      <w:pPr>
        <w:ind w:firstLine="440"/>
      </w:pPr>
      <w:r>
        <w:t>测试按规则单元测试、数据库与消息集成测试、接口测试和端到端验收分层执行。并发与异步测试在真实 MySQL、RabbitMQ 容器上运行，避免仅用内存数据库或模拟对象推定事务行为。金额、权限和状态机分支必须覆盖边界条件。</w:t>
      </w:r>
    </w:p>
    <w:p>
      <w:pPr>
        <w:ind w:firstLine="440"/>
      </w:pPr>
      <w:r>
        <w:t>缺陷分为阻断、严重、一般和建议。无法启动、重复占用、重复扣记和越权读取为阻断或严重问题，须先修复再验收。每条缺陷记录版本、前置数据、复现步骤、预期与实际结果、修复提交及回归结论。</w:t>
      </w:r>
    </w:p>
    <w:p>
      <w:pPr>
        <w:pStyle w:val="Heading1"/>
        <w:pageBreakBefore/>
      </w:pPr>
      <w:r>
        <w:t>五 风险 变更与验收计划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3118"/>
        <w:gridCol w:w="4535"/>
      </w:tblGrid>
      <w:tr>
        <w:trPr>
          <w:cantSplit/>
          <w:tblHeader/>
        </w:trPr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40" w:before="40" w:line="269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风险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触发条件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缓解及责任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版本不兼容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第 2 周无法完成基本启动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开发者验证官方兼容组合，导师确认调整范围。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业务规则反复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冻结后出现计费或退款变更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记录影响的需求、接口、测试和工时，更新基线。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账务不一致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支付重复或对账差额非零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暂停模拟结算，按业务号追踪并通过冲正修复。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进度延迟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关键任务连续一周无可演示成果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使用缓冲，移除扩展项，保持核心验收范围。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数据或环境损失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配置丢失、机器故障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代码与文档备份，验证迁移及演示数据重建。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外部服务不可用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支付或硬件接口无接入条件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使用已定义的本地模拟器和确定性场景。</w:t>
            </w:r>
          </w:p>
        </w:tc>
      </w:tr>
    </w:tbl>
    <w:p>
      <w:pPr>
        <w:spacing w:after="20"/>
      </w:pPr>
    </w:p>
    <w:p>
      <w:pPr>
        <w:pStyle w:val="Heading1"/>
      </w:pPr>
      <w:r>
        <w:t>5.1 变更控制</w:t>
      </w:r>
    </w:p>
    <w:p>
      <w:pPr>
        <w:ind w:firstLine="440"/>
      </w:pPr>
      <w:r>
        <w:t>需求变更记录编号、原因、受影响需求、工时、风险、测试调整及评审意见。小范围界面调整由开发者记录后实施；涉及核心计费、资金口径、权限或验收门槛的变更提交导师审阅。批准后同步修改需求、设计和计划，保留旧版以便追溯。</w:t>
      </w:r>
    </w:p>
    <w:p>
      <w:pPr>
        <w:pStyle w:val="Heading1"/>
      </w:pPr>
      <w:r>
        <w:t>5.2 验收流程与证据</w:t>
      </w:r>
    </w:p>
    <w:p>
      <w:pPr>
        <w:ind w:firstLine="440"/>
      </w:pPr>
      <w:r>
        <w:t>验收使用固定数据：业主发布 A001 车位，物业审核，司机预约 09:00—11:00，按 4 元每小时预付 8 元；重复支付通知不重复入账。11:20 离场产生 2 元补缴，总实收 10 元；10% 平台比例对应平台 1 元、业主 9 元。完成结算后批准退款 2 元，最终平台收入 0.80 元、业主净收益 7.20 元，以冲正记录追回或抵扣业主多结的 1.80 元。</w:t>
      </w:r>
    </w:p>
    <w:p>
      <w:pPr>
        <w:ind w:firstLine="440"/>
      </w:pPr>
      <w:r>
        <w:t>另行演示同一时段并发竞争、未支付超时、未入场超时退款、已过预约结束仍占用、跨用户访问以及消息服务暂停恢复。提交原始输出和数据库核查结果，测试报告区分预期值与实测值。正式评审前核对需求追踪表，确保每项核心需求均关联用例和结果。</w:t>
      </w:r>
    </w:p>
    <w:p>
      <w:pPr>
        <w:pStyle w:val="Heading1"/>
      </w:pPr>
      <w:r>
        <w:t>六 最终交付清单</w:t>
      </w:r>
    </w:p>
    <w:p>
      <w:pPr>
        <w:ind w:firstLine="440"/>
      </w:pPr>
      <w:r>
        <w:t>交付六份前期文档、毕业论文、完整源代码、构建与依赖清单、数据库迁移和模拟数据、接口文档、测试脚本与报告、部署手册、用户操作说明、演示视频及答辩演示文稿。归档包含版本号、生成日期和校验说明；所有个人信息及账号凭据在提交前检查。</w:t>
      </w:r>
    </w:p>
    <w:p>
      <w:pPr>
        <w:pStyle w:val="Heading1"/>
        <w:pageBreakBefore/>
      </w:pPr>
      <w:r>
        <w:t>七 专项验证与基线维护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4025"/>
        <w:gridCol w:w="3912"/>
      </w:tblGrid>
      <w:tr>
        <w:trPr>
          <w:cantSplit/>
          <w:tblHeader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40" w:before="40" w:line="269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专项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准备与执行</w:t>
            </w:r>
          </w:p>
        </w:tc>
        <w:tc>
          <w:tcPr>
            <w:tcW w:type="dxa" w:w="3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通过门槛与证据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预约竞争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100 名有效用户及本人车辆；同一空闲车位，同一合法时段，屏障同步提交不同请求键。</w:t>
            </w:r>
          </w:p>
        </w:tc>
        <w:tc>
          <w:tcPr>
            <w:tcW w:type="dxa" w:w="3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恰好 1 单成功、99 个 409 冲突；查库仅 1 条有效占用。依赖故障另测，不把全部失败当作通过。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性能负载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 核 16 GB SSD；50 并发；查询 70%、创建预约 20%、本人订单查询 10%；预约使用可用资源。</w:t>
            </w:r>
          </w:p>
        </w:tc>
        <w:tc>
          <w:tcPr>
            <w:tcW w:type="dxa" w:w="3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预热 2 分钟后测 10 分钟，共 3 轮；按接口列全响应及成功响应 P95、样本数和非预期错误。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恢复与死信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准备 100 个非死信事件，恢复依赖；另准备超过 5 次重试的事件进入死信。</w:t>
            </w:r>
          </w:p>
        </w:tc>
        <w:tc>
          <w:tcPr>
            <w:tcW w:type="dxa" w:w="3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前者 60 秒内处理完成；后者可查看原因并人工重放，重放不重复入账。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资金边界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退款结果未知、结算与退款并发、旧事件迟到、分次退款取整。</w:t>
            </w:r>
          </w:p>
        </w:tc>
        <w:tc>
          <w:tcPr>
            <w:tcW w:type="dxa" w:w="3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未知退款继续预留；新金融事实不能丢弃；逐单金额差为 0 分。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需求覆盖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对照 FR01—FR17、NFR01—NFR07 和 TC01—TC25。</w:t>
            </w:r>
          </w:p>
        </w:tc>
        <w:tc>
          <w:tcPr>
            <w:tcW w:type="dxa" w:w="3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每项核心需求有设计、用例和实测记录；站内通知与车辆管理不遗漏。</w:t>
            </w:r>
          </w:p>
        </w:tc>
      </w:tr>
    </w:tbl>
    <w:p>
      <w:pPr>
        <w:spacing w:after="20"/>
      </w:pPr>
    </w:p>
    <w:p>
      <w:pPr>
        <w:pStyle w:val="Heading2"/>
      </w:pPr>
      <w:r>
        <w:t>7.1 工时与缓冲使用</w:t>
      </w:r>
    </w:p>
    <w:p>
      <w:pPr>
        <w:ind w:firstLine="440"/>
      </w:pPr>
      <w:r>
        <w:t>320 小时总量包括 304 小时工作包和 16 小时缓冲。前 4 周计划完成调研、需求及设计共 88 小时；第 5—10 周业务开发共 148 小时；第 11—16 周专项测试及论文答辩共 68 小时。平均每周约 20 小时，开发高峰期约 25 小时；若周可用工时不足，应调整日历安排，不压缩核心验收。</w:t>
      </w:r>
    </w:p>
    <w:p>
      <w:pPr>
        <w:ind w:firstLine="440"/>
      </w:pPr>
      <w:r>
        <w:t>缓冲由关键缺陷与环境恢复使用，每次记录原因、消耗工时和剩余量；缺陷修复优先于扩展功能。导师每周检查实际工时和未完成工作量，阶段延期时重新安排后续任务并更新版本。</w:t>
      </w:r>
    </w:p>
    <w:sectPr w:rsidR="00FC693F" w:rsidRPr="0006063C" w:rsidSect="00034616">
      <w:footerReference w:type="default" r:id="rId9"/>
      <w:pgSz w:w="11906" w:h="16838"/>
      <w:pgMar w:top="1191" w:right="1304" w:bottom="1077" w:left="130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t xml:space="preserve">第 </w:t>
    </w:r>
    <w:fldSimple w:instr="PAGE"/>
    <w:r>
      <w:rPr>
        <w:rFonts w:ascii="Times New Roman" w:hAnsi="Times New Roman" w:eastAsia="宋体"/>
        <w:color w:val="00000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auto" w:after="120"/>
    </w:pPr>
    <w:rPr>
      <w:rFonts w:ascii="Times New Roman" w:hAnsi="Times New Roman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4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4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4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40" w:line="240" w:lineRule="auto" w:before="0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</w:pPr>
    <w:rPr>
      <w:rFonts w:asciiTheme="majorHAnsi" w:eastAsiaTheme="majorEastAsia" w:hAnsiTheme="majorHAnsi" w:cstheme="majorBidi" w:ascii="Times New Roman" w:hAnsi="Times New Roman" w:eastAsia="黑体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黑体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 Spring Cloud 的智慧社区停车位共享与结算系统 项目实施计划报告</dc:title>
  <dc:subject>项目实施计划报告</dc:subject>
  <dc:creator/>
  <cp:keywords>毕业设计 Spring Cloud 共享停车 结算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