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F85ECFA" w14:textId="7284E487" w:rsidR="00334888" w:rsidRPr="000F6719" w:rsidRDefault="00334888" w:rsidP="00E3018C">
      <w:pPr>
        <w:spacing w:after="240" w:line="360" w:lineRule="auto"/>
        <w:jc w:val="center"/>
        <w:rPr>
          <w:rFonts w:ascii="Times New Roman" w:hAnsi="Times New Roman" w:cs="Times New Roman"/>
        </w:rPr>
      </w:pPr>
      <w:r w:rsidRPr="000F6719">
        <w:rPr>
          <w:rFonts w:ascii="Times New Roman" w:eastAsia="Arial" w:hAnsi="Times New Roman" w:cs="Times New Roman"/>
          <w:b/>
          <w:bCs/>
          <w:sz w:val="28"/>
          <w:szCs w:val="28"/>
        </w:rPr>
        <w:t>Survey-derived social determinants of COVID-19 hospitalization: lessons for respiratory-pandemic preparedness from the All of Us Research Program</w:t>
      </w:r>
    </w:p>
    <w:p w14:paraId="730D4EED" w14:textId="77777777" w:rsidR="00841284" w:rsidRPr="000F6719" w:rsidRDefault="00D413D7" w:rsidP="00E3018C">
      <w:pPr>
        <w:spacing w:after="120" w:line="360" w:lineRule="auto"/>
        <w:rPr>
          <w:rFonts w:ascii="Times New Roman" w:hAnsi="Times New Roman" w:cs="Times New Roman"/>
        </w:rPr>
      </w:pPr>
      <w:r w:rsidRPr="000F6719">
        <w:rPr>
          <w:rFonts w:ascii="Times New Roman" w:eastAsia="Arial" w:hAnsi="Times New Roman" w:cs="Times New Roman"/>
        </w:rPr>
        <w:t>Haining Wang, PhD</w:t>
      </w:r>
      <w:r w:rsidRPr="000F6719">
        <w:rPr>
          <w:rFonts w:ascii="Times New Roman" w:eastAsia="Arial" w:hAnsi="Times New Roman" w:cs="Times New Roman"/>
          <w:vertAlign w:val="superscript"/>
        </w:rPr>
        <w:t>1</w:t>
      </w:r>
      <w:r w:rsidRPr="000F6719">
        <w:rPr>
          <w:rFonts w:ascii="Times New Roman" w:eastAsia="Arial" w:hAnsi="Times New Roman" w:cs="Times New Roman"/>
        </w:rPr>
        <w:t>; Yihan Zhang</w:t>
      </w:r>
      <w:r w:rsidRPr="000F6719">
        <w:rPr>
          <w:rFonts w:ascii="Times New Roman" w:eastAsia="Arial" w:hAnsi="Times New Roman" w:cs="Times New Roman"/>
          <w:vertAlign w:val="superscript"/>
        </w:rPr>
        <w:t>1,2</w:t>
      </w:r>
      <w:r w:rsidRPr="000F6719">
        <w:rPr>
          <w:rFonts w:ascii="Times New Roman" w:eastAsia="Arial" w:hAnsi="Times New Roman" w:cs="Times New Roman"/>
        </w:rPr>
        <w:t>; Chenxi Xiong, MS</w:t>
      </w:r>
      <w:r w:rsidRPr="000F6719">
        <w:rPr>
          <w:rFonts w:ascii="Times New Roman" w:eastAsia="Arial" w:hAnsi="Times New Roman" w:cs="Times New Roman"/>
          <w:vertAlign w:val="superscript"/>
        </w:rPr>
        <w:t>1,3</w:t>
      </w:r>
      <w:r w:rsidRPr="000F6719">
        <w:rPr>
          <w:rFonts w:ascii="Times New Roman" w:eastAsia="Arial" w:hAnsi="Times New Roman" w:cs="Times New Roman"/>
        </w:rPr>
        <w:t>; Zhao Zhang, MD</w:t>
      </w:r>
      <w:r w:rsidRPr="000F6719">
        <w:rPr>
          <w:rFonts w:ascii="Times New Roman" w:eastAsia="Arial" w:hAnsi="Times New Roman" w:cs="Times New Roman"/>
          <w:vertAlign w:val="superscript"/>
        </w:rPr>
        <w:t>1,4</w:t>
      </w:r>
      <w:r w:rsidRPr="000F6719">
        <w:rPr>
          <w:rFonts w:ascii="Times New Roman" w:eastAsia="Arial" w:hAnsi="Times New Roman" w:cs="Times New Roman"/>
        </w:rPr>
        <w:t xml:space="preserve">; </w:t>
      </w:r>
      <w:proofErr w:type="spellStart"/>
      <w:r w:rsidRPr="000F6719">
        <w:rPr>
          <w:rFonts w:ascii="Times New Roman" w:eastAsia="Arial" w:hAnsi="Times New Roman" w:cs="Times New Roman"/>
        </w:rPr>
        <w:t>Jiangqiong</w:t>
      </w:r>
      <w:proofErr w:type="spellEnd"/>
      <w:r w:rsidRPr="000F6719">
        <w:rPr>
          <w:rFonts w:ascii="Times New Roman" w:eastAsia="Arial" w:hAnsi="Times New Roman" w:cs="Times New Roman"/>
        </w:rPr>
        <w:t xml:space="preserve"> Li, PhD</w:t>
      </w:r>
      <w:r w:rsidRPr="000F6719">
        <w:rPr>
          <w:rFonts w:ascii="Times New Roman" w:eastAsia="Arial" w:hAnsi="Times New Roman" w:cs="Times New Roman"/>
          <w:vertAlign w:val="superscript"/>
        </w:rPr>
        <w:t>1</w:t>
      </w:r>
      <w:r w:rsidRPr="000F6719">
        <w:rPr>
          <w:rFonts w:ascii="Times New Roman" w:eastAsia="Arial" w:hAnsi="Times New Roman" w:cs="Times New Roman"/>
        </w:rPr>
        <w:t>; Hengyi Fu, PhD</w:t>
      </w:r>
      <w:r w:rsidRPr="000F6719">
        <w:rPr>
          <w:rFonts w:ascii="Times New Roman" w:eastAsia="Arial" w:hAnsi="Times New Roman" w:cs="Times New Roman"/>
          <w:vertAlign w:val="superscript"/>
        </w:rPr>
        <w:t>5</w:t>
      </w:r>
      <w:r w:rsidRPr="000F6719">
        <w:rPr>
          <w:rFonts w:ascii="Times New Roman" w:eastAsia="Arial" w:hAnsi="Times New Roman" w:cs="Times New Roman"/>
        </w:rPr>
        <w:t>; Xiaojun Yuan, PhD</w:t>
      </w:r>
      <w:r w:rsidRPr="000F6719">
        <w:rPr>
          <w:rFonts w:ascii="Times New Roman" w:eastAsia="Arial" w:hAnsi="Times New Roman" w:cs="Times New Roman"/>
          <w:vertAlign w:val="superscript"/>
        </w:rPr>
        <w:t>6</w:t>
      </w:r>
      <w:r w:rsidRPr="000F6719">
        <w:rPr>
          <w:rFonts w:ascii="Times New Roman" w:eastAsia="Arial" w:hAnsi="Times New Roman" w:cs="Times New Roman"/>
        </w:rPr>
        <w:t xml:space="preserve">; </w:t>
      </w:r>
      <w:proofErr w:type="spellStart"/>
      <w:r w:rsidRPr="000F6719">
        <w:rPr>
          <w:rFonts w:ascii="Times New Roman" w:eastAsia="Arial" w:hAnsi="Times New Roman" w:cs="Times New Roman"/>
        </w:rPr>
        <w:t>Xiaochun</w:t>
      </w:r>
      <w:proofErr w:type="spellEnd"/>
      <w:r w:rsidRPr="000F6719">
        <w:rPr>
          <w:rFonts w:ascii="Times New Roman" w:eastAsia="Arial" w:hAnsi="Times New Roman" w:cs="Times New Roman"/>
        </w:rPr>
        <w:t xml:space="preserve"> Li, PhD</w:t>
      </w:r>
      <w:r w:rsidRPr="000F6719">
        <w:rPr>
          <w:rFonts w:ascii="Times New Roman" w:eastAsia="Arial" w:hAnsi="Times New Roman" w:cs="Times New Roman"/>
          <w:vertAlign w:val="superscript"/>
        </w:rPr>
        <w:t>1</w:t>
      </w:r>
      <w:r w:rsidRPr="000F6719">
        <w:rPr>
          <w:rFonts w:ascii="Times New Roman" w:eastAsia="Arial" w:hAnsi="Times New Roman" w:cs="Times New Roman"/>
        </w:rPr>
        <w:t>; Jing Su, PhD</w:t>
      </w:r>
      <w:r w:rsidRPr="000F6719">
        <w:rPr>
          <w:rFonts w:ascii="Times New Roman" w:eastAsia="Arial" w:hAnsi="Times New Roman" w:cs="Times New Roman"/>
          <w:vertAlign w:val="superscript"/>
        </w:rPr>
        <w:t>1</w:t>
      </w:r>
      <w:r w:rsidRPr="000F6719">
        <w:rPr>
          <w:rFonts w:ascii="Times New Roman" w:eastAsia="Arial" w:hAnsi="Times New Roman" w:cs="Times New Roman"/>
        </w:rPr>
        <w:t>*</w:t>
      </w:r>
    </w:p>
    <w:p w14:paraId="730D4EEE" w14:textId="77777777" w:rsidR="00841284" w:rsidRPr="000F6719" w:rsidRDefault="00D413D7" w:rsidP="00E3018C">
      <w:pPr>
        <w:spacing w:line="360" w:lineRule="auto"/>
        <w:rPr>
          <w:rFonts w:ascii="Times New Roman" w:hAnsi="Times New Roman" w:cs="Times New Roman"/>
        </w:rPr>
      </w:pPr>
      <w:r w:rsidRPr="000F6719">
        <w:rPr>
          <w:rFonts w:ascii="Times New Roman" w:eastAsia="Arial" w:hAnsi="Times New Roman" w:cs="Times New Roman"/>
          <w:vertAlign w:val="superscript"/>
        </w:rPr>
        <w:t>1</w:t>
      </w:r>
      <w:r w:rsidRPr="000F6719">
        <w:rPr>
          <w:rFonts w:ascii="Times New Roman" w:eastAsia="Arial" w:hAnsi="Times New Roman" w:cs="Times New Roman"/>
        </w:rPr>
        <w:t xml:space="preserve"> Department of Biostatistics and Health Data Science, Indiana University School of Medicine, Indianapolis, IN 46202, United States</w:t>
      </w:r>
    </w:p>
    <w:p w14:paraId="730D4EEF" w14:textId="77777777" w:rsidR="00841284" w:rsidRPr="000F6719" w:rsidRDefault="00D413D7" w:rsidP="00E3018C">
      <w:pPr>
        <w:spacing w:line="360" w:lineRule="auto"/>
        <w:rPr>
          <w:rFonts w:ascii="Times New Roman" w:hAnsi="Times New Roman" w:cs="Times New Roman"/>
        </w:rPr>
      </w:pPr>
      <w:r w:rsidRPr="000F6719">
        <w:rPr>
          <w:rFonts w:ascii="Times New Roman" w:eastAsia="Arial" w:hAnsi="Times New Roman" w:cs="Times New Roman"/>
          <w:vertAlign w:val="superscript"/>
        </w:rPr>
        <w:t>2</w:t>
      </w:r>
      <w:r w:rsidRPr="000F6719">
        <w:rPr>
          <w:rFonts w:ascii="Times New Roman" w:eastAsia="Arial" w:hAnsi="Times New Roman" w:cs="Times New Roman"/>
        </w:rPr>
        <w:t xml:space="preserve"> School of Interdisciplinary Science, McMaster University, Hamilton, ON L8S 4L8, Canada</w:t>
      </w:r>
    </w:p>
    <w:p w14:paraId="730D4EF0" w14:textId="77777777" w:rsidR="00841284" w:rsidRPr="000F6719" w:rsidRDefault="00D413D7" w:rsidP="00E3018C">
      <w:pPr>
        <w:spacing w:line="360" w:lineRule="auto"/>
        <w:rPr>
          <w:rFonts w:ascii="Times New Roman" w:hAnsi="Times New Roman" w:cs="Times New Roman"/>
        </w:rPr>
      </w:pPr>
      <w:r w:rsidRPr="000F6719">
        <w:rPr>
          <w:rFonts w:ascii="Times New Roman" w:eastAsia="Arial" w:hAnsi="Times New Roman" w:cs="Times New Roman"/>
          <w:vertAlign w:val="superscript"/>
        </w:rPr>
        <w:t>3</w:t>
      </w:r>
      <w:r w:rsidRPr="000F6719">
        <w:rPr>
          <w:rFonts w:ascii="Times New Roman" w:eastAsia="Arial" w:hAnsi="Times New Roman" w:cs="Times New Roman"/>
        </w:rPr>
        <w:t xml:space="preserve"> Department of Computer and Information Technology, Purdue University, West Lafayette, IN 47907, United States</w:t>
      </w:r>
    </w:p>
    <w:p w14:paraId="730D4EF1" w14:textId="0757E6F3" w:rsidR="00841284" w:rsidRPr="000F6719" w:rsidRDefault="00D413D7" w:rsidP="00E3018C">
      <w:pPr>
        <w:spacing w:line="360" w:lineRule="auto"/>
        <w:rPr>
          <w:rFonts w:ascii="Times New Roman" w:hAnsi="Times New Roman" w:cs="Times New Roman"/>
        </w:rPr>
      </w:pPr>
      <w:r w:rsidRPr="000F6719">
        <w:rPr>
          <w:rFonts w:ascii="Times New Roman" w:eastAsia="Arial" w:hAnsi="Times New Roman" w:cs="Times New Roman"/>
          <w:vertAlign w:val="superscript"/>
        </w:rPr>
        <w:t>4</w:t>
      </w:r>
      <w:r w:rsidRPr="000F6719">
        <w:rPr>
          <w:rFonts w:ascii="Times New Roman" w:eastAsia="Arial" w:hAnsi="Times New Roman" w:cs="Times New Roman"/>
        </w:rPr>
        <w:t xml:space="preserve"> Department of Anesthesiology, Tianjin Chest Hospital, Tianjin, China</w:t>
      </w:r>
    </w:p>
    <w:p w14:paraId="730D4EF2" w14:textId="77777777" w:rsidR="00841284" w:rsidRPr="000F6719" w:rsidRDefault="00D413D7" w:rsidP="00E3018C">
      <w:pPr>
        <w:spacing w:line="360" w:lineRule="auto"/>
        <w:rPr>
          <w:rFonts w:ascii="Times New Roman" w:hAnsi="Times New Roman" w:cs="Times New Roman"/>
        </w:rPr>
      </w:pPr>
      <w:r w:rsidRPr="000F6719">
        <w:rPr>
          <w:rFonts w:ascii="Times New Roman" w:eastAsia="Arial" w:hAnsi="Times New Roman" w:cs="Times New Roman"/>
          <w:vertAlign w:val="superscript"/>
        </w:rPr>
        <w:t>5</w:t>
      </w:r>
      <w:r w:rsidRPr="000F6719">
        <w:rPr>
          <w:rFonts w:ascii="Times New Roman" w:eastAsia="Arial" w:hAnsi="Times New Roman" w:cs="Times New Roman"/>
        </w:rPr>
        <w:t xml:space="preserve"> School of Information, San José State University, San José, CA 95192, United States</w:t>
      </w:r>
    </w:p>
    <w:p w14:paraId="730D4EF3" w14:textId="77777777" w:rsidR="00841284" w:rsidRPr="000F6719" w:rsidRDefault="00D413D7" w:rsidP="00E3018C">
      <w:pPr>
        <w:spacing w:line="360" w:lineRule="auto"/>
        <w:rPr>
          <w:rFonts w:ascii="Times New Roman" w:hAnsi="Times New Roman" w:cs="Times New Roman"/>
        </w:rPr>
      </w:pPr>
      <w:r w:rsidRPr="000F6719">
        <w:rPr>
          <w:rFonts w:ascii="Times New Roman" w:eastAsia="Arial" w:hAnsi="Times New Roman" w:cs="Times New Roman"/>
          <w:vertAlign w:val="superscript"/>
        </w:rPr>
        <w:t>6</w:t>
      </w:r>
      <w:r w:rsidRPr="000F6719">
        <w:rPr>
          <w:rFonts w:ascii="Times New Roman" w:eastAsia="Arial" w:hAnsi="Times New Roman" w:cs="Times New Roman"/>
        </w:rPr>
        <w:t xml:space="preserve"> Department of Information Sciences and Technology, College of Emergency Preparedness, Homeland Security and Cybersecurity, University at Albany, State University of New York, Albany, NY 12226, United States</w:t>
      </w:r>
    </w:p>
    <w:p w14:paraId="730D4EF4" w14:textId="782D4A9B" w:rsidR="00841284" w:rsidRPr="000F6719" w:rsidRDefault="00D413D7" w:rsidP="00E3018C">
      <w:pPr>
        <w:spacing w:line="360" w:lineRule="auto"/>
        <w:rPr>
          <w:rFonts w:ascii="Times New Roman" w:hAnsi="Times New Roman" w:cs="Times New Roman"/>
        </w:rPr>
      </w:pPr>
      <w:r w:rsidRPr="000F6719">
        <w:rPr>
          <w:rFonts w:ascii="Times New Roman" w:eastAsia="Arial" w:hAnsi="Times New Roman" w:cs="Times New Roman"/>
        </w:rPr>
        <w:t>* Corresponding author: Jing Su, PhD (su1@iu.edu)</w:t>
      </w:r>
    </w:p>
    <w:p w14:paraId="730D4EF5" w14:textId="21DDA583" w:rsidR="00841284" w:rsidRPr="000F6719" w:rsidRDefault="00D413D7" w:rsidP="00E3018C">
      <w:pPr>
        <w:spacing w:after="120" w:line="360" w:lineRule="auto"/>
        <w:rPr>
          <w:rFonts w:ascii="Times New Roman" w:hAnsi="Times New Roman" w:cs="Times New Roman"/>
        </w:rPr>
      </w:pPr>
      <w:r w:rsidRPr="000F6719">
        <w:rPr>
          <w:rFonts w:ascii="Times New Roman" w:eastAsia="Arial" w:hAnsi="Times New Roman" w:cs="Times New Roman"/>
          <w:b/>
          <w:bCs/>
        </w:rPr>
        <w:t>Keywords:</w:t>
      </w:r>
      <w:r w:rsidRPr="000F6719">
        <w:rPr>
          <w:rFonts w:ascii="Times New Roman" w:eastAsia="Arial" w:hAnsi="Times New Roman" w:cs="Times New Roman"/>
        </w:rPr>
        <w:t xml:space="preserve"> health disparities; social determinants of health; electronic health records; COVID-19; All of Us.</w:t>
      </w:r>
    </w:p>
    <w:p w14:paraId="730D4EF6" w14:textId="77777777" w:rsidR="00841284" w:rsidRPr="000F6719" w:rsidRDefault="00D413D7" w:rsidP="00E3018C">
      <w:pPr>
        <w:pStyle w:val="Heading1"/>
        <w:spacing w:line="360" w:lineRule="auto"/>
        <w:rPr>
          <w:rFonts w:ascii="Times New Roman" w:hAnsi="Times New Roman" w:cs="Times New Roman"/>
        </w:rPr>
      </w:pPr>
      <w:r w:rsidRPr="000F6719">
        <w:rPr>
          <w:rFonts w:ascii="Times New Roman" w:hAnsi="Times New Roman" w:cs="Times New Roman"/>
        </w:rPr>
        <w:t>ABSTRACT</w:t>
      </w:r>
    </w:p>
    <w:p w14:paraId="730D4EF7" w14:textId="3F1A67D5" w:rsidR="00841284" w:rsidRPr="000F6719" w:rsidRDefault="00D413D7" w:rsidP="00E3018C">
      <w:pPr>
        <w:spacing w:after="120" w:line="360" w:lineRule="auto"/>
        <w:rPr>
          <w:rFonts w:ascii="Times New Roman" w:hAnsi="Times New Roman" w:cs="Times New Roman"/>
        </w:rPr>
      </w:pPr>
      <w:r w:rsidRPr="000F6719">
        <w:rPr>
          <w:rFonts w:ascii="Times New Roman" w:eastAsia="Arial" w:hAnsi="Times New Roman" w:cs="Times New Roman"/>
          <w:b/>
          <w:bCs/>
        </w:rPr>
        <w:t>Objective:</w:t>
      </w:r>
      <w:r w:rsidRPr="000F6719">
        <w:rPr>
          <w:rFonts w:ascii="Times New Roman" w:eastAsia="Arial" w:hAnsi="Times New Roman" w:cs="Times New Roman"/>
        </w:rPr>
        <w:t xml:space="preserve"> To examine whether survey-derived social determinants of health (SDoH) are associated with COVID-19 hospitalization beyond demographic and clinical factors.</w:t>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r w:rsidR="00623D51" w:rsidRPr="00623D51">
        <w:rPr>
          <w:rFonts w:ascii="Times New Roman" w:eastAsia="Arial" w:hAnsi="Times New Roman" w:cs="Times New Roman"/>
        </w:rPr>
      </w:r>
      <w:r w:rsidRPr="000F6719">
        <w:rPr>
          <w:rFonts w:ascii="Times New Roman" w:eastAsia="Arial" w:hAnsi="Times New Roman" w:cs="Times New Roman"/>
        </w:rPr>
      </w:r>
    </w:p>
    <w:p w14:paraId="730D4EF8" w14:textId="6949C010" w:rsidR="00841284" w:rsidRPr="000F6719" w:rsidRDefault="00D413D7" w:rsidP="00E3018C">
      <w:pPr>
        <w:spacing w:after="120" w:line="360" w:lineRule="auto"/>
        <w:rPr>
          <w:rFonts w:ascii="Times New Roman" w:hAnsi="Times New Roman" w:cs="Times New Roman"/>
        </w:rPr>
      </w:pPr>
      <w:r w:rsidRPr="000F6719">
        <w:rPr>
          <w:rFonts w:ascii="Times New Roman" w:eastAsia="Arial" w:hAnsi="Times New Roman" w:cs="Times New Roman"/>
          <w:b/>
          <w:bCs/>
        </w:rPr>
        <w:t>Materials and Methods:</w:t>
      </w:r>
      <w:r w:rsidRPr="000F6719">
        <w:rPr>
          <w:rFonts w:ascii="Times New Roman" w:eastAsia="Arial" w:hAnsi="Times New Roman" w:cs="Times New Roman"/>
        </w:rPr>
        <w:t xml:space="preserve"> Propensity score-matched case-control study in NIH All of Us (n = 25,160 COVID-positive). The 4,064 cases hospitalized within 14 days of diagnosis were matched to controls on encounter-density proxies. Conditional logistic models estimated adjusted odds ratios (AORs) for 19 Charlson comorbidities and six SDoH domains, separately and jointly. Clinical and demographic associations were compared with MarketScan (n = 4.4M).</w:t>
      </w:r>
      <w:r w:rsidR="00FC63EA" w:rsidRPr="00FC63EA">
        <w:rPr>
          <w:rFonts w:ascii="Times New Roman" w:eastAsia="Arial" w:hAnsi="Times New Roman" w:cs="Times New Roman"/>
        </w:rPr>
      </w:r>
      <w:proofErr w:type="spellStart"/>
      <w:r w:rsidR="00FC63EA" w:rsidRPr="00FC63EA">
        <w:rPr>
          <w:rFonts w:ascii="Times New Roman" w:eastAsia="Arial" w:hAnsi="Times New Roman" w:cs="Times New Roman"/>
        </w:rPr>
      </w:r>
      <w:proofErr w:type="spellEnd"/>
      <w:r w:rsidR="00FC63EA" w:rsidRPr="00FC63EA">
        <w:rPr>
          <w:rFonts w:ascii="Times New Roman" w:eastAsia="Arial" w:hAnsi="Times New Roman" w:cs="Times New Roman"/>
        </w:rPr>
      </w:r>
      <w:r w:rsidRPr="000F6719">
        <w:rPr>
          <w:rFonts w:ascii="Times New Roman" w:eastAsia="Arial" w:hAnsi="Times New Roman" w:cs="Times New Roman"/>
        </w:rPr>
      </w:r>
      <w:r w:rsidR="00344958" w:rsidRPr="000F6719">
        <w:rPr>
          <w:rFonts w:ascii="Times New Roman" w:eastAsia="Arial" w:hAnsi="Times New Roman" w:cs="Times New Roman"/>
        </w:rPr>
      </w:r>
      <w:r w:rsidRPr="000F6719">
        <w:rPr>
          <w:rFonts w:ascii="Times New Roman" w:eastAsia="Arial" w:hAnsi="Times New Roman" w:cs="Times New Roman"/>
        </w:rPr>
      </w:r>
    </w:p>
    <w:p w14:paraId="730D4EF9" w14:textId="044757CB" w:rsidR="00841284" w:rsidRPr="000F6719" w:rsidRDefault="00D413D7" w:rsidP="00E3018C">
      <w:pPr>
        <w:spacing w:after="120" w:line="360" w:lineRule="auto"/>
        <w:rPr>
          <w:rFonts w:ascii="Times New Roman" w:hAnsi="Times New Roman" w:cs="Times New Roman"/>
        </w:rPr>
      </w:pPr>
      <w:r w:rsidRPr="000F6719">
        <w:rPr>
          <w:rFonts w:ascii="Times New Roman" w:eastAsia="Arial" w:hAnsi="Times New Roman" w:cs="Times New Roman"/>
          <w:b/>
          <w:bCs/>
        </w:rPr>
        <w:t>Results:</w:t>
      </w:r>
      <w:r w:rsidRPr="000F6719">
        <w:rPr>
          <w:rFonts w:ascii="Times New Roman" w:eastAsia="Arial" w:hAnsi="Times New Roman" w:cs="Times New Roman"/>
        </w:rPr>
        <w:t xml:space="preserve"> Medicaid (AOR 1.59; 1.33 jointly), income &lt;$10,000 (1.46; 1.18), unemployment (1.41; 1.23), and renting (1.28; 1.13) persisted in both models. Two upper-middle income strata were also elevated jointly ($100,000-149,999, 1.24; $150,000-199,999, 1.26), so the income pattern was not monotonic. Six-domain adjustment moved the Black-race AOR from 2.30 to 2.00 (1.81-2.20); across waves it was 3.00, 2.98, and 1.65, with SDoH attenuation of 11.5%, 29.1%, and 30.1%, not compared formally. The income association persisted through Omicron (1.64). Twenty of 25 comparable estimates were directionally similar in MarketScan.</w:t>
      </w:r>
      <w:r w:rsidR="00A454A2" w:rsidRPr="000F6719">
        <w:rPr>
          <w:rFonts w:ascii="Times New Roman" w:eastAsia="Arial" w:hAnsi="Times New Roman" w:cs="Times New Roman"/>
        </w:rPr>
      </w:r>
      <w:proofErr w:type="spellStart"/>
      <w:r w:rsidR="00A454A2" w:rsidRPr="000F6719">
        <w:rPr>
          <w:rFonts w:ascii="Times New Roman" w:eastAsia="Arial" w:hAnsi="Times New Roman" w:cs="Times New Roman"/>
        </w:rPr>
      </w:r>
      <w:proofErr w:type="spellEnd"/>
      <w:r w:rsidR="00A454A2" w:rsidRPr="000F6719">
        <w:rPr>
          <w:rFonts w:ascii="Times New Roman" w:eastAsia="Arial" w:hAnsi="Times New Roman" w:cs="Times New Roman"/>
        </w:rPr>
      </w:r>
      <w:r w:rsidRPr="000F6719">
        <w:rPr>
          <w:rFonts w:ascii="Times New Roman" w:eastAsia="Arial" w:hAnsi="Times New Roman" w:cs="Times New Roman"/>
        </w:rPr>
      </w:r>
    </w:p>
    <w:p w14:paraId="730D4EFA" w14:textId="77777777" w:rsidR="00841284" w:rsidRPr="000F6719" w:rsidRDefault="00D413D7" w:rsidP="00E3018C">
      <w:pPr>
        <w:spacing w:after="120" w:line="360" w:lineRule="auto"/>
        <w:rPr>
          <w:rFonts w:ascii="Times New Roman" w:hAnsi="Times New Roman" w:cs="Times New Roman"/>
        </w:rPr>
      </w:pPr>
      <w:r w:rsidRPr="000F6719">
        <w:rPr>
          <w:rFonts w:ascii="Times New Roman" w:eastAsia="Arial" w:hAnsi="Times New Roman" w:cs="Times New Roman"/>
          <w:b/>
          <w:bCs/>
        </w:rPr>
        <w:t>Discussion:</w:t>
      </w:r>
      <w:r w:rsidRPr="000F6719">
        <w:rPr>
          <w:rFonts w:ascii="Times New Roman" w:eastAsia="Arial" w:hAnsi="Times New Roman" w:cs="Times New Roman"/>
        </w:rPr>
        <w:t xml:space="preserve"> Four social domains remained associated after demographic and clinical adjustment, identifying social risk dimensions health systems could screen for during respiratory surges. Survey linkage enabled measurement unavailable from structured EHR fields (0-2% capture) or area-level indices.</w:t>
      </w:r>
    </w:p>
    <w:p w14:paraId="730D4EFB" w14:textId="77777777" w:rsidR="00841284" w:rsidRPr="000F6719" w:rsidRDefault="00D413D7" w:rsidP="00E3018C">
      <w:pPr>
        <w:spacing w:after="120" w:line="360" w:lineRule="auto"/>
        <w:rPr>
          <w:rFonts w:ascii="Times New Roman" w:hAnsi="Times New Roman" w:cs="Times New Roman"/>
        </w:rPr>
      </w:pPr>
      <w:r w:rsidRPr="000F6719">
        <w:rPr>
          <w:rFonts w:ascii="Times New Roman" w:eastAsia="Arial" w:hAnsi="Times New Roman" w:cs="Times New Roman"/>
          <w:b/>
          <w:bCs/>
        </w:rPr>
        <w:t>Conclusion:</w:t>
      </w:r>
      <w:r w:rsidRPr="000F6719">
        <w:rPr>
          <w:rFonts w:ascii="Times New Roman" w:eastAsia="Arial" w:hAnsi="Times New Roman" w:cs="Times New Roman"/>
        </w:rPr>
        <w:t xml:space="preserve"> Insurance, income, employment, and housing were independently associated with COVID-19 hospitalization after clinical adjustment, although the income association was not monotonic across strata. Survey-linked EHR cohorts provide the measurement needed to identify social risk factors for respiratory-surge preparedness.</w:t>
      </w:r>
    </w:p>
    <w:p w14:paraId="730D4EFC" w14:textId="77777777" w:rsidR="00841284" w:rsidRPr="000F6719" w:rsidRDefault="00841284" w:rsidP="00E3018C">
      <w:pPr>
        <w:spacing w:line="360" w:lineRule="auto"/>
        <w:rPr>
          <w:rFonts w:ascii="Times New Roman" w:hAnsi="Times New Roman" w:cs="Times New Roman"/>
        </w:rPr>
      </w:pPr>
    </w:p>
    <w:p w14:paraId="730D4EFD" w14:textId="77777777" w:rsidR="00841284" w:rsidRPr="000F6719" w:rsidRDefault="00D413D7" w:rsidP="00E3018C">
      <w:pPr>
        <w:pStyle w:val="Heading1"/>
        <w:spacing w:line="360" w:lineRule="auto"/>
        <w:rPr>
          <w:rFonts w:ascii="Times New Roman" w:hAnsi="Times New Roman" w:cs="Times New Roman"/>
        </w:rPr>
      </w:pPr>
      <w:r w:rsidRPr="000F6719">
        <w:rPr>
          <w:rFonts w:ascii="Times New Roman" w:hAnsi="Times New Roman" w:cs="Times New Roman"/>
        </w:rPr>
        <w:t>INTRODUCTION</w:t>
      </w:r>
    </w:p>
    <w:p w14:paraId="6F28C611" w14:textId="093FBB00" w:rsidR="00C77A53" w:rsidRPr="000F6719" w:rsidRDefault="000F1AAC" w:rsidP="00505CBE">
      <w:pPr>
        <w:spacing w:after="120" w:line="360" w:lineRule="auto"/>
        <w:rPr>
          <w:rFonts w:ascii="Times New Roman" w:eastAsia="Arial" w:hAnsi="Times New Roman" w:cs="Times New Roman"/>
        </w:rPr>
      </w:pPr>
      <w:r w:rsidRPr="000F6719">
        <w:rPr>
          <w:rFonts w:ascii="Times New Roman" w:eastAsia="Arial" w:hAnsi="Times New Roman" w:cs="Times New Roman"/>
        </w:rPr>
        <w:t>Respiratory viral pandemics will continue to emerge, and each will reproduce the health disparities observed during COVID-19 unless preparedness planning incorporates social risk factors alongside clinical ones.[1-3] COVID-19 provided a natural experiment: hospitalization fell disproportionately on Black, Hispanic, and lower-income populations throughout the pandemic,[4, 5] and meta-analytic evidence places the pooled standardised hospitalisation ratio for Black populations near 1.9 (1.87, 95% CI 1.69-2.04) against 0.74 for White populations.[6] What remains contested is how much of that excess reflects specific, measurable individual social conditions, and how much reflects structural factors that individual-level data cannot capture.</w:t>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noProof/>
        </w:rPr>
      </w:r>
      <w:r w:rsidR="00AC2EEF" w:rsidRPr="000F6719">
        <w:rPr>
          <w:rFonts w:ascii="Times New Roman" w:eastAsia="Arial" w:hAnsi="Times New Roman" w:cs="Times New Roman"/>
        </w:rPr>
      </w:r>
      <w:r w:rsidRPr="000F6719">
        <w:rPr>
          <w:rFonts w:ascii="Times New Roman" w:eastAsia="Arial" w:hAnsi="Times New Roman" w:cs="Times New Roman"/>
        </w:rPr>
      </w:r>
      <w:r w:rsidR="00D413D7" w:rsidRPr="000F6719">
        <w:rPr>
          <w:rFonts w:ascii="Times New Roman" w:eastAsia="Arial" w:hAnsi="Times New Roman" w:cs="Times New Roman"/>
        </w:rPr>
      </w:r>
      <w:r w:rsidR="00C77A53" w:rsidRPr="000F6719">
        <w:rPr>
          <w:rFonts w:ascii="Times New Roman" w:eastAsia="Arial" w:hAnsi="Times New Roman" w:cs="Times New Roman"/>
        </w:rPr>
      </w:r>
      <w:r w:rsidR="00D413D7"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D413D7" w:rsidRPr="000F6719">
        <w:rPr>
          <w:rFonts w:ascii="Times New Roman" w:eastAsia="Arial" w:hAnsi="Times New Roman" w:cs="Times New Roman"/>
        </w:rPr>
      </w:r>
      <w:r w:rsidR="00D413D7" w:rsidRPr="000F6719">
        <w:rPr>
          <w:rFonts w:ascii="Times New Roman" w:eastAsia="Arial" w:hAnsi="Times New Roman" w:cs="Times New Roman"/>
        </w:rPr>
      </w:r>
      <w:r w:rsidR="00AC2EEF" w:rsidRPr="000F6719">
        <w:rPr>
          <w:rFonts w:ascii="Times New Roman" w:eastAsia="Arial" w:hAnsi="Times New Roman" w:cs="Times New Roman"/>
          <w:noProof/>
        </w:rPr>
      </w:r>
      <w:r w:rsidR="00D413D7" w:rsidRPr="000F6719">
        <w:rPr>
          <w:rFonts w:ascii="Times New Roman" w:eastAsia="Arial" w:hAnsi="Times New Roman" w:cs="Times New Roman"/>
        </w:rPr>
      </w:r>
      <w:r w:rsidR="00D413D7" w:rsidRPr="000F6719">
        <w:rPr>
          <w:rFonts w:ascii="Times New Roman" w:eastAsia="Arial" w:hAnsi="Times New Roman" w:cs="Times New Roman"/>
        </w:rPr>
      </w:r>
      <w:r w:rsidR="00BE10EC"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noProof/>
        </w:rPr>
      </w:r>
      <w:r w:rsidR="000E4F3D" w:rsidRPr="000F6719">
        <w:rPr>
          <w:rFonts w:ascii="Times New Roman" w:eastAsia="Arial" w:hAnsi="Times New Roman" w:cs="Times New Roman"/>
        </w:rPr>
      </w:r>
      <w:r w:rsidR="00BE10EC" w:rsidRPr="000F6719">
        <w:rPr>
          <w:rFonts w:ascii="Times New Roman" w:eastAsia="Arial" w:hAnsi="Times New Roman" w:cs="Times New Roman"/>
        </w:rPr>
      </w:r>
      <w:r w:rsidR="00F8203C" w:rsidRPr="000F6719">
        <w:rPr>
          <w:rFonts w:ascii="Times New Roman" w:eastAsia="Arial" w:hAnsi="Times New Roman" w:cs="Times New Roman"/>
        </w:rPr>
      </w:r>
      <w:r w:rsidR="00BE10EC" w:rsidRPr="000F6719">
        <w:rPr>
          <w:rFonts w:ascii="Times New Roman" w:eastAsia="Arial" w:hAnsi="Times New Roman" w:cs="Times New Roman"/>
        </w:rPr>
      </w:r>
    </w:p>
    <w:p w14:paraId="730D4EFD" w14:textId="77777777" w:rsidR="00841284" w:rsidRPr="000F6719" w:rsidRDefault="00D413D7" w:rsidP="00E3018C">
      <w:pPr>
        <w:pStyle w:val="Heading1"/>
        <w:spacing w:line="360" w:lineRule="auto"/>
        <w:rPr>
          <w:rFonts w:ascii="Times New Roman" w:hAnsi="Times New Roman" w:cs="Times New Roman"/>
        </w:rPr>
      </w:pPr>
      <w:r w:rsidRPr="000F6719">
        <w:rPr>
          <w:rFonts w:ascii="Times New Roman" w:hAnsi="Times New Roman" w:cs="Times New Roman"/>
        </w:rPr>
        <w:t>BACKGROUND AND SIGNIFICANCE</w:t>
      </w:r>
    </w:p>
    <w:p w14:paraId="730D4EFE" w14:textId="140C35A1" w:rsidR="00841284" w:rsidRPr="000F6719" w:rsidRDefault="00D413D7" w:rsidP="00505CBE">
      <w:pPr>
        <w:spacing w:after="120" w:line="360" w:lineRule="auto"/>
        <w:rPr>
          <w:rFonts w:ascii="Times New Roman" w:eastAsia="Arial" w:hAnsi="Times New Roman" w:cs="Times New Roman"/>
        </w:rPr>
      </w:pPr>
      <w:r w:rsidRPr="000F6719">
        <w:rPr>
          <w:rFonts w:ascii="Times New Roman" w:eastAsia="Arial" w:hAnsi="Times New Roman" w:cs="Times New Roman"/>
        </w:rPr>
        <w:t>The exposure most often used to answer that question is an area-level deprivation index, and it is a poor proxy for the circumstances of an individual patient. County-level analyses have linked composite indices to higher incidence and mortality,[7] and the Social Deprivation Index predicted COVID-19 case rates but did not improve prediction of in-hospital outcome once demographics, comorbidities, and vitals were included.[8] In a national Medicare sample, area deprivation indices had low sensitivity for identifying patients with self-reported needs,[9] and in over 1.3 million community health center patients, none of the tested indices predicted individual social risk better than chance.[10]</w:t>
      </w:r>
      <w:r w:rsidR="005263EB"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Pr="000F6719">
        <w:rPr>
          <w:rFonts w:ascii="Times New Roman" w:eastAsia="Arial" w:hAnsi="Times New Roman" w:cs="Times New Roman"/>
        </w:rPr>
      </w:r>
      <w:r w:rsidR="000E4F3D" w:rsidRPr="000F6719">
        <w:rPr>
          <w:rFonts w:ascii="Times New Roman" w:eastAsia="Arial" w:hAnsi="Times New Roman" w:cs="Times New Roman"/>
          <w:noProof/>
        </w:rPr>
      </w:r>
      <w:r w:rsidRPr="000F6719">
        <w:rPr>
          <w:rFonts w:ascii="Times New Roman" w:eastAsia="Arial" w:hAnsi="Times New Roman" w:cs="Times New Roman"/>
        </w:rPr>
      </w:r>
      <w:r w:rsidRPr="000F6719">
        <w:rPr>
          <w:rFonts w:ascii="Times New Roman" w:eastAsia="Arial" w:hAnsi="Times New Roman" w:cs="Times New Roman"/>
        </w:rPr>
      </w:r>
      <w:r w:rsidR="00906E17"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Pr="000F6719">
        <w:rPr>
          <w:rFonts w:ascii="Times New Roman" w:eastAsia="Arial" w:hAnsi="Times New Roman" w:cs="Times New Roman"/>
        </w:rPr>
      </w:r>
      <w:r w:rsidR="000E4F3D" w:rsidRPr="000F6719">
        <w:rPr>
          <w:rFonts w:ascii="Times New Roman" w:eastAsia="Arial" w:hAnsi="Times New Roman" w:cs="Times New Roman"/>
          <w:noProof/>
        </w:rPr>
      </w:r>
      <w:r w:rsidRPr="000F6719">
        <w:rPr>
          <w:rFonts w:ascii="Times New Roman" w:eastAsia="Arial" w:hAnsi="Times New Roman" w:cs="Times New Roman"/>
        </w:rPr>
      </w:r>
      <w:r w:rsidRPr="000F6719">
        <w:rPr>
          <w:rFonts w:ascii="Times New Roman" w:eastAsia="Arial" w:hAnsi="Times New Roman" w:cs="Times New Roman"/>
        </w:rPr>
      </w:r>
      <w:r w:rsidR="002D36C7" w:rsidRPr="000F6719">
        <w:rPr>
          <w:rFonts w:ascii="Times New Roman" w:eastAsia="Arial" w:hAnsi="Times New Roman" w:cs="Times New Roman"/>
        </w:rPr>
      </w:r>
      <w:r w:rsidR="006B588A"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6B588A" w:rsidRPr="000F6719">
        <w:rPr>
          <w:rFonts w:ascii="Times New Roman" w:eastAsia="Arial" w:hAnsi="Times New Roman" w:cs="Times New Roman"/>
        </w:rPr>
      </w:r>
      <w:r w:rsidR="000E4F3D" w:rsidRPr="000F6719">
        <w:rPr>
          <w:rFonts w:ascii="Times New Roman" w:eastAsia="Arial" w:hAnsi="Times New Roman" w:cs="Times New Roman"/>
          <w:noProof/>
        </w:rPr>
      </w:r>
      <w:r w:rsidR="006B588A" w:rsidRPr="000F6719">
        <w:rPr>
          <w:rFonts w:ascii="Times New Roman" w:eastAsia="Arial" w:hAnsi="Times New Roman" w:cs="Times New Roman"/>
        </w:rPr>
      </w:r>
      <w:r w:rsidR="002D36C7" w:rsidRPr="000F6719">
        <w:rPr>
          <w:rFonts w:ascii="Times New Roman" w:eastAsia="Arial" w:hAnsi="Times New Roman" w:cs="Times New Roman"/>
        </w:rPr>
      </w:r>
      <w:r w:rsidR="006B588A" w:rsidRPr="000F6719">
        <w:rPr>
          <w:rFonts w:ascii="Times New Roman" w:eastAsia="Arial" w:hAnsi="Times New Roman" w:cs="Times New Roman"/>
        </w:rPr>
      </w:r>
      <w:r w:rsidR="000E4F3D" w:rsidRPr="000F6719">
        <w:rPr>
          <w:rFonts w:ascii="Times New Roman" w:eastAsia="Arial" w:hAnsi="Times New Roman" w:cs="Times New Roman"/>
        </w:rPr>
      </w:r>
      <w:r w:rsidR="006B588A" w:rsidRPr="000F6719">
        <w:rPr>
          <w:rFonts w:ascii="Times New Roman" w:eastAsia="Arial" w:hAnsi="Times New Roman" w:cs="Times New Roman"/>
        </w:rPr>
      </w:r>
      <w:r w:rsidR="000E4F3D" w:rsidRPr="000F6719">
        <w:rPr>
          <w:rFonts w:ascii="Times New Roman" w:eastAsia="Arial" w:hAnsi="Times New Roman" w:cs="Times New Roman"/>
          <w:noProof/>
        </w:rPr>
      </w:r>
      <w:r w:rsidR="006B588A" w:rsidRPr="000F6719">
        <w:rPr>
          <w:rFonts w:ascii="Times New Roman" w:eastAsia="Arial" w:hAnsi="Times New Roman" w:cs="Times New Roman"/>
        </w:rPr>
      </w:r>
      <w:r w:rsidR="004D253F"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Microsoft YaHei" w:hAnsi="Times New Roman" w:cs="Times New Roman"/>
        </w:rPr>
      </w:r>
      <w:r w:rsidRPr="000F6719">
        <w:rPr>
          <w:rFonts w:ascii="Times New Roman" w:eastAsia="Arial" w:hAnsi="Times New Roman" w:cs="Times New Roman"/>
        </w:rPr>
      </w:r>
    </w:p>
    <w:p w14:paraId="730D4EFF" w14:textId="1C840966" w:rsidR="00841284" w:rsidRPr="000F6719" w:rsidRDefault="00D413D7" w:rsidP="00E3018C">
      <w:pPr>
        <w:spacing w:after="120" w:line="360" w:lineRule="auto"/>
        <w:rPr>
          <w:rFonts w:ascii="Times New Roman" w:hAnsi="Times New Roman" w:cs="Times New Roman"/>
        </w:rPr>
      </w:pPr>
      <w:r w:rsidRPr="000F6719">
        <w:rPr>
          <w:rFonts w:ascii="Times New Roman" w:eastAsia="Arial" w:hAnsi="Times New Roman" w:cs="Times New Roman"/>
        </w:rPr>
        <w:t>The individual-level alternative, social risk coded in the electronic health record (EHR), is documented in fewer than 2% of encounters.[14-16] Two recent analyses worked around this. In All of Us, Choi et al. found an income gradient and no association with education, entering income, education, and an area-level index simultaneously in a single multivariable model.[11] Within the National COVID Cohort Collaborative (N3C), which has supported detailed characterization of clinical risk for COVID-19 severity,[12, 13] Vaidya et al. evaluated individual-level social determinants of health (SDoH) across three Healthy People 2030 domains and found all three associated with hospitalization, but drew exposures from those same sparsely coded EHR fields.[16] Neither study modelled multiple survey-derived domains jointly to assess mutual confounding, and neither matched on encounter density to address informative presence bias, the tendency for sicker and more socially complex patients to generate more EHR data and so to confound associations derived from those records.[17]</w:t>
      </w:r>
      <w:r w:rsidR="000802B9" w:rsidRPr="000F6719">
        <w:rPr>
          <w:rFonts w:ascii="Times New Roman" w:eastAsia="Arial" w:hAnsi="Times New Roman" w:cs="Times New Roman"/>
        </w:rPr>
      </w:r>
      <w:r w:rsidR="00584712" w:rsidRPr="000F6719">
        <w:rPr>
          <w:rFonts w:ascii="Times New Roman" w:eastAsia="Arial" w:hAnsi="Times New Roman" w:cs="Times New Roman"/>
        </w:rPr>
      </w:r>
      <w:r w:rsidRPr="000F6719">
        <w:rPr>
          <w:rFonts w:ascii="Times New Roman" w:eastAsia="Arial" w:hAnsi="Times New Roman" w:cs="Times New Roman"/>
        </w:rPr>
      </w:r>
      <w:r w:rsidR="00DD7628"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Pr="000F6719">
        <w:rPr>
          <w:rFonts w:ascii="Times New Roman" w:eastAsia="Arial" w:hAnsi="Times New Roman" w:cs="Times New Roman"/>
        </w:rPr>
      </w:r>
      <w:r w:rsidR="000E4F3D" w:rsidRPr="000F6719">
        <w:rPr>
          <w:rFonts w:ascii="Times New Roman" w:eastAsia="Arial" w:hAnsi="Times New Roman" w:cs="Times New Roman"/>
          <w:noProof/>
        </w:rPr>
      </w:r>
      <w:r w:rsidRPr="000F6719">
        <w:rPr>
          <w:rFonts w:ascii="Times New Roman" w:eastAsia="Arial" w:hAnsi="Times New Roman" w:cs="Times New Roman"/>
        </w:rPr>
      </w:r>
      <w:r w:rsidR="0066634E"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noProof/>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proofErr w:type="spellStart"/>
      <w:r w:rsidR="009A7915" w:rsidRPr="000F6719">
        <w:rPr>
          <w:rFonts w:ascii="Times New Roman" w:eastAsia="Arial" w:hAnsi="Times New Roman" w:cs="Times New Roman"/>
        </w:rPr>
      </w:r>
      <w:proofErr w:type="spellEnd"/>
      <w:r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noProof/>
        </w:rPr>
      </w:r>
      <w:r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noProof/>
        </w:rPr>
      </w:r>
      <w:r w:rsidRPr="000F6719">
        <w:rPr>
          <w:rFonts w:ascii="Times New Roman" w:eastAsia="Arial" w:hAnsi="Times New Roman" w:cs="Times New Roman"/>
        </w:rPr>
      </w:r>
    </w:p>
    <w:p w14:paraId="730D4F00" w14:textId="4EAB6999" w:rsidR="00841284" w:rsidRPr="000F6719" w:rsidRDefault="00D413D7" w:rsidP="00E3018C">
      <w:pPr>
        <w:spacing w:after="120" w:line="360" w:lineRule="auto"/>
        <w:rPr>
          <w:rFonts w:ascii="Times New Roman" w:hAnsi="Times New Roman" w:cs="Times New Roman"/>
        </w:rPr>
      </w:pPr>
      <w:r w:rsidRPr="000F6719">
        <w:rPr>
          <w:rFonts w:ascii="Times New Roman" w:eastAsia="Arial" w:hAnsi="Times New Roman" w:cs="Times New Roman"/>
        </w:rPr>
        <w:t>Two or three individual-level variables plus an area-level index cannot show which of the wider set of social domains carry independent signal, nor which share it. Here we evaluate six survey-derived social domains (insurance, income, education, employment, housing tenure and stability, and disability) in 25,160 COVID-positive All of Us participants, using a matched case-control design that balances encounter-density proxies rather than clinical severity.[18] We ask which domains remain associated with COVID-19 hospitalization after mutual adjustment and control for 19 Charlson comorbidities, vaccination, and pandemic wave; how much measured SDoH attenuate the Black-race hospitalization association; and how the social and racial associations differ from pre-Delta through Omicron, as vaccines became available. We compare clinical and demographic associations with MarketScan Commercial Claims (n = 4.4 million) as a cross-cohort check.</w:t>
      </w:r>
      <w:r w:rsidR="00922757" w:rsidRPr="000F6719">
        <w:rPr>
          <w:rFonts w:ascii="Times New Roman" w:eastAsia="Arial" w:hAnsi="Times New Roman" w:cs="Times New Roman"/>
        </w:rPr>
      </w:r>
      <w:r w:rsidRPr="000F6719">
        <w:rPr>
          <w:rFonts w:ascii="Times New Roman" w:eastAsia="Arial" w:hAnsi="Times New Roman" w:cs="Times New Roman"/>
        </w:rPr>
      </w:r>
      <w:r w:rsidR="00E50C69" w:rsidRPr="000F6719">
        <w:rPr>
          <w:rFonts w:ascii="Times New Roman" w:eastAsia="Arial" w:hAnsi="Times New Roman" w:cs="Times New Roman"/>
        </w:rPr>
      </w:r>
      <w:r w:rsidRPr="000F6719">
        <w:rPr>
          <w:rFonts w:ascii="Times New Roman" w:eastAsia="Arial" w:hAnsi="Times New Roman" w:cs="Times New Roman"/>
        </w:rPr>
      </w:r>
      <w:r w:rsidR="001B33B2" w:rsidRPr="000F6719">
        <w:rPr>
          <w:rFonts w:ascii="Times New Roman" w:eastAsia="Arial" w:hAnsi="Times New Roman" w:cs="Times New Roman"/>
        </w:rPr>
      </w:r>
      <w:r w:rsidR="001B33B2"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noProof/>
        </w:rPr>
      </w:r>
      <w:r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r w:rsidR="00757107" w:rsidRPr="000F6719">
        <w:rPr>
          <w:rFonts w:ascii="Times New Roman" w:eastAsia="Arial" w:hAnsi="Times New Roman" w:cs="Times New Roman"/>
        </w:rPr>
      </w:r>
    </w:p>
    <w:p w14:paraId="730D4F01" w14:textId="77777777" w:rsidR="00841284" w:rsidRPr="000F6719" w:rsidRDefault="00841284" w:rsidP="00E3018C">
      <w:pPr>
        <w:spacing w:line="360" w:lineRule="auto"/>
        <w:rPr>
          <w:rFonts w:ascii="Times New Roman" w:hAnsi="Times New Roman" w:cs="Times New Roman"/>
        </w:rPr>
      </w:pPr>
    </w:p>
    <w:p w14:paraId="730D4F02" w14:textId="77777777" w:rsidR="00841284" w:rsidRPr="000F6719" w:rsidRDefault="00D413D7" w:rsidP="00E3018C">
      <w:pPr>
        <w:pStyle w:val="Heading1"/>
        <w:spacing w:line="360" w:lineRule="auto"/>
        <w:rPr>
          <w:rFonts w:ascii="Times New Roman" w:hAnsi="Times New Roman" w:cs="Times New Roman"/>
        </w:rPr>
      </w:pPr>
      <w:r w:rsidRPr="000F6719">
        <w:rPr>
          <w:rFonts w:ascii="Times New Roman" w:hAnsi="Times New Roman" w:cs="Times New Roman"/>
        </w:rPr>
        <w:t>METHODS</w:t>
      </w:r>
    </w:p>
    <w:p w14:paraId="730D4F03" w14:textId="0F804C7B" w:rsidR="00841284" w:rsidRPr="000F6719" w:rsidRDefault="00D413D7" w:rsidP="00E3018C">
      <w:pPr>
        <w:spacing w:after="120" w:line="360" w:lineRule="auto"/>
        <w:rPr>
          <w:rFonts w:ascii="Times New Roman" w:eastAsia="Arial" w:hAnsi="Times New Roman" w:cs="Times New Roman"/>
        </w:rPr>
      </w:pPr>
      <w:r w:rsidRPr="000F6719">
        <w:rPr>
          <w:rFonts w:ascii="Times New Roman" w:eastAsia="Arial" w:hAnsi="Times New Roman" w:cs="Times New Roman"/>
        </w:rPr>
        <w:t>We conducted a propensity score–matched case-control study using All of Us Research Program data.</w:t>
      </w:r>
      <w:r w:rsidRPr="000F6719">
        <w:rPr>
          <w:rFonts w:ascii="Times New Roman" w:eastAsia="Arial" w:hAnsi="Times New Roman" w:cs="Times New Roman"/>
        </w:rPr>
        <w:fldChar w:fldCharType="begin">
          <w:fldData xml:space="preserve">PEVuZE5vdGU+PENpdGU+PEF1dGhvcj5EZW5ueTwvQXV0aG9yPjxZZWFyPjIwMTk8L1llYXI+PFJl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</w:fldData>
        </w:fldChar>
      </w:r>
      <w:r w:rsidR="009A7915" w:rsidRPr="000F6719">
        <w:rPr>
          <w:rFonts w:ascii="Times New Roman" w:eastAsia="Arial" w:hAnsi="Times New Roman" w:cs="Times New Roman"/>
        </w:rPr>
        <w:instrText xml:space="preserve"> ADDIN EN.CITE </w:instrText>
      </w:r>
      <w:r w:rsidR="009A7915" w:rsidRPr="000F6719">
        <w:rPr>
          <w:rFonts w:ascii="Times New Roman" w:eastAsia="Arial" w:hAnsi="Times New Roman" w:cs="Times New Roman"/>
        </w:rPr>
        <w:fldChar w:fldCharType="begin">
          <w:fldData xml:space="preserve">PEVuZE5vdGU+PENpdGU+PEF1dGhvcj5EZW5ueTwvQXV0aG9yPjxZZWFyPjIwMTk8L1llYXI+PFJl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</w:fldData>
        </w:fldChar>
      </w:r>
      <w:r w:rsidR="009A7915" w:rsidRPr="000F6719">
        <w:rPr>
          <w:rFonts w:ascii="Times New Roman" w:eastAsia="Arial" w:hAnsi="Times New Roman" w:cs="Times New Roman"/>
        </w:rPr>
        <w:instrText xml:space="preserve"> ADDIN EN.CITE.DATA </w:instrText>
      </w:r>
      <w:r w:rsidR="009A7915" w:rsidRPr="000F6719">
        <w:rPr>
          <w:rFonts w:ascii="Times New Roman" w:eastAsia="Arial" w:hAnsi="Times New Roman" w:cs="Times New Roman"/>
        </w:rPr>
      </w:r>
      <w:r w:rsidR="009A7915" w:rsidRPr="000F6719">
        <w:rPr>
          <w:rFonts w:ascii="Times New Roman" w:eastAsia="Arial" w:hAnsi="Times New Roman" w:cs="Times New Roman"/>
        </w:rPr>
        <w:fldChar w:fldCharType="end"/>
      </w:r>
      <w:r w:rsidRPr="000F6719">
        <w:rPr>
          <w:rFonts w:ascii="Times New Roman" w:eastAsia="Arial" w:hAnsi="Times New Roman" w:cs="Times New Roman"/>
        </w:rPr>
        <w:fldChar w:fldCharType="separate"/>
      </w:r>
      <w:r w:rsidR="009A7915" w:rsidRPr="000F6719">
        <w:rPr>
          <w:rFonts w:ascii="Times New Roman" w:eastAsia="Arial" w:hAnsi="Times New Roman" w:cs="Times New Roman"/>
          <w:noProof/>
        </w:rPr>
        <w:t>[19-21]</w:t>
      </w:r>
      <w:r w:rsidRPr="000F6719">
        <w:rPr>
          <w:rFonts w:ascii="Times New Roman" w:eastAsia="Arial" w:hAnsi="Times New Roman" w:cs="Times New Roman"/>
        </w:rPr>
        <w:fldChar w:fldCharType="end"/>
      </w:r>
      <w:r w:rsidRPr="000F6719">
        <w:rPr>
          <w:rFonts w:ascii="Times New Roman" w:eastAsia="Arial" w:hAnsi="Times New Roman" w:cs="Times New Roman"/>
        </w:rPr>
        <w:t xml:space="preserve"> Conditional logistic regression estimates associations between </w:t>
      </w:r>
      <w:proofErr w:type="spellStart"/>
      <w:r w:rsidRPr="000F6719">
        <w:rPr>
          <w:rFonts w:ascii="Times New Roman" w:eastAsia="Arial" w:hAnsi="Times New Roman" w:cs="Times New Roman"/>
        </w:rPr>
        <w:t>SDoH</w:t>
      </w:r>
      <w:proofErr w:type="spellEnd"/>
      <w:r w:rsidRPr="000F6719">
        <w:rPr>
          <w:rFonts w:ascii="Times New Roman" w:eastAsia="Arial" w:hAnsi="Times New Roman" w:cs="Times New Roman"/>
        </w:rPr>
        <w:t xml:space="preserve"> and COVID-19 hospitalization within strata balanced on encounter-density proxies. The design targets within-stratum associations rather than total causal effects of social position. Figure 1 shows the study flowchart.</w:t>
      </w:r>
    </w:p>
    <w:p w14:paraId="3D53BFD2" w14:textId="04C85C4A" w:rsidR="005F1FB3" w:rsidRPr="000F6719" w:rsidRDefault="00776223" w:rsidP="00E3018C">
      <w:pPr>
        <w:spacing w:after="120" w:line="360" w:lineRule="auto"/>
        <w:rPr>
          <w:rFonts w:ascii="Times New Roman" w:hAnsi="Times New Roman" w:cs="Times New Roman"/>
        </w:rPr>
      </w:pPr>
      <w:r w:rsidRPr="000F6719">
        <w:rPr>
          <w:rFonts w:ascii="Times New Roman" w:hAnsi="Times New Roman" w:cs="Times New Roman"/>
          <w:noProof/>
        </w:rPr>
        <w:drawing>
          <wp:inline distT="0" distB="0" distL="0" distR="0" wp14:anchorId="15892893" wp14:editId="5656C164">
            <wp:extent cx="5943600" cy="2377440"/>
            <wp:effectExtent l="0" t="0" r="0" b="635"/>
            <wp:docPr id="20559604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960472" name="Picture 205596047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2377440"/>
                    </a:xfrm>
                    <a:prstGeom prst="rect">
                      <a:avLst/>
                    </a:prstGeom>
                  </pic:spPr>
                </pic:pic>
              </a:graphicData>
            </a:graphic>
          </wp:inline>
        </w:drawing>
      </w:r>
    </w:p>
    <w:p w14:paraId="730D4F05" w14:textId="77777777" w:rsidR="00841284" w:rsidRPr="000F6719" w:rsidRDefault="00D413D7" w:rsidP="00E3018C">
      <w:pPr>
        <w:pStyle w:val="Heading2"/>
        <w:spacing w:line="360" w:lineRule="auto"/>
        <w:rPr>
          <w:rFonts w:ascii="Times New Roman" w:hAnsi="Times New Roman" w:cs="Times New Roman"/>
        </w:rPr>
      </w:pPr>
      <w:r w:rsidRPr="000F6719">
        <w:rPr>
          <w:rFonts w:ascii="Times New Roman" w:hAnsi="Times New Roman" w:cs="Times New Roman"/>
        </w:rPr>
        <w:t>Study design and participants</w:t>
      </w:r>
    </w:p>
    <w:p w14:paraId="730D4F06" w14:textId="281162D9" w:rsidR="00841284" w:rsidRPr="000F6719" w:rsidRDefault="00D413D7" w:rsidP="00E3018C">
      <w:pPr>
        <w:spacing w:after="120" w:line="360" w:lineRule="auto"/>
        <w:rPr>
          <w:rFonts w:ascii="Times New Roman" w:hAnsi="Times New Roman" w:cs="Times New Roman"/>
        </w:rPr>
      </w:pPr>
      <w:r w:rsidRPr="000F6719">
        <w:rPr>
          <w:rFonts w:ascii="Times New Roman" w:eastAsia="Arial" w:hAnsi="Times New Roman" w:cs="Times New Roman"/>
        </w:rPr>
        <w:t>We conducted a retrospective case-control study in All of Us Controlled Tier Data, Curated Data Repository version 7 C2022Q4R13, cutoff July 1, 2022. Conditions, drug exposures, visits, the Basics Survey, and vaccination records were extracted using the OMOP Common Data Model version 5.3.1. The COVID-19 index date was the earliest of a documented SARS-CoV-2 positive test or an ICD-10 U07.1 diagnosis. Participants with COVID-19 and both diagnosis and Basics Survey data were eligible. Cases were hospitalized within 14 days of the index date; controls were COVID-positive participants who were not. Control observations whose index date fell within 14 days of the CDR cutoff were excluded, because their follow-up cannot be verified.</w:t>
      </w:r>
      <w:r w:rsidR="005C71F5" w:rsidRPr="000F6719">
        <w:rPr>
          <w:rFonts w:ascii="Times New Roman" w:eastAsia="Arial" w:hAnsi="Times New Roman" w:cs="Times New Roman"/>
        </w:rPr>
      </w:r>
      <w:r w:rsidRPr="000F6719">
        <w:rPr>
          <w:rFonts w:ascii="Times New Roman" w:eastAsia="Arial" w:hAnsi="Times New Roman" w:cs="Times New Roman"/>
        </w:rPr>
      </w:r>
      <w:r w:rsidR="00821EF5" w:rsidRPr="000F6719">
        <w:rPr>
          <w:rFonts w:ascii="Times New Roman" w:eastAsia="Arial" w:hAnsi="Times New Roman" w:cs="Times New Roman"/>
        </w:rPr>
      </w:r>
      <w:r w:rsidRPr="000F6719">
        <w:rPr>
          <w:rFonts w:ascii="Times New Roman" w:eastAsia="Arial" w:hAnsi="Times New Roman" w:cs="Times New Roman"/>
        </w:rPr>
      </w:r>
    </w:p>
    <w:p w14:paraId="730D4F07" w14:textId="16FA887B" w:rsidR="00841284" w:rsidRPr="000F6719" w:rsidRDefault="00D413D7" w:rsidP="00E3018C">
      <w:pPr>
        <w:spacing w:after="120" w:line="360" w:lineRule="auto"/>
        <w:rPr>
          <w:rFonts w:ascii="Times New Roman" w:hAnsi="Times New Roman" w:cs="Times New Roman"/>
        </w:rPr>
      </w:pPr>
      <w:r w:rsidRPr="000F6719">
        <w:rPr>
          <w:rFonts w:ascii="Times New Roman" w:eastAsia="Arial" w:hAnsi="Times New Roman" w:cs="Times New Roman"/>
        </w:rPr>
        <w:t>Matching sought four controls per case on All of Us enrollment date, number of diagnoses, and length of medical history as encounter-density proxies, implemented in MatchIt with nearest-neighbor matching with replacement on the logit propensity score and a caliper of 0.2 standard deviations of that score.[22, 23] We matched on encounter density rather than clinical characteristics because patients with more health-system contact accumulate more recorded diagnoses, creating informative presence bias, and adjusting for visit count alone does not correct it.[17, 24, 25] SDoH were excluded from the propensity score because they are the exposures of interest; residual imbalance was addressed through conditional regression. MarketScan matching used the same procedure with first enrollment date, number of distinct diagnoses, and coverage span.</w:t>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r w:rsidRPr="000F6719">
        <w:rPr>
          <w:rFonts w:ascii="Times New Roman" w:eastAsia="Arial" w:hAnsi="Times New Roman" w:cs="Times New Roman"/>
          <w:vertAlign w:val="superscript"/>
        </w:rPr>
      </w:r>
      <w:r w:rsidR="009A7915" w:rsidRPr="000F6719">
        <w:rPr>
          <w:rFonts w:ascii="Times New Roman" w:eastAsia="Arial" w:hAnsi="Times New Roman" w:cs="Times New Roman"/>
          <w:vertAlign w:val="superscript"/>
        </w:rPr>
      </w:r>
      <w:r w:rsidRPr="000F6719">
        <w:rPr>
          <w:rFonts w:ascii="Times New Roman" w:eastAsia="Arial" w:hAnsi="Times New Roman" w:cs="Times New Roman"/>
          <w:vertAlign w:val="superscript"/>
        </w:rPr>
      </w:r>
      <w:r w:rsidR="009A7915" w:rsidRPr="000F6719">
        <w:rPr>
          <w:rFonts w:ascii="Times New Roman" w:eastAsia="Arial" w:hAnsi="Times New Roman" w:cs="Times New Roman"/>
          <w:noProof/>
        </w:rPr>
      </w:r>
      <w:r w:rsidRPr="000F6719">
        <w:rPr>
          <w:rFonts w:ascii="Times New Roman" w:eastAsia="Arial" w:hAnsi="Times New Roman" w:cs="Times New Roman"/>
          <w:vertAlign w:val="superscript"/>
        </w:rPr>
      </w:r>
      <w:r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noProof/>
        </w:rPr>
      </w:r>
      <w:r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noProof/>
        </w:rPr>
      </w:r>
      <w:r w:rsidRPr="000F6719">
        <w:rPr>
          <w:rFonts w:ascii="Times New Roman" w:eastAsia="Arial" w:hAnsi="Times New Roman" w:cs="Times New Roman"/>
        </w:rPr>
      </w:r>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roofErr w:type="spellStart"/>
      <w:r w:rsidR="00086720" w:rsidRPr="000F6719">
        <w:rPr>
          <w:rFonts w:ascii="Times New Roman" w:eastAsia="Arial" w:hAnsi="Times New Roman" w:cs="Times New Roman"/>
        </w:rPr>
      </w:r>
      <w:proofErr w:type="spellEnd"/>
      <w:r w:rsidR="00086720" w:rsidRPr="000F6719">
        <w:rPr>
          <w:rFonts w:ascii="Times New Roman" w:eastAsia="Arial" w:hAnsi="Times New Roman" w:cs="Times New Roman"/>
        </w:rPr>
      </w:r>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
    <w:p w14:paraId="730D4F08" w14:textId="77777777" w:rsidR="00841284" w:rsidRPr="000F6719" w:rsidRDefault="00D413D7" w:rsidP="00E3018C">
      <w:pPr>
        <w:pStyle w:val="Heading2"/>
        <w:spacing w:line="360" w:lineRule="auto"/>
        <w:rPr>
          <w:rFonts w:ascii="Times New Roman" w:hAnsi="Times New Roman" w:cs="Times New Roman"/>
        </w:rPr>
      </w:pPr>
      <w:r w:rsidRPr="000F6719">
        <w:rPr>
          <w:rFonts w:ascii="Times New Roman" w:hAnsi="Times New Roman" w:cs="Times New Roman"/>
        </w:rPr>
        <w:t>Outcome</w:t>
      </w:r>
    </w:p>
    <w:p w14:paraId="730D4F09" w14:textId="476267FA" w:rsidR="00841284" w:rsidRPr="000F6719" w:rsidRDefault="00D413D7" w:rsidP="00E3018C">
      <w:pPr>
        <w:spacing w:after="120" w:line="360" w:lineRule="auto"/>
        <w:rPr>
          <w:rFonts w:ascii="Times New Roman" w:eastAsia="Arial" w:hAnsi="Times New Roman" w:cs="Times New Roman"/>
        </w:rPr>
      </w:pPr>
      <w:r w:rsidRPr="000F6719">
        <w:rPr>
          <w:rFonts w:ascii="Times New Roman" w:eastAsia="Arial" w:hAnsi="Times New Roman" w:cs="Times New Roman"/>
        </w:rPr>
        <w:t>The primary outcome was COVID-19 hospitalization or extended emergency department care within 14 days of the index date, aligned with the CDC COVID-NET surveillance window.[26] COVID-19 was identified by ICD-10 U07.1 or a positive SARS-CoV-2 laboratory test from 65 measurement concepts (eTable 1). Hospitalization comprised inpatient visits, emergency-to-inpatient visits, and emergency visits with a recorded stay of one or more days; same-day emergency visits without admission were excluded from the strict outcome (eTable 2a; Figure 2). In MarketScan, hospitalization was any inpatient claim carrying U07.1 within 14 days.</w:t>
      </w:r>
      <w:r w:rsidR="00B60DCD"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noProof/>
        </w:rPr>
      </w:r>
      <w:r w:rsidRPr="000F6719">
        <w:rPr>
          <w:rFonts w:ascii="Times New Roman" w:eastAsia="Arial" w:hAnsi="Times New Roman" w:cs="Times New Roman"/>
        </w:rPr>
      </w:r>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r w:rsidR="009772B5" w:rsidRPr="000F6719">
        <w:rPr>
          <w:rFonts w:ascii="Times New Roman" w:eastAsia="Arial" w:hAnsi="Times New Roman" w:cs="Times New Roman"/>
        </w:rPr>
      </w:r>
      <w:r w:rsidR="009772B5" w:rsidRPr="000F6719">
        <w:rPr>
          <w:rFonts w:ascii="Times New Roman" w:eastAsia="Arial" w:hAnsi="Times New Roman" w:cs="Times New Roman"/>
        </w:rPr>
      </w:r>
      <w:proofErr w:type="spellStart"/>
      <w:r w:rsidR="009772B5" w:rsidRPr="000F6719">
        <w:rPr>
          <w:rFonts w:ascii="Times New Roman" w:eastAsia="Arial" w:hAnsi="Times New Roman" w:cs="Times New Roman"/>
        </w:rPr>
      </w:r>
      <w:proofErr w:type="spellEnd"/>
      <w:r w:rsidR="009772B5" w:rsidRPr="000F6719">
        <w:rPr>
          <w:rFonts w:ascii="Times New Roman" w:eastAsia="Arial" w:hAnsi="Times New Roman" w:cs="Times New Roman"/>
        </w:rPr>
      </w:r>
      <w:r w:rsidRPr="000F6719">
        <w:rPr>
          <w:rFonts w:ascii="Times New Roman" w:eastAsia="Arial" w:hAnsi="Times New Roman" w:cs="Times New Roman"/>
        </w:rPr>
      </w:r>
    </w:p>
    <w:p w14:paraId="54CD6304" w14:textId="54952048" w:rsidR="00DD3174" w:rsidRPr="000F6719" w:rsidRDefault="0052015B" w:rsidP="00E3018C">
      <w:pPr>
        <w:spacing w:after="120" w:line="360" w:lineRule="auto"/>
        <w:rPr>
          <w:rFonts w:ascii="Times New Roman" w:hAnsi="Times New Roman" w:cs="Times New Roman"/>
        </w:rPr>
      </w:pPr>
      <w:r w:rsidRPr="000F6719">
        <w:rPr>
          <w:rFonts w:ascii="Times New Roman" w:hAnsi="Times New Roman" w:cs="Times New Roman"/>
          <w:noProof/>
        </w:rPr>
        <w:drawing>
          <wp:inline distT="0" distB="0" distL="0" distR="0" wp14:anchorId="78045F91" wp14:editId="7CDFF24D">
            <wp:extent cx="5943600" cy="2463892"/>
            <wp:effectExtent l="0" t="0" r="0" b="3175"/>
            <wp:docPr id="3592228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222823" name="Picture 359222823"/>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2463892"/>
                    </a:xfrm>
                    <a:prstGeom prst="rect">
                      <a:avLst/>
                    </a:prstGeom>
                  </pic:spPr>
                </pic:pic>
              </a:graphicData>
            </a:graphic>
          </wp:inline>
        </w:drawing>
      </w:r>
    </w:p>
    <w:p w14:paraId="730D4F0B" w14:textId="77777777" w:rsidR="00841284" w:rsidRPr="000F6719" w:rsidRDefault="00D413D7" w:rsidP="00E3018C">
      <w:pPr>
        <w:pStyle w:val="Heading2"/>
        <w:spacing w:line="360" w:lineRule="auto"/>
        <w:rPr>
          <w:rFonts w:ascii="Times New Roman" w:hAnsi="Times New Roman" w:cs="Times New Roman"/>
        </w:rPr>
      </w:pPr>
      <w:r w:rsidRPr="000F6719">
        <w:rPr>
          <w:rFonts w:ascii="Times New Roman" w:hAnsi="Times New Roman" w:cs="Times New Roman"/>
        </w:rPr>
        <w:t>Exposure and covariates</w:t>
      </w:r>
    </w:p>
    <w:p w14:paraId="730D4F0C" w14:textId="12014A2D" w:rsidR="00841284" w:rsidRPr="000F6719" w:rsidRDefault="00D413D7" w:rsidP="00E3018C">
      <w:pPr>
        <w:spacing w:after="120" w:line="360" w:lineRule="auto"/>
        <w:rPr>
          <w:rFonts w:ascii="Times New Roman" w:hAnsi="Times New Roman" w:cs="Times New Roman"/>
        </w:rPr>
      </w:pPr>
      <w:r w:rsidRPr="000F6719">
        <w:rPr>
          <w:rFonts w:ascii="Times New Roman" w:eastAsia="Arial" w:hAnsi="Times New Roman" w:cs="Times New Roman"/>
        </w:rPr>
        <w:t>We extracted demographic features, vaccination status (eTable 3), and Charlson comorbidities (eTable 4),[27] both ascertained only from records dated before the index date. Six SDoH domains (eTable 5) were derived from the Basics Survey, completed a median of 692 days (IQR 286-985) before the index date, with 86.4% preceding infection. Missing responses occurred in all six domains and were retained as an explicit level, both to avoid a complete-case analysis and to test whether missingness was itself informative (eMethod). Insurance used employer-provided coverage as the reference; participants reporting several coverage types were assigned to the category most indicative of access barriers, so a participant with both Medicaid and employer coverage was coded as Medicaid.</w:t>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r w:rsidR="00AC247F" w:rsidRPr="000F6719">
        <w:rPr>
          <w:rFonts w:ascii="Times New Roman" w:eastAsia="Arial" w:hAnsi="Times New Roman" w:cs="Times New Roman"/>
        </w:rPr>
      </w:r>
      <w:r w:rsidRPr="000F6719">
        <w:rPr>
          <w:rFonts w:ascii="Times New Roman" w:eastAsia="Arial" w:hAnsi="Times New Roman" w:cs="Times New Roman"/>
          <w:vertAlign w:val="superscript"/>
        </w:rPr>
      </w:r>
      <w:r w:rsidR="009A7915" w:rsidRPr="000F6719">
        <w:rPr>
          <w:rFonts w:ascii="Times New Roman" w:eastAsia="Arial" w:hAnsi="Times New Roman" w:cs="Times New Roman"/>
          <w:vertAlign w:val="superscript"/>
        </w:rPr>
      </w:r>
      <w:r w:rsidR="009A7915" w:rsidRPr="000F6719">
        <w:rPr>
          <w:rFonts w:ascii="Times New Roman" w:eastAsia="Arial" w:hAnsi="Times New Roman" w:cs="Times New Roman"/>
          <w:vertAlign w:val="superscript"/>
        </w:rPr>
      </w:r>
      <w:r w:rsidR="009A7915" w:rsidRPr="000F6719">
        <w:rPr>
          <w:rFonts w:ascii="Times New Roman" w:eastAsia="Arial" w:hAnsi="Times New Roman" w:cs="Times New Roman"/>
          <w:vertAlign w:val="superscript"/>
        </w:rPr>
      </w:r>
      <w:r w:rsidR="009A7915" w:rsidRPr="000F6719">
        <w:rPr>
          <w:rFonts w:ascii="Times New Roman" w:eastAsia="Arial" w:hAnsi="Times New Roman" w:cs="Times New Roman"/>
          <w:vertAlign w:val="superscript"/>
        </w:rPr>
      </w:r>
      <w:r w:rsidR="009A7915" w:rsidRPr="000F6719">
        <w:rPr>
          <w:rFonts w:ascii="Times New Roman" w:eastAsia="Arial" w:hAnsi="Times New Roman" w:cs="Times New Roman"/>
          <w:vertAlign w:val="superscript"/>
        </w:rPr>
      </w:r>
      <w:r w:rsidRPr="000F6719">
        <w:rPr>
          <w:rFonts w:ascii="Times New Roman" w:eastAsia="Arial" w:hAnsi="Times New Roman" w:cs="Times New Roman"/>
          <w:vertAlign w:val="superscript"/>
        </w:rPr>
      </w:r>
      <w:r w:rsidR="009A7915" w:rsidRPr="000F6719">
        <w:rPr>
          <w:rFonts w:ascii="Times New Roman" w:eastAsia="Arial" w:hAnsi="Times New Roman" w:cs="Times New Roman"/>
          <w:noProof/>
        </w:rPr>
      </w:r>
      <w:r w:rsidRPr="000F6719">
        <w:rPr>
          <w:rFonts w:ascii="Times New Roman" w:eastAsia="Arial" w:hAnsi="Times New Roman" w:cs="Times New Roman"/>
          <w:vertAlign w:val="superscript"/>
        </w:rPr>
      </w:r>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r w:rsidR="00B60DCD" w:rsidRPr="000F6719">
        <w:rPr>
          <w:rFonts w:ascii="Times New Roman" w:eastAsia="Arial" w:hAnsi="Times New Roman" w:cs="Times New Roman"/>
        </w:rPr>
      </w:r>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
    <w:p w14:paraId="730D4F0D" w14:textId="77777777" w:rsidR="00841284" w:rsidRPr="000F6719" w:rsidRDefault="00D413D7" w:rsidP="00E3018C">
      <w:pPr>
        <w:pStyle w:val="Heading2"/>
        <w:spacing w:line="360" w:lineRule="auto"/>
        <w:rPr>
          <w:rFonts w:ascii="Times New Roman" w:hAnsi="Times New Roman" w:cs="Times New Roman"/>
        </w:rPr>
      </w:pPr>
      <w:r w:rsidRPr="000F6719">
        <w:rPr>
          <w:rFonts w:ascii="Times New Roman" w:hAnsi="Times New Roman" w:cs="Times New Roman"/>
        </w:rPr>
        <w:t>Statistical analysis</w:t>
      </w:r>
    </w:p>
    <w:p w14:paraId="730D4F0E" w14:textId="273169C7" w:rsidR="00841284" w:rsidRPr="000F6719" w:rsidRDefault="00D413D7" w:rsidP="00E3018C">
      <w:pPr>
        <w:spacing w:after="120" w:line="360" w:lineRule="auto"/>
        <w:rPr>
          <w:rFonts w:ascii="Times New Roman" w:hAnsi="Times New Roman" w:cs="Times New Roman"/>
        </w:rPr>
      </w:pPr>
      <w:r w:rsidRPr="000F6719">
        <w:rPr>
          <w:rFonts w:ascii="Times New Roman" w:eastAsia="Arial" w:hAnsi="Times New Roman" w:cs="Times New Roman"/>
        </w:rPr>
        <w:t>Matched data were analyzed by conditional logistic regression with standard errors clustered on person identifier to account for control reuse.[28] Under an alternative variance estimator the significance status of Asian race changed and no other variable did (eTable 11b); MarketScan used model-based standard errors. Pandemic wave (pre-Delta, before June 15, 2021; Delta, to December 14, 2021; Omicron, thereafter) entered as a covariate. The base model included sex, race, ethnicity, age, wave, vaccination, and 19 Charlson comorbidities. Domain-specific models added one SDoH domain to the base model,[18] and the joint model added all six. From the joint model we contrasted two profiles (employer-insured/$35,000-99,999/homeowner versus Medicaid/$10,000-24,999/renter) as the product of the three mutually adjusted odds ratios; conditional logistic regression conditions the stratum intercepts out of the likelihood, so absolute probabilities are not estimable. Wave-stratified models were fitted within strata whose index dates fell in that wave, using base-model covariates minus the wave indicator.[29, 30] For race we compared the base and joint models within each wave as the proportional reduction in the log adjusted odds ratio;[31] because the odds ratio is non-collapsible, part of any such change reflects the scale rather than confounding, so these percentages are indicative rather than exact explained fractions.</w:t>
      </w:r>
      <w:r w:rsidR="00714D44" w:rsidRPr="000F6719">
        <w:rPr>
          <w:rFonts w:ascii="Times New Roman" w:eastAsia="Arial" w:hAnsi="Times New Roman" w:cs="Times New Roman"/>
        </w:rPr>
      </w:r>
      <w:r w:rsidRPr="000F6719">
        <w:rPr>
          <w:rFonts w:ascii="Times New Roman" w:eastAsia="Arial" w:hAnsi="Times New Roman" w:cs="Times New Roman"/>
          <w:vertAlign w:val="superscript"/>
        </w:rPr>
      </w:r>
      <w:r w:rsidR="009A7915" w:rsidRPr="000F6719">
        <w:rPr>
          <w:rFonts w:ascii="Times New Roman" w:eastAsia="Arial" w:hAnsi="Times New Roman" w:cs="Times New Roman"/>
          <w:vertAlign w:val="superscript"/>
        </w:rPr>
      </w:r>
      <w:r w:rsidRPr="000F6719">
        <w:rPr>
          <w:rFonts w:ascii="Times New Roman" w:eastAsia="Arial" w:hAnsi="Times New Roman" w:cs="Times New Roman"/>
          <w:vertAlign w:val="superscript"/>
        </w:rPr>
      </w:r>
      <w:r w:rsidR="009A7915" w:rsidRPr="000F6719">
        <w:rPr>
          <w:rFonts w:ascii="Times New Roman" w:eastAsia="Arial" w:hAnsi="Times New Roman" w:cs="Times New Roman"/>
          <w:noProof/>
        </w:rPr>
      </w:r>
      <w:r w:rsidRPr="000F6719">
        <w:rPr>
          <w:rFonts w:ascii="Times New Roman" w:eastAsia="Arial" w:hAnsi="Times New Roman" w:cs="Times New Roman"/>
          <w:vertAlign w:val="superscript"/>
        </w:rPr>
      </w:r>
      <w:r w:rsidRPr="000F6719">
        <w:rPr>
          <w:rFonts w:ascii="Times New Roman" w:eastAsia="Arial" w:hAnsi="Times New Roman" w:cs="Times New Roman"/>
        </w:rPr>
      </w:r>
      <w:r w:rsidR="00D02962" w:rsidRPr="000F6719">
        <w:rPr>
          <w:rFonts w:ascii="Times New Roman" w:eastAsia="Arial" w:hAnsi="Times New Roman" w:cs="Times New Roman"/>
        </w:rPr>
      </w:r>
      <w:proofErr w:type="spellStart"/>
      <w:r w:rsidR="00D02962" w:rsidRPr="000F6719">
        <w:rPr>
          <w:rFonts w:ascii="Times New Roman" w:eastAsia="Arial" w:hAnsi="Times New Roman" w:cs="Times New Roman"/>
        </w:rPr>
      </w:r>
      <w:proofErr w:type="spellEnd"/>
      <w:r w:rsidR="00D02962" w:rsidRPr="000F6719">
        <w:rPr>
          <w:rFonts w:ascii="Times New Roman" w:eastAsia="Arial" w:hAnsi="Times New Roman" w:cs="Times New Roman"/>
        </w:rPr>
      </w:r>
      <w:r w:rsidR="00D02962" w:rsidRPr="000F6719">
        <w:rPr>
          <w:rFonts w:ascii="Times New Roman" w:eastAsia="Arial" w:hAnsi="Times New Roman" w:cs="Times New Roman"/>
        </w:rPr>
      </w:r>
      <w:r w:rsidRPr="000F6719">
        <w:rPr>
          <w:rFonts w:ascii="Times New Roman" w:eastAsia="Arial" w:hAnsi="Times New Roman" w:cs="Times New Roman"/>
        </w:rPr>
      </w:r>
      <w:proofErr w:type="gramStart"/>
      <w:r w:rsidRPr="000F6719">
        <w:rPr>
          <w:rFonts w:ascii="Times New Roman" w:eastAsia="Arial" w:hAnsi="Times New Roman" w:cs="Times New Roman"/>
        </w:rPr>
      </w:r>
      <w:proofErr w:type="gramEnd"/>
      <w:r w:rsidRPr="000F6719">
        <w:rPr>
          <w:rFonts w:ascii="Times New Roman" w:eastAsia="Arial" w:hAnsi="Times New Roman" w:cs="Times New Roman"/>
        </w:rPr>
      </w:r>
      <w:proofErr w:type="gramStart"/>
      <w:r w:rsidRPr="000F6719">
        <w:rPr>
          <w:rFonts w:ascii="Times New Roman" w:eastAsia="Arial" w:hAnsi="Times New Roman" w:cs="Times New Roman"/>
        </w:rPr>
      </w:r>
      <w:r w:rsidR="005302F6" w:rsidRPr="000F6719">
        <w:rPr>
          <w:rFonts w:ascii="Times New Roman" w:hAnsi="Times New Roman" w:cs="Times New Roman"/>
        </w:rPr>
      </w:r>
      <w:r w:rsidR="005302F6" w:rsidRPr="000F6719">
        <w:rPr>
          <w:rFonts w:ascii="Times New Roman" w:eastAsia="Arial" w:hAnsi="Times New Roman" w:cs="Times New Roman"/>
        </w:rPr>
      </w:r>
      <w:proofErr w:type="gramEnd"/>
      <w:r w:rsidR="005302F6" w:rsidRPr="000F6719">
        <w:rPr>
          <w:rFonts w:ascii="Times New Roman" w:eastAsia="Arial" w:hAnsi="Times New Roman" w:cs="Times New Roman"/>
        </w:rPr>
      </w:r>
      <w:r w:rsidR="00E41D4C" w:rsidRPr="000F6719">
        <w:rPr>
          <w:rFonts w:ascii="Times New Roman" w:eastAsia="Arial" w:hAnsi="Times New Roman" w:cs="Times New Roman"/>
        </w:rPr>
      </w:r>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
    <w:p w14:paraId="730D4F11" w14:textId="05D5A07A" w:rsidR="00841284" w:rsidRPr="000F6719" w:rsidRDefault="00757107" w:rsidP="00DE7297">
      <w:pPr>
        <w:spacing w:after="120" w:line="360" w:lineRule="auto"/>
        <w:rPr>
          <w:rFonts w:ascii="Times New Roman" w:hAnsi="Times New Roman" w:cs="Times New Roman"/>
        </w:rPr>
      </w:pPr>
      <w:r w:rsidRPr="000F6719">
        <w:rPr>
          <w:rFonts w:ascii="Times New Roman" w:eastAsia="Arial" w:hAnsi="Times New Roman" w:cs="Times New Roman"/>
        </w:rPr>
        <w:t>The MarketScan comparison used the same Charlson code sets and regression framework in Commercial Claims (2020-2023), with insurance plan type and geographic region as site-specific covariates (eTable 8).[32] It tests whether the clinical base model behaves comparably in a different population; it does not test whether the SDoH findings replicate, because MarketScan contains neither race nor individual-level SDoH.</w:t>
      </w:r>
      <w:r w:rsidR="00AE079F" w:rsidRPr="00AE079F">
        <w:rPr>
          <w:rFonts w:ascii="Times New Roman" w:eastAsia="Arial" w:hAnsi="Times New Roman" w:cs="Times New Roman"/>
        </w:rPr>
      </w:r>
      <w:proofErr w:type="spellStart"/>
      <w:r w:rsidR="00AE079F" w:rsidRPr="00AE079F">
        <w:rPr>
          <w:rFonts w:ascii="Times New Roman" w:eastAsia="Arial" w:hAnsi="Times New Roman" w:cs="Times New Roman"/>
        </w:rPr>
      </w:r>
      <w:proofErr w:type="spellEnd"/>
      <w:r w:rsidR="00AE079F" w:rsidRPr="00AE079F">
        <w:rPr>
          <w:rFonts w:ascii="Times New Roman" w:eastAsia="Arial" w:hAnsi="Times New Roman" w:cs="Times New Roman"/>
        </w:rPr>
      </w:r>
      <w:proofErr w:type="spellStart"/>
      <w:r w:rsidR="00AE079F" w:rsidRPr="00AE079F">
        <w:rPr>
          <w:rFonts w:ascii="Times New Roman" w:eastAsia="Arial" w:hAnsi="Times New Roman" w:cs="Times New Roman"/>
        </w:rPr>
      </w:r>
      <w:proofErr w:type="spellEnd"/>
      <w:r w:rsidR="00AE079F" w:rsidRPr="00AE079F">
        <w:rPr>
          <w:rFonts w:ascii="Times New Roman" w:eastAsia="Arial" w:hAnsi="Times New Roman" w:cs="Times New Roman"/>
        </w:rPr>
      </w:r>
      <w:r w:rsidR="00D413D7" w:rsidRPr="000F6719">
        <w:rPr>
          <w:rFonts w:ascii="Times New Roman" w:eastAsia="Arial" w:hAnsi="Times New Roman" w:cs="Times New Roman"/>
        </w:rPr>
      </w:r>
      <w:r w:rsidR="009A7915" w:rsidRPr="000F6719">
        <w:rPr>
          <w:rFonts w:ascii="Times New Roman" w:eastAsia="Arial" w:hAnsi="Times New Roman" w:cs="Times New Roman"/>
        </w:rPr>
      </w:r>
      <w:r w:rsidR="00D413D7" w:rsidRPr="000F6719">
        <w:rPr>
          <w:rFonts w:ascii="Times New Roman" w:eastAsia="Arial" w:hAnsi="Times New Roman" w:cs="Times New Roman"/>
        </w:rPr>
      </w:r>
      <w:r w:rsidR="009A7915" w:rsidRPr="000F6719">
        <w:rPr>
          <w:rFonts w:ascii="Times New Roman" w:eastAsia="Arial" w:hAnsi="Times New Roman" w:cs="Times New Roman"/>
          <w:noProof/>
        </w:rPr>
      </w:r>
      <w:r w:rsidR="00D413D7" w:rsidRPr="000F6719">
        <w:rPr>
          <w:rFonts w:ascii="Times New Roman" w:eastAsia="Arial" w:hAnsi="Times New Roman" w:cs="Times New Roman"/>
        </w:rPr>
      </w:r>
      <w:r w:rsidR="00D413D7" w:rsidRPr="000F6719">
        <w:rPr>
          <w:rFonts w:ascii="Times New Roman" w:eastAsia="Arial" w:hAnsi="Times New Roman" w:cs="Times New Roman"/>
        </w:rPr>
      </w:r>
      <w:proofErr w:type="spellStart"/>
      <w:r w:rsidR="00D413D7" w:rsidRPr="000F6719">
        <w:rPr>
          <w:rFonts w:ascii="Times New Roman" w:eastAsia="Arial" w:hAnsi="Times New Roman" w:cs="Times New Roman"/>
        </w:rPr>
      </w:r>
      <w:proofErr w:type="spellEnd"/>
      <w:r w:rsidR="00D413D7" w:rsidRPr="000F6719">
        <w:rPr>
          <w:rFonts w:ascii="Times New Roman" w:eastAsia="Arial" w:hAnsi="Times New Roman" w:cs="Times New Roman"/>
        </w:rPr>
      </w:r>
      <w:proofErr w:type="spellStart"/>
      <w:r w:rsidR="00D413D7" w:rsidRPr="000F6719">
        <w:rPr>
          <w:rFonts w:ascii="Times New Roman" w:eastAsia="Arial" w:hAnsi="Times New Roman" w:cs="Times New Roman"/>
        </w:rPr>
      </w:r>
      <w:proofErr w:type="spellEnd"/>
      <w:r w:rsidR="00D413D7" w:rsidRPr="000F6719">
        <w:rPr>
          <w:rFonts w:ascii="Times New Roman" w:eastAsia="Arial" w:hAnsi="Times New Roman" w:cs="Times New Roman"/>
        </w:rPr>
      </w:r>
      <w:proofErr w:type="spellStart"/>
      <w:r w:rsidR="00D413D7" w:rsidRPr="000F6719">
        <w:rPr>
          <w:rFonts w:ascii="Times New Roman" w:eastAsia="Arial" w:hAnsi="Times New Roman" w:cs="Times New Roman"/>
        </w:rPr>
      </w:r>
      <w:proofErr w:type="spellEnd"/>
      <w:r w:rsidR="00D413D7" w:rsidRPr="000F6719">
        <w:rPr>
          <w:rFonts w:ascii="Times New Roman" w:eastAsia="Arial" w:hAnsi="Times New Roman" w:cs="Times New Roman"/>
        </w:rPr>
      </w:r>
      <w:r w:rsidR="001C7CB4" w:rsidRPr="000F6719">
        <w:rPr>
          <w:rFonts w:ascii="Times New Roman" w:eastAsia="Arial" w:hAnsi="Times New Roman" w:cs="Times New Roman"/>
        </w:rPr>
      </w:r>
      <w:proofErr w:type="spellStart"/>
      <w:r w:rsidR="001C7CB4" w:rsidRPr="000F6719">
        <w:rPr>
          <w:rFonts w:ascii="Times New Roman" w:eastAsia="Arial" w:hAnsi="Times New Roman" w:cs="Times New Roman"/>
        </w:rPr>
      </w:r>
      <w:proofErr w:type="spellEnd"/>
      <w:r w:rsidR="001C7CB4" w:rsidRPr="000F6719">
        <w:rPr>
          <w:rFonts w:ascii="Times New Roman" w:eastAsia="Arial" w:hAnsi="Times New Roman" w:cs="Times New Roman"/>
        </w:rPr>
      </w:r>
      <w:r w:rsidR="00A90C25" w:rsidRPr="000F6719">
        <w:rPr>
          <w:rFonts w:ascii="Times New Roman" w:eastAsia="Arial" w:hAnsi="Times New Roman" w:cs="Times New Roman"/>
        </w:rPr>
      </w:r>
      <w:proofErr w:type="spellStart"/>
      <w:r w:rsidR="00A90C25" w:rsidRPr="000F6719">
        <w:rPr>
          <w:rFonts w:ascii="Times New Roman" w:eastAsia="Arial" w:hAnsi="Times New Roman" w:cs="Times New Roman"/>
        </w:rPr>
      </w:r>
      <w:proofErr w:type="spellEnd"/>
      <w:r w:rsidR="00A90C25" w:rsidRPr="000F6719">
        <w:rPr>
          <w:rFonts w:ascii="Times New Roman" w:eastAsia="Arial" w:hAnsi="Times New Roman" w:cs="Times New Roman"/>
        </w:rPr>
      </w:r>
    </w:p>
    <w:p w14:paraId="730D4F12" w14:textId="77777777" w:rsidR="00841284" w:rsidRPr="000F6719" w:rsidRDefault="00D413D7" w:rsidP="00E3018C">
      <w:pPr>
        <w:pStyle w:val="Heading1"/>
        <w:spacing w:line="360" w:lineRule="auto"/>
        <w:rPr>
          <w:rFonts w:ascii="Times New Roman" w:hAnsi="Times New Roman" w:cs="Times New Roman" w:hint="eastAsia"/>
        </w:rPr>
      </w:pPr>
      <w:r w:rsidRPr="000F6719">
        <w:rPr>
          <w:rFonts w:ascii="Times New Roman" w:hAnsi="Times New Roman" w:cs="Times New Roman"/>
        </w:rPr>
        <w:t>RESULTS</w:t>
      </w:r>
    </w:p>
    <w:p w14:paraId="730D4F13" w14:textId="77777777" w:rsidR="00841284" w:rsidRPr="000F6719" w:rsidRDefault="00D413D7" w:rsidP="00E3018C">
      <w:pPr>
        <w:pStyle w:val="Heading2"/>
        <w:spacing w:line="360" w:lineRule="auto"/>
        <w:rPr>
          <w:rFonts w:ascii="Times New Roman" w:hAnsi="Times New Roman" w:cs="Times New Roman"/>
        </w:rPr>
      </w:pPr>
      <w:r w:rsidRPr="000F6719">
        <w:rPr>
          <w:rFonts w:ascii="Times New Roman" w:hAnsi="Times New Roman" w:cs="Times New Roman"/>
        </w:rPr>
        <w:t>Participant characteristics</w:t>
      </w:r>
    </w:p>
    <w:p w14:paraId="730D4F14" w14:textId="53DCB632" w:rsidR="00841284" w:rsidRPr="000F6719" w:rsidRDefault="00D413D7" w:rsidP="00E3018C">
      <w:pPr>
        <w:spacing w:after="120" w:line="360" w:lineRule="auto"/>
        <w:rPr>
          <w:rFonts w:ascii="Times New Roman" w:hAnsi="Times New Roman" w:cs="Times New Roman"/>
        </w:rPr>
      </w:pPr>
      <w:r w:rsidRPr="000F6719">
        <w:rPr>
          <w:rFonts w:ascii="Times New Roman" w:eastAsia="Arial" w:hAnsi="Times New Roman" w:cs="Times New Roman"/>
        </w:rPr>
        <w:t>Among 413,457 All of Us participants, 25,160 had confirmed COVID-19 with both EHR and Basics Survey data, of whom 4,064 (16.2%) met the hospitalization phenotype (Figures 1, 2). Most qualifying visits began on the index date itself (eFigure 2). Matching achieved 3.90 controls per case, giving 19,920 observations in 4,064 strata; the 15,856 control observations came from 9,691 unique individuals (maximum reuse 13; eTable 11). Pre-matching imbalance was largest for diagnosis count (SMD = 0.489), and all three matching variables fell below 0.03 after matching (eTables 6, 7; eFigure 1).</w:t>
      </w:r>
      <w:r w:rsidR="007C1E00" w:rsidRPr="000F6719">
        <w:rPr>
          <w:rFonts w:ascii="Times New Roman" w:eastAsia="Arial" w:hAnsi="Times New Roman" w:cs="Times New Roman"/>
        </w:rPr>
      </w:r>
      <w:proofErr w:type="gramStart"/>
      <w:r w:rsidR="007C1E00" w:rsidRPr="000F6719">
        <w:rPr>
          <w:rFonts w:ascii="Times New Roman" w:eastAsia="Arial" w:hAnsi="Times New Roman" w:cs="Times New Roman"/>
        </w:rPr>
      </w:r>
      <w:proofErr w:type="gramEnd"/>
      <w:r w:rsidR="007C1E00" w:rsidRPr="000F6719">
        <w:rPr>
          <w:rFonts w:ascii="Times New Roman" w:eastAsia="Arial" w:hAnsi="Times New Roman" w:cs="Times New Roman"/>
        </w:rPr>
      </w:r>
      <w:proofErr w:type="spellStart"/>
      <w:r w:rsidR="007C1E00" w:rsidRPr="000F6719">
        <w:rPr>
          <w:rFonts w:ascii="Times New Roman" w:eastAsia="Arial" w:hAnsi="Times New Roman" w:cs="Times New Roman"/>
        </w:rPr>
      </w:r>
      <w:proofErr w:type="spellEnd"/>
      <w:r w:rsidR="007C1E00"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vertAlign w:val="superscript"/>
        </w:rPr>
      </w:r>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
    <w:p w14:paraId="730D4F16" w14:textId="75F3D33D" w:rsidR="00841284" w:rsidRPr="000F6719" w:rsidRDefault="00D413D7" w:rsidP="00E3018C">
      <w:pPr>
        <w:spacing w:line="360" w:lineRule="auto"/>
        <w:rPr>
          <w:rFonts w:ascii="Times New Roman" w:hAnsi="Times New Roman" w:cs="Times New Roman"/>
        </w:rPr>
      </w:pPr>
      <w:r w:rsidRPr="000F6719">
        <w:rPr>
          <w:rFonts w:ascii="Times New Roman" w:hAnsi="Times New Roman" w:cs="Times New Roman"/>
        </w:rPr>
        <w:t>Because matching balanced encounter-density proxies rather than clinical or social characteristics, demographic differences persisted, as expected. Cases had higher proportions of males (39.0% vs 30.6%), Black participants (29.9% vs 17.9%), adults aged 65 or over (35.7% vs 30.5%), and Medicaid-insured participants (34.7% vs 26.2%). Characteristics are summarized in Tables 1 and 2.</w:t>
      </w:r>
      <w:r w:rsidR="00E30B38" w:rsidRPr="000F6719">
        <w:rPr>
          <w:rFonts w:ascii="Times New Roman" w:hAnsi="Times New Roman" w:cs="Times New Roman"/>
        </w:rPr>
      </w:r>
      <w:r w:rsidRPr="000F6719">
        <w:rPr>
          <w:rFonts w:ascii="Times New Roman" w:hAnsi="Times New Roman" w:cs="Times New Roman"/>
        </w:rPr>
      </w:r>
      <w:r w:rsidR="00E30B38" w:rsidRPr="000F6719">
        <w:rPr>
          <w:rFonts w:ascii="Times New Roman" w:hAnsi="Times New Roman" w:cs="Times New Roman"/>
        </w:rPr>
      </w:r>
      <w:r w:rsidRPr="000F6719">
        <w:rPr>
          <w:rFonts w:ascii="Times New Roman" w:hAnsi="Times New Roman" w:cs="Times New Roman"/>
        </w:rPr>
      </w:r>
      <w:r w:rsidR="00E30B38" w:rsidRPr="000F6719">
        <w:rPr>
          <w:rFonts w:ascii="Times New Roman" w:hAnsi="Times New Roman" w:cs="Times New Roman"/>
        </w:rPr>
      </w:r>
      <w:r w:rsidRPr="000F6719">
        <w:rPr>
          <w:rFonts w:ascii="Times New Roman" w:hAnsi="Times New Roman" w:cs="Times New Roman"/>
        </w:rPr>
      </w:r>
      <w:r w:rsidR="00E30B38" w:rsidRPr="000F6719">
        <w:rPr>
          <w:rFonts w:ascii="Times New Roman" w:hAnsi="Times New Roman" w:cs="Times New Roman"/>
        </w:rPr>
      </w:r>
      <w:r w:rsidRPr="000F6719">
        <w:rPr>
          <w:rFonts w:ascii="Times New Roman" w:hAnsi="Times New Roman" w:cs="Times New Roman"/>
        </w:rPr>
      </w:r>
      <w:r w:rsidRPr="000F6719">
        <w:rPr>
          <w:rFonts w:ascii="Times New Roman" w:hAnsi="Times New Roman" w:cs="Times New Roman"/>
        </w:rPr>
      </w:r>
      <w:r w:rsidR="00E30B38" w:rsidRPr="000F6719">
        <w:rPr>
          <w:rFonts w:ascii="Times New Roman" w:hAnsi="Times New Roman" w:cs="Times New Roman"/>
        </w:rPr>
      </w:r>
      <w:r w:rsidRPr="000F6719">
        <w:rPr>
          <w:rFonts w:ascii="Times New Roman" w:hAnsi="Times New Roman" w:cs="Times New Roman"/>
        </w:rPr>
      </w:r>
      <w:r w:rsidR="00062D84" w:rsidRPr="000F6719">
        <w:rPr>
          <w:rFonts w:ascii="Times New Roman" w:hAnsi="Times New Roman" w:cs="Times New Roman"/>
        </w:rPr>
      </w:r>
      <w:proofErr w:type="spellStart"/>
      <w:r w:rsidR="00062D84" w:rsidRPr="000F6719">
        <w:rPr>
          <w:rFonts w:ascii="Times New Roman" w:hAnsi="Times New Roman" w:cs="Times New Roman"/>
        </w:rPr>
      </w:r>
      <w:proofErr w:type="spellEnd"/>
      <w:r w:rsidR="00062D84" w:rsidRPr="000F6719">
        <w:rPr>
          <w:rFonts w:ascii="Times New Roman" w:hAnsi="Times New Roman" w:cs="Times New Roman"/>
        </w:rPr>
      </w:r>
      <w:proofErr w:type="spellStart"/>
      <w:r w:rsidR="00062D84" w:rsidRPr="000F6719">
        <w:rPr>
          <w:rFonts w:ascii="Times New Roman" w:hAnsi="Times New Roman" w:cs="Times New Roman"/>
        </w:rPr>
      </w:r>
      <w:proofErr w:type="spellEnd"/>
      <w:r w:rsidR="00062D84" w:rsidRPr="000F6719">
        <w:rPr>
          <w:rFonts w:ascii="Times New Roman" w:hAnsi="Times New Roman" w:cs="Times New Roman"/>
        </w:rPr>
      </w:r>
      <w:proofErr w:type="gramStart"/>
      <w:r w:rsidR="00062D84" w:rsidRPr="000F6719">
        <w:rPr>
          <w:rFonts w:ascii="Times New Roman" w:hAnsi="Times New Roman" w:cs="Times New Roman"/>
        </w:rPr>
      </w:r>
      <w:r w:rsidRPr="000F6719">
        <w:rPr>
          <w:rFonts w:ascii="Times New Roman" w:hAnsi="Times New Roman" w:cs="Times New Roman"/>
        </w:rPr>
      </w:r>
      <w:proofErr w:type="gramEnd"/>
      <w:r w:rsidRPr="000F6719">
        <w:rPr>
          <w:rFonts w:ascii="Times New Roman" w:hAnsi="Times New Roman" w:cs="Times New Roman"/>
        </w:rPr>
      </w:r>
    </w:p>
    <w:p w14:paraId="730D4F13" w14:textId="77777777" w:rsidR="00841284" w:rsidRPr="000F6719" w:rsidRDefault="00D413D7" w:rsidP="00E3018C">
      <w:pPr>
        <w:pStyle w:val="Heading2"/>
        <w:spacing w:line="360" w:lineRule="auto"/>
        <w:rPr>
          <w:rFonts w:ascii="Times New Roman" w:hAnsi="Times New Roman" w:cs="Times New Roman"/>
        </w:rPr>
      </w:pPr>
      <w:r w:rsidRPr="000F6719">
        <w:rPr>
          <w:rFonts w:ascii="Times New Roman" w:hAnsi="Times New Roman" w:cs="Times New Roman"/>
        </w:rPr>
        <w:t>Demographics, vaccination, pandemic wave, and comorbidities</w:t>
      </w:r>
    </w:p>
    <w:p w14:paraId="730D4F17" w14:textId="77777777" w:rsidR="00841284" w:rsidRPr="000F6719" w:rsidRDefault="00D413D7" w:rsidP="00E3018C">
      <w:pPr>
        <w:spacing w:after="120" w:line="360" w:lineRule="auto"/>
        <w:rPr>
          <w:rFonts w:ascii="Times New Roman" w:eastAsia="Arial" w:hAnsi="Times New Roman" w:cs="Times New Roman"/>
        </w:rPr>
      </w:pPr>
      <w:r w:rsidRPr="000F6719">
        <w:rPr>
          <w:rFonts w:ascii="Times New Roman" w:eastAsia="Arial" w:hAnsi="Times New Roman" w:cs="Times New Roman"/>
        </w:rPr>
        <w:t>In the base model, female sex (AOR 0.74, 95% CI 0.68-0.80) and recorded vaccination (0.45, 0.40-0.51) carried lower odds, age rose monotonically to 1.61 (1.44-1.79) at 65 or over, and Black race carried substantially elevated odds (2.30, 2.10-2.52; Table 1, Figure 3). Delta-wave infection was elevated (1.24, 1.12-1.38) while Omicron was not (1.04, 0.96-1.13). Severe renal disease, moderate or severe liver disease, metastatic solid tumor, cerebrovascular disease, and congestive heart failure were significantly associated with hospitalization; dementia was not, once comorbidities were restricted to pre-index records. Chronic pulmonary disease (0.85, 0.79-0.92) and mild liver disease (0.76, 0.69-0.83) were inverse. Because matching balanced encounter density rather than clinical severity, patients with these high-contact conditions were matched to controls with comparably heavy utilization, and these estimates should not be read as protective.</w:t>
      </w:r>
      <w:proofErr w:type="gramStart"/>
      <w:r w:rsidRPr="000F6719">
        <w:rPr>
          <w:rFonts w:ascii="Times New Roman" w:eastAsia="Arial" w:hAnsi="Times New Roman" w:cs="Times New Roman"/>
        </w:rPr>
      </w:r>
      <w:proofErr w:type="gramEnd"/>
      <w:r w:rsidRPr="000F6719">
        <w:rPr>
          <w:rFonts w:ascii="Times New Roman" w:eastAsia="Arial" w:hAnsi="Times New Roman" w:cs="Times New Roman"/>
        </w:rPr>
      </w:r>
      <w:proofErr w:type="gramStart"/>
      <w:r w:rsidRPr="000F6719">
        <w:rPr>
          <w:rFonts w:ascii="Times New Roman" w:eastAsia="Arial" w:hAnsi="Times New Roman" w:cs="Times New Roman"/>
        </w:rPr>
      </w:r>
      <w:proofErr w:type="gramEnd"/>
      <w:r w:rsidRPr="000F6719">
        <w:rPr>
          <w:rFonts w:ascii="Times New Roman" w:eastAsia="Arial" w:hAnsi="Times New Roman" w:cs="Times New Roman"/>
        </w:rPr>
      </w:r>
    </w:p>
    <w:p w14:paraId="3EC7DB56" w14:textId="77777777" w:rsidR="000709F1" w:rsidRPr="000F6719" w:rsidRDefault="000709F1" w:rsidP="000709F1">
      <w:pPr>
        <w:rPr>
          <w:rFonts w:ascii="Times New Roman" w:hAnsi="Times New Roman" w:cs="Times New Roman"/>
        </w:rPr>
      </w:pPr>
      <w:r w:rsidRPr="000F6719">
        <w:rPr>
          <w:rFonts w:ascii="Times New Roman" w:hAnsi="Times New Roman" w:cs="Times New Roman"/>
          <w:b/>
          <w:sz w:val="18"/>
        </w:rPr>
        <w:t>Table 1. Demographic and clinical characteristics of the matched All of Us and MarketScan cohorts.</w:t>
      </w:r>
    </w:p>
    <w:p w14:paraId="14363F92" w14:textId="77777777" w:rsidR="000709F1" w:rsidRPr="000F6719" w:rsidRDefault="000709F1" w:rsidP="000709F1">
      <w:pPr>
        <w:rPr>
          <w:rFonts w:ascii="Times New Roman" w:hAnsi="Times New Roman" w:cs="Times New Roman"/>
        </w:rPr>
      </w:pPr>
      <w:r w:rsidRPr="000F6719">
        <w:rPr>
          <w:rFonts w:ascii="Times New Roman" w:hAnsi="Times New Roman" w:cs="Times New Roman"/>
          <w:sz w:val="15"/>
        </w:rPr>
        <w:t xml:space="preserve">Data are n (%) unless otherwise specified. Cases were hospitalized within 14 days of the COVID-19 index date; controls were COVID-positive participants not hospitalized within that window, matched 1:4 on encounter-density proxies. Percentages are column percentages within each cohort. Abbreviations: AoU, All of Us Research Program; </w:t>
      </w:r>
      <w:proofErr w:type="spellStart"/>
      <w:r w:rsidRPr="000F6719">
        <w:rPr>
          <w:rFonts w:ascii="Times New Roman" w:hAnsi="Times New Roman" w:cs="Times New Roman"/>
          <w:sz w:val="15"/>
        </w:rPr>
        <w:t>s.d.</w:t>
      </w:r>
      <w:proofErr w:type="spellEnd"/>
      <w:r w:rsidRPr="000F6719">
        <w:rPr>
          <w:rFonts w:ascii="Times New Roman" w:hAnsi="Times New Roman" w:cs="Times New Roman"/>
          <w:sz w:val="15"/>
        </w:rPr>
        <w:t>, standard deviation.</w:t>
      </w:r>
    </w:p>
    <w:tbl>
      <w:tblPr>
        <w:tblW w:w="0" w:type="auto"/>
        <w:jc w:val="center"/>
        <w:tblLayout w:type="fixed"/>
        <w:tblLook w:val="04A0" w:firstRow="1" w:lastRow="0" w:firstColumn="1" w:lastColumn="0" w:noHBand="0" w:noVBand="1"/>
      </w:tblPr>
      <w:tblGrid>
        <w:gridCol w:w="2952"/>
        <w:gridCol w:w="1469"/>
        <w:gridCol w:w="1642"/>
        <w:gridCol w:w="1642"/>
        <w:gridCol w:w="1728"/>
      </w:tblGrid>
      <w:tr w:rsidR="000709F1" w:rsidRPr="000F6719" w14:paraId="2B786E99" w14:textId="77777777" w:rsidTr="004762C3">
        <w:trPr>
          <w:jc w:val="center"/>
        </w:trPr>
        <w:tc>
          <w:tcPr>
            <w:tcW w:w="2952" w:type="dxa"/>
            <w:tcBorders>
              <w:top w:val="single" w:sz="8" w:space="0" w:color="333333"/>
            </w:tcBorders>
            <w:shd w:val="clear" w:color="auto" w:fill="FFFFFF"/>
          </w:tcPr>
          <w:p w14:paraId="003188E7" w14:textId="77777777" w:rsidR="000709F1" w:rsidRPr="000F6719" w:rsidRDefault="000709F1" w:rsidP="004762C3">
            <w:pPr>
              <w:spacing w:before="24" w:after="24"/>
              <w:rPr>
                <w:rFonts w:ascii="Times New Roman" w:hAnsi="Times New Roman" w:cs="Times New Roman"/>
              </w:rPr>
            </w:pPr>
          </w:p>
        </w:tc>
        <w:tc>
          <w:tcPr>
            <w:tcW w:w="1642" w:type="dxa"/>
            <w:gridSpan w:val="2"/>
            <w:tcBorders>
              <w:top w:val="single" w:sz="8" w:space="0" w:color="333333"/>
              <w:bottom w:val="single" w:sz="8" w:space="0" w:color="333333"/>
            </w:tcBorders>
            <w:shd w:val="clear" w:color="auto" w:fill="FFFFFF"/>
          </w:tcPr>
          <w:p w14:paraId="075DB6A0" w14:textId="77777777" w:rsidR="000709F1" w:rsidRPr="000F6719" w:rsidRDefault="000709F1" w:rsidP="004762C3">
            <w:pPr>
              <w:spacing w:before="24" w:after="24"/>
              <w:jc w:val="center"/>
              <w:rPr>
                <w:rFonts w:ascii="Times New Roman" w:hAnsi="Times New Roman" w:cs="Times New Roman"/>
              </w:rPr>
            </w:pPr>
            <w:r w:rsidRPr="000F6719">
              <w:rPr>
                <w:rFonts w:ascii="Times New Roman" w:hAnsi="Times New Roman" w:cs="Times New Roman"/>
                <w:b/>
                <w:color w:val="000000"/>
                <w:sz w:val="14"/>
              </w:rPr>
              <w:t>All of Us</w:t>
            </w:r>
          </w:p>
        </w:tc>
        <w:tc>
          <w:tcPr>
            <w:tcW w:w="1728" w:type="dxa"/>
            <w:gridSpan w:val="2"/>
            <w:tcBorders>
              <w:top w:val="single" w:sz="8" w:space="0" w:color="333333"/>
              <w:bottom w:val="single" w:sz="8" w:space="0" w:color="333333"/>
            </w:tcBorders>
            <w:shd w:val="clear" w:color="auto" w:fill="FFFFFF"/>
          </w:tcPr>
          <w:p w14:paraId="3133CE27" w14:textId="77777777" w:rsidR="000709F1" w:rsidRPr="000F6719" w:rsidRDefault="000709F1" w:rsidP="004762C3">
            <w:pPr>
              <w:spacing w:before="24" w:after="24"/>
              <w:jc w:val="center"/>
              <w:rPr>
                <w:rFonts w:ascii="Times New Roman" w:hAnsi="Times New Roman" w:cs="Times New Roman"/>
              </w:rPr>
            </w:pPr>
            <w:r w:rsidRPr="000F6719">
              <w:rPr>
                <w:rFonts w:ascii="Times New Roman" w:hAnsi="Times New Roman" w:cs="Times New Roman"/>
                <w:b/>
                <w:color w:val="000000"/>
                <w:sz w:val="14"/>
              </w:rPr>
              <w:t>MarketScanᶜ</w:t>
            </w:r>
          </w:p>
        </w:tc>
      </w:tr>
      <w:tr w:rsidR="000709F1" w:rsidRPr="000F6719" w14:paraId="38F9D487" w14:textId="77777777" w:rsidTr="004762C3">
        <w:trPr>
          <w:jc w:val="center"/>
        </w:trPr>
        <w:tc>
          <w:tcPr>
            <w:tcW w:w="2952" w:type="dxa"/>
            <w:tcBorders>
              <w:bottom w:val="single" w:sz="8" w:space="0" w:color="333333"/>
            </w:tcBorders>
            <w:shd w:val="clear" w:color="auto" w:fill="FFFFFF"/>
          </w:tcPr>
          <w:p w14:paraId="4637B644" w14:textId="77777777" w:rsidR="000709F1" w:rsidRPr="000F6719" w:rsidRDefault="000709F1" w:rsidP="004762C3">
            <w:pPr>
              <w:spacing w:before="24" w:after="24"/>
              <w:rPr>
                <w:rFonts w:ascii="Times New Roman" w:hAnsi="Times New Roman" w:cs="Times New Roman"/>
              </w:rPr>
            </w:pPr>
            <w:r w:rsidRPr="000F6719">
              <w:rPr>
                <w:rFonts w:ascii="Times New Roman" w:hAnsi="Times New Roman" w:cs="Times New Roman"/>
                <w:b/>
                <w:color w:val="000000"/>
                <w:sz w:val="14"/>
              </w:rPr>
              <w:t>Characteristic</w:t>
            </w:r>
          </w:p>
        </w:tc>
        <w:tc>
          <w:tcPr>
            <w:tcW w:w="1469" w:type="dxa"/>
            <w:tcBorders>
              <w:bottom w:val="single" w:sz="8" w:space="0" w:color="333333"/>
            </w:tcBorders>
            <w:shd w:val="clear" w:color="auto" w:fill="FFFFFF"/>
          </w:tcPr>
          <w:p w14:paraId="62582641"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b/>
                <w:color w:val="000000"/>
                <w:sz w:val="14"/>
              </w:rPr>
              <w:t>Cases</w:t>
            </w:r>
          </w:p>
        </w:tc>
        <w:tc>
          <w:tcPr>
            <w:tcW w:w="1642" w:type="dxa"/>
            <w:tcBorders>
              <w:bottom w:val="single" w:sz="8" w:space="0" w:color="333333"/>
            </w:tcBorders>
            <w:shd w:val="clear" w:color="auto" w:fill="FFFFFF"/>
          </w:tcPr>
          <w:p w14:paraId="6AC08226"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b/>
                <w:color w:val="000000"/>
                <w:sz w:val="14"/>
              </w:rPr>
              <w:t>Controls</w:t>
            </w:r>
          </w:p>
        </w:tc>
        <w:tc>
          <w:tcPr>
            <w:tcW w:w="1642" w:type="dxa"/>
            <w:tcBorders>
              <w:bottom w:val="single" w:sz="8" w:space="0" w:color="333333"/>
            </w:tcBorders>
            <w:shd w:val="clear" w:color="auto" w:fill="FFFFFF"/>
          </w:tcPr>
          <w:p w14:paraId="764DD347"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b/>
                <w:color w:val="000000"/>
                <w:sz w:val="14"/>
              </w:rPr>
              <w:t>Cases</w:t>
            </w:r>
          </w:p>
        </w:tc>
        <w:tc>
          <w:tcPr>
            <w:tcW w:w="1728" w:type="dxa"/>
            <w:tcBorders>
              <w:bottom w:val="single" w:sz="8" w:space="0" w:color="333333"/>
            </w:tcBorders>
            <w:shd w:val="clear" w:color="auto" w:fill="FFFFFF"/>
          </w:tcPr>
          <w:p w14:paraId="22AF4514"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b/>
                <w:color w:val="000000"/>
                <w:sz w:val="14"/>
              </w:rPr>
              <w:t>Controls</w:t>
            </w:r>
          </w:p>
        </w:tc>
      </w:tr>
      <w:tr w:rsidR="000709F1" w:rsidRPr="000F6719" w14:paraId="771FA865" w14:textId="77777777" w:rsidTr="004762C3">
        <w:trPr>
          <w:jc w:val="center"/>
        </w:trPr>
        <w:tc>
          <w:tcPr>
            <w:tcW w:w="2952" w:type="dxa"/>
            <w:shd w:val="clear" w:color="auto" w:fill="FFFFFF"/>
          </w:tcPr>
          <w:p w14:paraId="635B04B9" w14:textId="77777777" w:rsidR="000709F1" w:rsidRPr="000F6719" w:rsidRDefault="000709F1" w:rsidP="004762C3">
            <w:pPr>
              <w:spacing w:before="24" w:after="24"/>
              <w:rPr>
                <w:rFonts w:ascii="Times New Roman" w:hAnsi="Times New Roman" w:cs="Times New Roman"/>
              </w:rPr>
            </w:pPr>
            <w:r w:rsidRPr="000F6719">
              <w:rPr>
                <w:rFonts w:ascii="Times New Roman" w:hAnsi="Times New Roman" w:cs="Times New Roman"/>
                <w:color w:val="000000"/>
                <w:sz w:val="14"/>
              </w:rPr>
              <w:t>N</w:t>
            </w:r>
          </w:p>
        </w:tc>
        <w:tc>
          <w:tcPr>
            <w:tcW w:w="1469" w:type="dxa"/>
            <w:shd w:val="clear" w:color="auto" w:fill="FFFFFF"/>
          </w:tcPr>
          <w:p w14:paraId="35D12A90"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4,064</w:t>
            </w:r>
          </w:p>
        </w:tc>
        <w:tc>
          <w:tcPr>
            <w:tcW w:w="1642" w:type="dxa"/>
            <w:shd w:val="clear" w:color="auto" w:fill="FFFFFF"/>
          </w:tcPr>
          <w:p w14:paraId="345AABBB"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15,856</w:t>
            </w:r>
          </w:p>
        </w:tc>
        <w:tc>
          <w:tcPr>
            <w:tcW w:w="1642" w:type="dxa"/>
            <w:shd w:val="clear" w:color="auto" w:fill="FFFFFF"/>
          </w:tcPr>
          <w:p w14:paraId="157B0179"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139,468</w:t>
            </w:r>
          </w:p>
        </w:tc>
        <w:tc>
          <w:tcPr>
            <w:tcW w:w="1728" w:type="dxa"/>
            <w:shd w:val="clear" w:color="auto" w:fill="FFFFFF"/>
          </w:tcPr>
          <w:p w14:paraId="2AF43EF3"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554,214</w:t>
            </w:r>
          </w:p>
        </w:tc>
      </w:tr>
      <w:tr w:rsidR="000709F1" w:rsidRPr="000F6719" w14:paraId="31425FAC" w14:textId="77777777" w:rsidTr="004762C3">
        <w:trPr>
          <w:jc w:val="center"/>
        </w:trPr>
        <w:tc>
          <w:tcPr>
            <w:tcW w:w="2952" w:type="dxa"/>
            <w:shd w:val="clear" w:color="auto" w:fill="FFFFFF"/>
          </w:tcPr>
          <w:p w14:paraId="148C2CC5" w14:textId="77777777" w:rsidR="000709F1" w:rsidRPr="000F6719" w:rsidRDefault="000709F1" w:rsidP="004762C3">
            <w:pPr>
              <w:spacing w:before="24" w:after="24"/>
              <w:rPr>
                <w:rFonts w:ascii="Times New Roman" w:hAnsi="Times New Roman" w:cs="Times New Roman"/>
              </w:rPr>
            </w:pPr>
            <w:r w:rsidRPr="000F6719">
              <w:rPr>
                <w:rFonts w:ascii="Times New Roman" w:hAnsi="Times New Roman" w:cs="Times New Roman"/>
                <w:b/>
                <w:color w:val="000000"/>
                <w:sz w:val="14"/>
              </w:rPr>
              <w:t>Sex</w:t>
            </w:r>
          </w:p>
        </w:tc>
        <w:tc>
          <w:tcPr>
            <w:tcW w:w="1469" w:type="dxa"/>
            <w:shd w:val="clear" w:color="auto" w:fill="FFFFFF"/>
          </w:tcPr>
          <w:p w14:paraId="609E41A1" w14:textId="77777777" w:rsidR="000709F1" w:rsidRPr="000F6719" w:rsidRDefault="000709F1" w:rsidP="004762C3">
            <w:pPr>
              <w:spacing w:before="24" w:after="24"/>
              <w:jc w:val="right"/>
              <w:rPr>
                <w:rFonts w:ascii="Times New Roman" w:hAnsi="Times New Roman" w:cs="Times New Roman"/>
              </w:rPr>
            </w:pPr>
          </w:p>
        </w:tc>
        <w:tc>
          <w:tcPr>
            <w:tcW w:w="1642" w:type="dxa"/>
            <w:shd w:val="clear" w:color="auto" w:fill="FFFFFF"/>
          </w:tcPr>
          <w:p w14:paraId="3248A2F1" w14:textId="77777777" w:rsidR="000709F1" w:rsidRPr="000F6719" w:rsidRDefault="000709F1" w:rsidP="004762C3">
            <w:pPr>
              <w:spacing w:before="24" w:after="24"/>
              <w:jc w:val="right"/>
              <w:rPr>
                <w:rFonts w:ascii="Times New Roman" w:hAnsi="Times New Roman" w:cs="Times New Roman"/>
              </w:rPr>
            </w:pPr>
          </w:p>
        </w:tc>
        <w:tc>
          <w:tcPr>
            <w:tcW w:w="1642" w:type="dxa"/>
            <w:shd w:val="clear" w:color="auto" w:fill="FFFFFF"/>
          </w:tcPr>
          <w:p w14:paraId="279FCF25" w14:textId="77777777" w:rsidR="000709F1" w:rsidRPr="000F6719" w:rsidRDefault="000709F1" w:rsidP="004762C3">
            <w:pPr>
              <w:spacing w:before="24" w:after="24"/>
              <w:jc w:val="right"/>
              <w:rPr>
                <w:rFonts w:ascii="Times New Roman" w:hAnsi="Times New Roman" w:cs="Times New Roman"/>
              </w:rPr>
            </w:pPr>
          </w:p>
        </w:tc>
        <w:tc>
          <w:tcPr>
            <w:tcW w:w="1728" w:type="dxa"/>
            <w:shd w:val="clear" w:color="auto" w:fill="FFFFFF"/>
          </w:tcPr>
          <w:p w14:paraId="38DA7EE1" w14:textId="77777777" w:rsidR="000709F1" w:rsidRPr="000F6719" w:rsidRDefault="000709F1" w:rsidP="004762C3">
            <w:pPr>
              <w:spacing w:before="24" w:after="24"/>
              <w:jc w:val="right"/>
              <w:rPr>
                <w:rFonts w:ascii="Times New Roman" w:hAnsi="Times New Roman" w:cs="Times New Roman"/>
              </w:rPr>
            </w:pPr>
          </w:p>
        </w:tc>
      </w:tr>
      <w:tr w:rsidR="000709F1" w:rsidRPr="000F6719" w14:paraId="3F1AE661" w14:textId="77777777" w:rsidTr="004762C3">
        <w:trPr>
          <w:jc w:val="center"/>
        </w:trPr>
        <w:tc>
          <w:tcPr>
            <w:tcW w:w="2952" w:type="dxa"/>
            <w:shd w:val="clear" w:color="auto" w:fill="FFFFFF"/>
          </w:tcPr>
          <w:p w14:paraId="5A5D0C78" w14:textId="77777777" w:rsidR="000709F1" w:rsidRPr="000F6719" w:rsidRDefault="000709F1"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Female</w:t>
            </w:r>
          </w:p>
        </w:tc>
        <w:tc>
          <w:tcPr>
            <w:tcW w:w="1469" w:type="dxa"/>
            <w:shd w:val="clear" w:color="auto" w:fill="FFFFFF"/>
          </w:tcPr>
          <w:p w14:paraId="3EB44045"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2,441 (60.1)</w:t>
            </w:r>
          </w:p>
        </w:tc>
        <w:tc>
          <w:tcPr>
            <w:tcW w:w="1642" w:type="dxa"/>
            <w:shd w:val="clear" w:color="auto" w:fill="FFFFFF"/>
          </w:tcPr>
          <w:p w14:paraId="24126764"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10,834 (68.3)</w:t>
            </w:r>
          </w:p>
        </w:tc>
        <w:tc>
          <w:tcPr>
            <w:tcW w:w="1642" w:type="dxa"/>
            <w:shd w:val="clear" w:color="auto" w:fill="FFFFFF"/>
          </w:tcPr>
          <w:p w14:paraId="71153660"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67,914 (48.7)</w:t>
            </w:r>
          </w:p>
        </w:tc>
        <w:tc>
          <w:tcPr>
            <w:tcW w:w="1728" w:type="dxa"/>
            <w:shd w:val="clear" w:color="auto" w:fill="FFFFFF"/>
          </w:tcPr>
          <w:p w14:paraId="55D3F2EA"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375,330 (67.7)</w:t>
            </w:r>
          </w:p>
        </w:tc>
      </w:tr>
      <w:tr w:rsidR="000709F1" w:rsidRPr="000F6719" w14:paraId="2416C595" w14:textId="77777777" w:rsidTr="004762C3">
        <w:trPr>
          <w:jc w:val="center"/>
        </w:trPr>
        <w:tc>
          <w:tcPr>
            <w:tcW w:w="2952" w:type="dxa"/>
            <w:shd w:val="clear" w:color="auto" w:fill="FFFFFF"/>
          </w:tcPr>
          <w:p w14:paraId="0604FC3F" w14:textId="77777777" w:rsidR="000709F1" w:rsidRPr="000F6719" w:rsidRDefault="000709F1"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Male</w:t>
            </w:r>
          </w:p>
        </w:tc>
        <w:tc>
          <w:tcPr>
            <w:tcW w:w="1469" w:type="dxa"/>
            <w:shd w:val="clear" w:color="auto" w:fill="FFFFFF"/>
          </w:tcPr>
          <w:p w14:paraId="084DAAAC"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1,586 (39.0)</w:t>
            </w:r>
          </w:p>
        </w:tc>
        <w:tc>
          <w:tcPr>
            <w:tcW w:w="1642" w:type="dxa"/>
            <w:shd w:val="clear" w:color="auto" w:fill="FFFFFF"/>
          </w:tcPr>
          <w:p w14:paraId="26993B4A"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4,854 (30.6)</w:t>
            </w:r>
          </w:p>
        </w:tc>
        <w:tc>
          <w:tcPr>
            <w:tcW w:w="1642" w:type="dxa"/>
            <w:shd w:val="clear" w:color="auto" w:fill="FFFFFF"/>
          </w:tcPr>
          <w:p w14:paraId="5F843F34"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71,554 (51.3)</w:t>
            </w:r>
          </w:p>
        </w:tc>
        <w:tc>
          <w:tcPr>
            <w:tcW w:w="1728" w:type="dxa"/>
            <w:shd w:val="clear" w:color="auto" w:fill="FFFFFF"/>
          </w:tcPr>
          <w:p w14:paraId="6F798601"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178,884 (32.3)</w:t>
            </w:r>
          </w:p>
        </w:tc>
      </w:tr>
      <w:tr w:rsidR="000709F1" w:rsidRPr="000F6719" w14:paraId="5A48BE6B" w14:textId="77777777" w:rsidTr="004762C3">
        <w:trPr>
          <w:jc w:val="center"/>
        </w:trPr>
        <w:tc>
          <w:tcPr>
            <w:tcW w:w="2952" w:type="dxa"/>
            <w:shd w:val="clear" w:color="auto" w:fill="FFFFFF"/>
          </w:tcPr>
          <w:p w14:paraId="18A6AA4A" w14:textId="77777777" w:rsidR="000709F1" w:rsidRPr="000F6719" w:rsidRDefault="000709F1"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Other</w:t>
            </w:r>
          </w:p>
        </w:tc>
        <w:tc>
          <w:tcPr>
            <w:tcW w:w="1469" w:type="dxa"/>
            <w:shd w:val="clear" w:color="auto" w:fill="FFFFFF"/>
          </w:tcPr>
          <w:p w14:paraId="4CDFA576"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37 (0.9)</w:t>
            </w:r>
          </w:p>
        </w:tc>
        <w:tc>
          <w:tcPr>
            <w:tcW w:w="1642" w:type="dxa"/>
            <w:shd w:val="clear" w:color="auto" w:fill="FFFFFF"/>
          </w:tcPr>
          <w:p w14:paraId="3ADB6BC5"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168 (1.1)</w:t>
            </w:r>
          </w:p>
        </w:tc>
        <w:tc>
          <w:tcPr>
            <w:tcW w:w="1642" w:type="dxa"/>
            <w:shd w:val="clear" w:color="auto" w:fill="FFFFFF"/>
          </w:tcPr>
          <w:p w14:paraId="0EC23E7C"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&lt;20</w:t>
            </w:r>
          </w:p>
        </w:tc>
        <w:tc>
          <w:tcPr>
            <w:tcW w:w="1728" w:type="dxa"/>
            <w:shd w:val="clear" w:color="auto" w:fill="FFFFFF"/>
          </w:tcPr>
          <w:p w14:paraId="4CE3CD53"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&lt;20</w:t>
            </w:r>
          </w:p>
        </w:tc>
      </w:tr>
      <w:tr w:rsidR="000709F1" w:rsidRPr="000F6719" w14:paraId="7D60A9A0" w14:textId="77777777" w:rsidTr="004762C3">
        <w:trPr>
          <w:jc w:val="center"/>
        </w:trPr>
        <w:tc>
          <w:tcPr>
            <w:tcW w:w="2952" w:type="dxa"/>
            <w:shd w:val="clear" w:color="auto" w:fill="FFFFFF"/>
          </w:tcPr>
          <w:p w14:paraId="33BE03D6" w14:textId="77777777" w:rsidR="000709F1" w:rsidRPr="000F6719" w:rsidRDefault="000709F1" w:rsidP="004762C3">
            <w:pPr>
              <w:spacing w:before="24" w:after="24"/>
              <w:rPr>
                <w:rFonts w:ascii="Times New Roman" w:hAnsi="Times New Roman" w:cs="Times New Roman"/>
              </w:rPr>
            </w:pPr>
            <w:r w:rsidRPr="000F6719">
              <w:rPr>
                <w:rFonts w:ascii="Times New Roman" w:hAnsi="Times New Roman" w:cs="Times New Roman"/>
                <w:b/>
                <w:color w:val="000000"/>
                <w:sz w:val="14"/>
              </w:rPr>
              <w:t>Race</w:t>
            </w:r>
          </w:p>
        </w:tc>
        <w:tc>
          <w:tcPr>
            <w:tcW w:w="1469" w:type="dxa"/>
            <w:shd w:val="clear" w:color="auto" w:fill="FFFFFF"/>
          </w:tcPr>
          <w:p w14:paraId="1BA5F0FA" w14:textId="77777777" w:rsidR="000709F1" w:rsidRPr="000F6719" w:rsidRDefault="000709F1" w:rsidP="004762C3">
            <w:pPr>
              <w:spacing w:before="24" w:after="24"/>
              <w:jc w:val="right"/>
              <w:rPr>
                <w:rFonts w:ascii="Times New Roman" w:hAnsi="Times New Roman" w:cs="Times New Roman"/>
              </w:rPr>
            </w:pPr>
          </w:p>
        </w:tc>
        <w:tc>
          <w:tcPr>
            <w:tcW w:w="1642" w:type="dxa"/>
            <w:shd w:val="clear" w:color="auto" w:fill="FFFFFF"/>
          </w:tcPr>
          <w:p w14:paraId="481A5E31" w14:textId="77777777" w:rsidR="000709F1" w:rsidRPr="000F6719" w:rsidRDefault="000709F1" w:rsidP="004762C3">
            <w:pPr>
              <w:spacing w:before="24" w:after="24"/>
              <w:jc w:val="right"/>
              <w:rPr>
                <w:rFonts w:ascii="Times New Roman" w:hAnsi="Times New Roman" w:cs="Times New Roman"/>
              </w:rPr>
            </w:pPr>
          </w:p>
        </w:tc>
        <w:tc>
          <w:tcPr>
            <w:tcW w:w="1642" w:type="dxa"/>
            <w:shd w:val="clear" w:color="auto" w:fill="FFFFFF"/>
          </w:tcPr>
          <w:p w14:paraId="369C608F" w14:textId="77777777" w:rsidR="000709F1" w:rsidRPr="000F6719" w:rsidRDefault="000709F1" w:rsidP="004762C3">
            <w:pPr>
              <w:spacing w:before="24" w:after="24"/>
              <w:jc w:val="right"/>
              <w:rPr>
                <w:rFonts w:ascii="Times New Roman" w:hAnsi="Times New Roman" w:cs="Times New Roman"/>
              </w:rPr>
            </w:pPr>
          </w:p>
        </w:tc>
        <w:tc>
          <w:tcPr>
            <w:tcW w:w="1728" w:type="dxa"/>
            <w:shd w:val="clear" w:color="auto" w:fill="FFFFFF"/>
          </w:tcPr>
          <w:p w14:paraId="283110DD" w14:textId="77777777" w:rsidR="000709F1" w:rsidRPr="000F6719" w:rsidRDefault="000709F1" w:rsidP="004762C3">
            <w:pPr>
              <w:spacing w:before="24" w:after="24"/>
              <w:jc w:val="right"/>
              <w:rPr>
                <w:rFonts w:ascii="Times New Roman" w:hAnsi="Times New Roman" w:cs="Times New Roman"/>
              </w:rPr>
            </w:pPr>
          </w:p>
        </w:tc>
      </w:tr>
      <w:tr w:rsidR="000709F1" w:rsidRPr="000F6719" w14:paraId="12F356E3" w14:textId="77777777" w:rsidTr="004762C3">
        <w:trPr>
          <w:jc w:val="center"/>
        </w:trPr>
        <w:tc>
          <w:tcPr>
            <w:tcW w:w="2952" w:type="dxa"/>
            <w:shd w:val="clear" w:color="auto" w:fill="FFFFFF"/>
          </w:tcPr>
          <w:p w14:paraId="005859F0" w14:textId="77777777" w:rsidR="000709F1" w:rsidRPr="000F6719" w:rsidRDefault="000709F1"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White</w:t>
            </w:r>
          </w:p>
        </w:tc>
        <w:tc>
          <w:tcPr>
            <w:tcW w:w="1469" w:type="dxa"/>
            <w:shd w:val="clear" w:color="auto" w:fill="FFFFFF"/>
          </w:tcPr>
          <w:p w14:paraId="587EF493"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1,726 (42.5)</w:t>
            </w:r>
          </w:p>
        </w:tc>
        <w:tc>
          <w:tcPr>
            <w:tcW w:w="1642" w:type="dxa"/>
            <w:shd w:val="clear" w:color="auto" w:fill="FFFFFF"/>
          </w:tcPr>
          <w:p w14:paraId="19798193"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8,644 (54.5)</w:t>
            </w:r>
          </w:p>
        </w:tc>
        <w:tc>
          <w:tcPr>
            <w:tcW w:w="1642" w:type="dxa"/>
            <w:shd w:val="clear" w:color="auto" w:fill="FFFFFF"/>
          </w:tcPr>
          <w:p w14:paraId="656CA1EB"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NA</w:t>
            </w:r>
          </w:p>
        </w:tc>
        <w:tc>
          <w:tcPr>
            <w:tcW w:w="1728" w:type="dxa"/>
            <w:shd w:val="clear" w:color="auto" w:fill="FFFFFF"/>
          </w:tcPr>
          <w:p w14:paraId="138C9315"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NA</w:t>
            </w:r>
          </w:p>
        </w:tc>
      </w:tr>
      <w:tr w:rsidR="000709F1" w:rsidRPr="000F6719" w14:paraId="245569D7" w14:textId="77777777" w:rsidTr="004762C3">
        <w:trPr>
          <w:jc w:val="center"/>
        </w:trPr>
        <w:tc>
          <w:tcPr>
            <w:tcW w:w="2952" w:type="dxa"/>
            <w:shd w:val="clear" w:color="auto" w:fill="FFFFFF"/>
          </w:tcPr>
          <w:p w14:paraId="1C58F62B" w14:textId="77777777" w:rsidR="000709F1" w:rsidRPr="000F6719" w:rsidRDefault="000709F1"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Black</w:t>
            </w:r>
          </w:p>
        </w:tc>
        <w:tc>
          <w:tcPr>
            <w:tcW w:w="1469" w:type="dxa"/>
            <w:shd w:val="clear" w:color="auto" w:fill="FFFFFF"/>
          </w:tcPr>
          <w:p w14:paraId="1BE88FD6"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1,217 (29.9)</w:t>
            </w:r>
          </w:p>
        </w:tc>
        <w:tc>
          <w:tcPr>
            <w:tcW w:w="1642" w:type="dxa"/>
            <w:shd w:val="clear" w:color="auto" w:fill="FFFFFF"/>
          </w:tcPr>
          <w:p w14:paraId="43E2D1C5"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2,833 (17.9)</w:t>
            </w:r>
          </w:p>
        </w:tc>
        <w:tc>
          <w:tcPr>
            <w:tcW w:w="1642" w:type="dxa"/>
            <w:shd w:val="clear" w:color="auto" w:fill="FFFFFF"/>
          </w:tcPr>
          <w:p w14:paraId="6F9641EA"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NA</w:t>
            </w:r>
          </w:p>
        </w:tc>
        <w:tc>
          <w:tcPr>
            <w:tcW w:w="1728" w:type="dxa"/>
            <w:shd w:val="clear" w:color="auto" w:fill="FFFFFF"/>
          </w:tcPr>
          <w:p w14:paraId="726B958E"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NA</w:t>
            </w:r>
          </w:p>
        </w:tc>
      </w:tr>
      <w:tr w:rsidR="000709F1" w:rsidRPr="000F6719" w14:paraId="09C9291F" w14:textId="77777777" w:rsidTr="004762C3">
        <w:trPr>
          <w:jc w:val="center"/>
        </w:trPr>
        <w:tc>
          <w:tcPr>
            <w:tcW w:w="2952" w:type="dxa"/>
            <w:shd w:val="clear" w:color="auto" w:fill="FFFFFF"/>
          </w:tcPr>
          <w:p w14:paraId="7BCA1D51" w14:textId="77777777" w:rsidR="000709F1" w:rsidRPr="000F6719" w:rsidRDefault="000709F1"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Asian</w:t>
            </w:r>
          </w:p>
        </w:tc>
        <w:tc>
          <w:tcPr>
            <w:tcW w:w="1469" w:type="dxa"/>
            <w:shd w:val="clear" w:color="auto" w:fill="FFFFFF"/>
          </w:tcPr>
          <w:p w14:paraId="13D39FD2"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62 (1.5)</w:t>
            </w:r>
          </w:p>
        </w:tc>
        <w:tc>
          <w:tcPr>
            <w:tcW w:w="1642" w:type="dxa"/>
            <w:shd w:val="clear" w:color="auto" w:fill="FFFFFF"/>
          </w:tcPr>
          <w:p w14:paraId="38A6E447"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260 (1.6)</w:t>
            </w:r>
          </w:p>
        </w:tc>
        <w:tc>
          <w:tcPr>
            <w:tcW w:w="1642" w:type="dxa"/>
            <w:shd w:val="clear" w:color="auto" w:fill="FFFFFF"/>
          </w:tcPr>
          <w:p w14:paraId="759038FA"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NA</w:t>
            </w:r>
          </w:p>
        </w:tc>
        <w:tc>
          <w:tcPr>
            <w:tcW w:w="1728" w:type="dxa"/>
            <w:shd w:val="clear" w:color="auto" w:fill="FFFFFF"/>
          </w:tcPr>
          <w:p w14:paraId="38E6D013"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NA</w:t>
            </w:r>
          </w:p>
        </w:tc>
      </w:tr>
      <w:tr w:rsidR="000709F1" w:rsidRPr="000F6719" w14:paraId="4DB237FA" w14:textId="77777777" w:rsidTr="004762C3">
        <w:trPr>
          <w:jc w:val="center"/>
        </w:trPr>
        <w:tc>
          <w:tcPr>
            <w:tcW w:w="2952" w:type="dxa"/>
            <w:shd w:val="clear" w:color="auto" w:fill="FFFFFF"/>
          </w:tcPr>
          <w:p w14:paraId="053B30EE" w14:textId="77777777" w:rsidR="000709F1" w:rsidRPr="000F6719" w:rsidRDefault="000709F1"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Other</w:t>
            </w:r>
          </w:p>
        </w:tc>
        <w:tc>
          <w:tcPr>
            <w:tcW w:w="1469" w:type="dxa"/>
            <w:shd w:val="clear" w:color="auto" w:fill="FFFFFF"/>
          </w:tcPr>
          <w:p w14:paraId="4AD0C372"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1,059 (26.1)</w:t>
            </w:r>
          </w:p>
        </w:tc>
        <w:tc>
          <w:tcPr>
            <w:tcW w:w="1642" w:type="dxa"/>
            <w:shd w:val="clear" w:color="auto" w:fill="FFFFFF"/>
          </w:tcPr>
          <w:p w14:paraId="45E6D3F7"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4,119 (26.0)</w:t>
            </w:r>
          </w:p>
        </w:tc>
        <w:tc>
          <w:tcPr>
            <w:tcW w:w="1642" w:type="dxa"/>
            <w:shd w:val="clear" w:color="auto" w:fill="FFFFFF"/>
          </w:tcPr>
          <w:p w14:paraId="435E859E"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NA</w:t>
            </w:r>
          </w:p>
        </w:tc>
        <w:tc>
          <w:tcPr>
            <w:tcW w:w="1728" w:type="dxa"/>
            <w:shd w:val="clear" w:color="auto" w:fill="FFFFFF"/>
          </w:tcPr>
          <w:p w14:paraId="1C38E4E7"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NA</w:t>
            </w:r>
          </w:p>
        </w:tc>
      </w:tr>
      <w:tr w:rsidR="000709F1" w:rsidRPr="000F6719" w14:paraId="262DE56B" w14:textId="77777777" w:rsidTr="004762C3">
        <w:trPr>
          <w:jc w:val="center"/>
        </w:trPr>
        <w:tc>
          <w:tcPr>
            <w:tcW w:w="2952" w:type="dxa"/>
            <w:shd w:val="clear" w:color="auto" w:fill="FFFFFF"/>
          </w:tcPr>
          <w:p w14:paraId="491A454A" w14:textId="77777777" w:rsidR="000709F1" w:rsidRPr="000F6719" w:rsidRDefault="000709F1" w:rsidP="004762C3">
            <w:pPr>
              <w:spacing w:before="24" w:after="24"/>
              <w:rPr>
                <w:rFonts w:ascii="Times New Roman" w:hAnsi="Times New Roman" w:cs="Times New Roman"/>
              </w:rPr>
            </w:pPr>
            <w:r w:rsidRPr="000F6719">
              <w:rPr>
                <w:rFonts w:ascii="Times New Roman" w:hAnsi="Times New Roman" w:cs="Times New Roman"/>
                <w:b/>
                <w:color w:val="000000"/>
                <w:sz w:val="14"/>
              </w:rPr>
              <w:t>Ethnicity</w:t>
            </w:r>
          </w:p>
        </w:tc>
        <w:tc>
          <w:tcPr>
            <w:tcW w:w="1469" w:type="dxa"/>
            <w:shd w:val="clear" w:color="auto" w:fill="FFFFFF"/>
          </w:tcPr>
          <w:p w14:paraId="0FE10F10" w14:textId="77777777" w:rsidR="000709F1" w:rsidRPr="000F6719" w:rsidRDefault="000709F1" w:rsidP="004762C3">
            <w:pPr>
              <w:spacing w:before="24" w:after="24"/>
              <w:jc w:val="right"/>
              <w:rPr>
                <w:rFonts w:ascii="Times New Roman" w:hAnsi="Times New Roman" w:cs="Times New Roman"/>
              </w:rPr>
            </w:pPr>
          </w:p>
        </w:tc>
        <w:tc>
          <w:tcPr>
            <w:tcW w:w="1642" w:type="dxa"/>
            <w:shd w:val="clear" w:color="auto" w:fill="FFFFFF"/>
          </w:tcPr>
          <w:p w14:paraId="480B90DC" w14:textId="77777777" w:rsidR="000709F1" w:rsidRPr="000F6719" w:rsidRDefault="000709F1" w:rsidP="004762C3">
            <w:pPr>
              <w:spacing w:before="24" w:after="24"/>
              <w:jc w:val="right"/>
              <w:rPr>
                <w:rFonts w:ascii="Times New Roman" w:hAnsi="Times New Roman" w:cs="Times New Roman"/>
              </w:rPr>
            </w:pPr>
          </w:p>
        </w:tc>
        <w:tc>
          <w:tcPr>
            <w:tcW w:w="1642" w:type="dxa"/>
            <w:shd w:val="clear" w:color="auto" w:fill="FFFFFF"/>
          </w:tcPr>
          <w:p w14:paraId="7EC11CAA" w14:textId="77777777" w:rsidR="000709F1" w:rsidRPr="000F6719" w:rsidRDefault="000709F1" w:rsidP="004762C3">
            <w:pPr>
              <w:spacing w:before="24" w:after="24"/>
              <w:jc w:val="right"/>
              <w:rPr>
                <w:rFonts w:ascii="Times New Roman" w:hAnsi="Times New Roman" w:cs="Times New Roman"/>
              </w:rPr>
            </w:pPr>
          </w:p>
        </w:tc>
        <w:tc>
          <w:tcPr>
            <w:tcW w:w="1728" w:type="dxa"/>
            <w:shd w:val="clear" w:color="auto" w:fill="FFFFFF"/>
          </w:tcPr>
          <w:p w14:paraId="5175904E" w14:textId="77777777" w:rsidR="000709F1" w:rsidRPr="000F6719" w:rsidRDefault="000709F1" w:rsidP="004762C3">
            <w:pPr>
              <w:spacing w:before="24" w:after="24"/>
              <w:jc w:val="right"/>
              <w:rPr>
                <w:rFonts w:ascii="Times New Roman" w:hAnsi="Times New Roman" w:cs="Times New Roman"/>
              </w:rPr>
            </w:pPr>
          </w:p>
        </w:tc>
      </w:tr>
      <w:tr w:rsidR="000709F1" w:rsidRPr="000F6719" w14:paraId="7B1B7DCE" w14:textId="77777777" w:rsidTr="004762C3">
        <w:trPr>
          <w:jc w:val="center"/>
        </w:trPr>
        <w:tc>
          <w:tcPr>
            <w:tcW w:w="2952" w:type="dxa"/>
            <w:shd w:val="clear" w:color="auto" w:fill="FFFFFF"/>
          </w:tcPr>
          <w:p w14:paraId="49C6EE9F" w14:textId="77777777" w:rsidR="000709F1" w:rsidRPr="000F6719" w:rsidRDefault="000709F1"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Not Hispanic</w:t>
            </w:r>
          </w:p>
        </w:tc>
        <w:tc>
          <w:tcPr>
            <w:tcW w:w="1469" w:type="dxa"/>
            <w:shd w:val="clear" w:color="auto" w:fill="FFFFFF"/>
          </w:tcPr>
          <w:p w14:paraId="6FBD1ECE"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3,013 (74.1)</w:t>
            </w:r>
          </w:p>
        </w:tc>
        <w:tc>
          <w:tcPr>
            <w:tcW w:w="1642" w:type="dxa"/>
            <w:shd w:val="clear" w:color="auto" w:fill="FFFFFF"/>
          </w:tcPr>
          <w:p w14:paraId="4553A4E5"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11,727 (74.0)</w:t>
            </w:r>
          </w:p>
        </w:tc>
        <w:tc>
          <w:tcPr>
            <w:tcW w:w="1642" w:type="dxa"/>
            <w:shd w:val="clear" w:color="auto" w:fill="FFFFFF"/>
          </w:tcPr>
          <w:p w14:paraId="34E9B9C9"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NA</w:t>
            </w:r>
          </w:p>
        </w:tc>
        <w:tc>
          <w:tcPr>
            <w:tcW w:w="1728" w:type="dxa"/>
            <w:shd w:val="clear" w:color="auto" w:fill="FFFFFF"/>
          </w:tcPr>
          <w:p w14:paraId="058930A3"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NA</w:t>
            </w:r>
          </w:p>
        </w:tc>
      </w:tr>
      <w:tr w:rsidR="000709F1" w:rsidRPr="000F6719" w14:paraId="269BD29C" w14:textId="77777777" w:rsidTr="004762C3">
        <w:trPr>
          <w:jc w:val="center"/>
        </w:trPr>
        <w:tc>
          <w:tcPr>
            <w:tcW w:w="2952" w:type="dxa"/>
            <w:shd w:val="clear" w:color="auto" w:fill="FFFFFF"/>
          </w:tcPr>
          <w:p w14:paraId="68B64890" w14:textId="77777777" w:rsidR="000709F1" w:rsidRPr="000F6719" w:rsidRDefault="000709F1"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Hispanic</w:t>
            </w:r>
          </w:p>
        </w:tc>
        <w:tc>
          <w:tcPr>
            <w:tcW w:w="1469" w:type="dxa"/>
            <w:shd w:val="clear" w:color="auto" w:fill="FFFFFF"/>
          </w:tcPr>
          <w:p w14:paraId="340A9867"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919 (22.6)</w:t>
            </w:r>
          </w:p>
        </w:tc>
        <w:tc>
          <w:tcPr>
            <w:tcW w:w="1642" w:type="dxa"/>
            <w:shd w:val="clear" w:color="auto" w:fill="FFFFFF"/>
          </w:tcPr>
          <w:p w14:paraId="158563F7"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3,670 (23.1)</w:t>
            </w:r>
          </w:p>
        </w:tc>
        <w:tc>
          <w:tcPr>
            <w:tcW w:w="1642" w:type="dxa"/>
            <w:shd w:val="clear" w:color="auto" w:fill="FFFFFF"/>
          </w:tcPr>
          <w:p w14:paraId="3958A537"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NA</w:t>
            </w:r>
          </w:p>
        </w:tc>
        <w:tc>
          <w:tcPr>
            <w:tcW w:w="1728" w:type="dxa"/>
            <w:shd w:val="clear" w:color="auto" w:fill="FFFFFF"/>
          </w:tcPr>
          <w:p w14:paraId="18C70873"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NA</w:t>
            </w:r>
          </w:p>
        </w:tc>
      </w:tr>
      <w:tr w:rsidR="000709F1" w:rsidRPr="000F6719" w14:paraId="61AE5F7B" w14:textId="77777777" w:rsidTr="004762C3">
        <w:trPr>
          <w:jc w:val="center"/>
        </w:trPr>
        <w:tc>
          <w:tcPr>
            <w:tcW w:w="2952" w:type="dxa"/>
            <w:shd w:val="clear" w:color="auto" w:fill="FFFFFF"/>
          </w:tcPr>
          <w:p w14:paraId="42EB724E" w14:textId="77777777" w:rsidR="000709F1" w:rsidRPr="000F6719" w:rsidRDefault="000709F1"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Other</w:t>
            </w:r>
          </w:p>
        </w:tc>
        <w:tc>
          <w:tcPr>
            <w:tcW w:w="1469" w:type="dxa"/>
            <w:shd w:val="clear" w:color="auto" w:fill="FFFFFF"/>
          </w:tcPr>
          <w:p w14:paraId="5D8CE6B0"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132 (3.2)</w:t>
            </w:r>
          </w:p>
        </w:tc>
        <w:tc>
          <w:tcPr>
            <w:tcW w:w="1642" w:type="dxa"/>
            <w:shd w:val="clear" w:color="auto" w:fill="FFFFFF"/>
          </w:tcPr>
          <w:p w14:paraId="017ACB4D"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459 (2.9)</w:t>
            </w:r>
          </w:p>
        </w:tc>
        <w:tc>
          <w:tcPr>
            <w:tcW w:w="1642" w:type="dxa"/>
            <w:shd w:val="clear" w:color="auto" w:fill="FFFFFF"/>
          </w:tcPr>
          <w:p w14:paraId="5ED608E3"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NA</w:t>
            </w:r>
          </w:p>
        </w:tc>
        <w:tc>
          <w:tcPr>
            <w:tcW w:w="1728" w:type="dxa"/>
            <w:shd w:val="clear" w:color="auto" w:fill="FFFFFF"/>
          </w:tcPr>
          <w:p w14:paraId="541FC3FB"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NA</w:t>
            </w:r>
          </w:p>
        </w:tc>
      </w:tr>
      <w:tr w:rsidR="000709F1" w:rsidRPr="000F6719" w14:paraId="2C3E81D3" w14:textId="77777777" w:rsidTr="004762C3">
        <w:trPr>
          <w:jc w:val="center"/>
        </w:trPr>
        <w:tc>
          <w:tcPr>
            <w:tcW w:w="2952" w:type="dxa"/>
            <w:shd w:val="clear" w:color="auto" w:fill="FFFFFF"/>
          </w:tcPr>
          <w:p w14:paraId="7991CFB7" w14:textId="77777777" w:rsidR="000709F1" w:rsidRPr="000F6719" w:rsidRDefault="000709F1" w:rsidP="004762C3">
            <w:pPr>
              <w:spacing w:before="24" w:after="24"/>
              <w:rPr>
                <w:rFonts w:ascii="Times New Roman" w:hAnsi="Times New Roman" w:cs="Times New Roman"/>
              </w:rPr>
            </w:pPr>
            <w:r w:rsidRPr="000F6719">
              <w:rPr>
                <w:rFonts w:ascii="Times New Roman" w:hAnsi="Times New Roman" w:cs="Times New Roman"/>
                <w:b/>
                <w:color w:val="000000"/>
                <w:sz w:val="14"/>
              </w:rPr>
              <w:t>Age group, years</w:t>
            </w:r>
          </w:p>
        </w:tc>
        <w:tc>
          <w:tcPr>
            <w:tcW w:w="1469" w:type="dxa"/>
            <w:shd w:val="clear" w:color="auto" w:fill="FFFFFF"/>
          </w:tcPr>
          <w:p w14:paraId="69DA9E1B" w14:textId="77777777" w:rsidR="000709F1" w:rsidRPr="000F6719" w:rsidRDefault="000709F1" w:rsidP="004762C3">
            <w:pPr>
              <w:spacing w:before="24" w:after="24"/>
              <w:jc w:val="right"/>
              <w:rPr>
                <w:rFonts w:ascii="Times New Roman" w:hAnsi="Times New Roman" w:cs="Times New Roman"/>
              </w:rPr>
            </w:pPr>
          </w:p>
        </w:tc>
        <w:tc>
          <w:tcPr>
            <w:tcW w:w="1642" w:type="dxa"/>
            <w:shd w:val="clear" w:color="auto" w:fill="FFFFFF"/>
          </w:tcPr>
          <w:p w14:paraId="02F070F7" w14:textId="77777777" w:rsidR="000709F1" w:rsidRPr="000F6719" w:rsidRDefault="000709F1" w:rsidP="004762C3">
            <w:pPr>
              <w:spacing w:before="24" w:after="24"/>
              <w:jc w:val="right"/>
              <w:rPr>
                <w:rFonts w:ascii="Times New Roman" w:hAnsi="Times New Roman" w:cs="Times New Roman"/>
              </w:rPr>
            </w:pPr>
          </w:p>
        </w:tc>
        <w:tc>
          <w:tcPr>
            <w:tcW w:w="1642" w:type="dxa"/>
            <w:shd w:val="clear" w:color="auto" w:fill="FFFFFF"/>
          </w:tcPr>
          <w:p w14:paraId="5D2A7092" w14:textId="77777777" w:rsidR="000709F1" w:rsidRPr="000F6719" w:rsidRDefault="000709F1" w:rsidP="004762C3">
            <w:pPr>
              <w:spacing w:before="24" w:after="24"/>
              <w:jc w:val="right"/>
              <w:rPr>
                <w:rFonts w:ascii="Times New Roman" w:hAnsi="Times New Roman" w:cs="Times New Roman"/>
              </w:rPr>
            </w:pPr>
          </w:p>
        </w:tc>
        <w:tc>
          <w:tcPr>
            <w:tcW w:w="1728" w:type="dxa"/>
            <w:shd w:val="clear" w:color="auto" w:fill="FFFFFF"/>
          </w:tcPr>
          <w:p w14:paraId="402D7DC3" w14:textId="77777777" w:rsidR="000709F1" w:rsidRPr="000F6719" w:rsidRDefault="000709F1" w:rsidP="004762C3">
            <w:pPr>
              <w:spacing w:before="24" w:after="24"/>
              <w:jc w:val="right"/>
              <w:rPr>
                <w:rFonts w:ascii="Times New Roman" w:hAnsi="Times New Roman" w:cs="Times New Roman"/>
              </w:rPr>
            </w:pPr>
          </w:p>
        </w:tc>
      </w:tr>
      <w:tr w:rsidR="000709F1" w:rsidRPr="000F6719" w14:paraId="1BC2591C" w14:textId="77777777" w:rsidTr="004762C3">
        <w:trPr>
          <w:jc w:val="center"/>
        </w:trPr>
        <w:tc>
          <w:tcPr>
            <w:tcW w:w="2952" w:type="dxa"/>
            <w:shd w:val="clear" w:color="auto" w:fill="FFFFFF"/>
          </w:tcPr>
          <w:p w14:paraId="75074946" w14:textId="77777777" w:rsidR="000709F1" w:rsidRPr="000F6719" w:rsidRDefault="000709F1"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&lt;45</w:t>
            </w:r>
          </w:p>
        </w:tc>
        <w:tc>
          <w:tcPr>
            <w:tcW w:w="1469" w:type="dxa"/>
            <w:shd w:val="clear" w:color="auto" w:fill="FFFFFF"/>
          </w:tcPr>
          <w:p w14:paraId="33930987"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920 (22.6)</w:t>
            </w:r>
          </w:p>
        </w:tc>
        <w:tc>
          <w:tcPr>
            <w:tcW w:w="1642" w:type="dxa"/>
            <w:shd w:val="clear" w:color="auto" w:fill="FFFFFF"/>
          </w:tcPr>
          <w:p w14:paraId="2AE146B4"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4,624 (29.2)</w:t>
            </w:r>
          </w:p>
        </w:tc>
        <w:tc>
          <w:tcPr>
            <w:tcW w:w="1642" w:type="dxa"/>
            <w:shd w:val="clear" w:color="auto" w:fill="FFFFFF"/>
          </w:tcPr>
          <w:p w14:paraId="1F6225E2"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53,369 (38.3)</w:t>
            </w:r>
          </w:p>
        </w:tc>
        <w:tc>
          <w:tcPr>
            <w:tcW w:w="1728" w:type="dxa"/>
            <w:shd w:val="clear" w:color="auto" w:fill="FFFFFF"/>
          </w:tcPr>
          <w:p w14:paraId="13541550"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284,866 (51.4)</w:t>
            </w:r>
          </w:p>
        </w:tc>
      </w:tr>
      <w:tr w:rsidR="000709F1" w:rsidRPr="000F6719" w14:paraId="27EEEE66" w14:textId="77777777" w:rsidTr="004762C3">
        <w:trPr>
          <w:jc w:val="center"/>
        </w:trPr>
        <w:tc>
          <w:tcPr>
            <w:tcW w:w="2952" w:type="dxa"/>
            <w:shd w:val="clear" w:color="auto" w:fill="FFFFFF"/>
          </w:tcPr>
          <w:p w14:paraId="09E13FBF" w14:textId="77777777" w:rsidR="000709F1" w:rsidRPr="000F6719" w:rsidRDefault="000709F1"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45–54</w:t>
            </w:r>
          </w:p>
        </w:tc>
        <w:tc>
          <w:tcPr>
            <w:tcW w:w="1469" w:type="dxa"/>
            <w:shd w:val="clear" w:color="auto" w:fill="FFFFFF"/>
          </w:tcPr>
          <w:p w14:paraId="21573B2F"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639 (15.7)</w:t>
            </w:r>
          </w:p>
        </w:tc>
        <w:tc>
          <w:tcPr>
            <w:tcW w:w="1642" w:type="dxa"/>
            <w:shd w:val="clear" w:color="auto" w:fill="FFFFFF"/>
          </w:tcPr>
          <w:p w14:paraId="2A8647C7"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2,901 (18.3)</w:t>
            </w:r>
          </w:p>
        </w:tc>
        <w:tc>
          <w:tcPr>
            <w:tcW w:w="1642" w:type="dxa"/>
            <w:shd w:val="clear" w:color="auto" w:fill="FFFFFF"/>
          </w:tcPr>
          <w:p w14:paraId="7C7C5EA1"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37,833 (27.1)</w:t>
            </w:r>
          </w:p>
        </w:tc>
        <w:tc>
          <w:tcPr>
            <w:tcW w:w="1728" w:type="dxa"/>
            <w:shd w:val="clear" w:color="auto" w:fill="FFFFFF"/>
          </w:tcPr>
          <w:p w14:paraId="4A472F50"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130,590 (23.6)</w:t>
            </w:r>
          </w:p>
        </w:tc>
      </w:tr>
      <w:tr w:rsidR="000709F1" w:rsidRPr="000F6719" w14:paraId="22139913" w14:textId="77777777" w:rsidTr="004762C3">
        <w:trPr>
          <w:jc w:val="center"/>
        </w:trPr>
        <w:tc>
          <w:tcPr>
            <w:tcW w:w="2952" w:type="dxa"/>
            <w:shd w:val="clear" w:color="auto" w:fill="FFFFFF"/>
          </w:tcPr>
          <w:p w14:paraId="143C8CD5" w14:textId="77777777" w:rsidR="000709F1" w:rsidRPr="000F6719" w:rsidRDefault="000709F1"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55–64</w:t>
            </w:r>
          </w:p>
        </w:tc>
        <w:tc>
          <w:tcPr>
            <w:tcW w:w="1469" w:type="dxa"/>
            <w:shd w:val="clear" w:color="auto" w:fill="FFFFFF"/>
          </w:tcPr>
          <w:p w14:paraId="71F38FAF"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1,055 (26.0)</w:t>
            </w:r>
          </w:p>
        </w:tc>
        <w:tc>
          <w:tcPr>
            <w:tcW w:w="1642" w:type="dxa"/>
            <w:shd w:val="clear" w:color="auto" w:fill="FFFFFF"/>
          </w:tcPr>
          <w:p w14:paraId="27DC1148"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3,492 (22.0)</w:t>
            </w:r>
          </w:p>
        </w:tc>
        <w:tc>
          <w:tcPr>
            <w:tcW w:w="1642" w:type="dxa"/>
            <w:shd w:val="clear" w:color="auto" w:fill="FFFFFF"/>
          </w:tcPr>
          <w:p w14:paraId="408FAF6D"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47,908 (34.4)</w:t>
            </w:r>
          </w:p>
        </w:tc>
        <w:tc>
          <w:tcPr>
            <w:tcW w:w="1728" w:type="dxa"/>
            <w:shd w:val="clear" w:color="auto" w:fill="FFFFFF"/>
          </w:tcPr>
          <w:p w14:paraId="6349D23F"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137,688 (24.8)</w:t>
            </w:r>
          </w:p>
        </w:tc>
      </w:tr>
      <w:tr w:rsidR="000709F1" w:rsidRPr="000F6719" w14:paraId="47E9375E" w14:textId="77777777" w:rsidTr="004762C3">
        <w:trPr>
          <w:jc w:val="center"/>
        </w:trPr>
        <w:tc>
          <w:tcPr>
            <w:tcW w:w="2952" w:type="dxa"/>
            <w:shd w:val="clear" w:color="auto" w:fill="FFFFFF"/>
          </w:tcPr>
          <w:p w14:paraId="64E42DBD" w14:textId="77777777" w:rsidR="000709F1" w:rsidRPr="000F6719" w:rsidRDefault="000709F1"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≥65</w:t>
            </w:r>
          </w:p>
        </w:tc>
        <w:tc>
          <w:tcPr>
            <w:tcW w:w="1469" w:type="dxa"/>
            <w:shd w:val="clear" w:color="auto" w:fill="FFFFFF"/>
          </w:tcPr>
          <w:p w14:paraId="20BBA293"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1,450 (35.7)</w:t>
            </w:r>
          </w:p>
        </w:tc>
        <w:tc>
          <w:tcPr>
            <w:tcW w:w="1642" w:type="dxa"/>
            <w:shd w:val="clear" w:color="auto" w:fill="FFFFFF"/>
          </w:tcPr>
          <w:p w14:paraId="59589EFE"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4,839 (30.5)</w:t>
            </w:r>
          </w:p>
        </w:tc>
        <w:tc>
          <w:tcPr>
            <w:tcW w:w="1642" w:type="dxa"/>
            <w:shd w:val="clear" w:color="auto" w:fill="FFFFFF"/>
          </w:tcPr>
          <w:p w14:paraId="37D85BF4"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358 (0.3)</w:t>
            </w:r>
          </w:p>
        </w:tc>
        <w:tc>
          <w:tcPr>
            <w:tcW w:w="1728" w:type="dxa"/>
            <w:shd w:val="clear" w:color="auto" w:fill="FFFFFF"/>
          </w:tcPr>
          <w:p w14:paraId="024C65C7"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1,070 (0.2)</w:t>
            </w:r>
          </w:p>
        </w:tc>
      </w:tr>
      <w:tr w:rsidR="000709F1" w:rsidRPr="000F6719" w14:paraId="69FAB900" w14:textId="77777777" w:rsidTr="004762C3">
        <w:trPr>
          <w:jc w:val="center"/>
        </w:trPr>
        <w:tc>
          <w:tcPr>
            <w:tcW w:w="2952" w:type="dxa"/>
            <w:shd w:val="clear" w:color="auto" w:fill="FFFFFF"/>
          </w:tcPr>
          <w:p w14:paraId="58FDF434" w14:textId="77777777" w:rsidR="000709F1" w:rsidRPr="000F6719" w:rsidRDefault="000709F1"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Mean age (</w:t>
            </w:r>
            <w:proofErr w:type="spellStart"/>
            <w:r w:rsidRPr="000F6719">
              <w:rPr>
                <w:rFonts w:ascii="Times New Roman" w:hAnsi="Times New Roman" w:cs="Times New Roman"/>
                <w:color w:val="000000"/>
                <w:sz w:val="14"/>
              </w:rPr>
              <w:t>s.d.</w:t>
            </w:r>
            <w:proofErr w:type="spellEnd"/>
            <w:r w:rsidRPr="000F6719">
              <w:rPr>
                <w:rFonts w:ascii="Times New Roman" w:hAnsi="Times New Roman" w:cs="Times New Roman"/>
                <w:color w:val="000000"/>
                <w:sz w:val="14"/>
              </w:rPr>
              <w:t>)</w:t>
            </w:r>
          </w:p>
        </w:tc>
        <w:tc>
          <w:tcPr>
            <w:tcW w:w="1469" w:type="dxa"/>
            <w:shd w:val="clear" w:color="auto" w:fill="FFFFFF"/>
          </w:tcPr>
          <w:p w14:paraId="218E64AE"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57.4 (16.2)</w:t>
            </w:r>
          </w:p>
        </w:tc>
        <w:tc>
          <w:tcPr>
            <w:tcW w:w="1642" w:type="dxa"/>
            <w:shd w:val="clear" w:color="auto" w:fill="FFFFFF"/>
          </w:tcPr>
          <w:p w14:paraId="6EB92F5D"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54.6 (16.2)</w:t>
            </w:r>
          </w:p>
        </w:tc>
        <w:tc>
          <w:tcPr>
            <w:tcW w:w="1642" w:type="dxa"/>
            <w:shd w:val="clear" w:color="auto" w:fill="FFFFFF"/>
          </w:tcPr>
          <w:p w14:paraId="515AFFEA"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45.6 (14.6)</w:t>
            </w:r>
          </w:p>
        </w:tc>
        <w:tc>
          <w:tcPr>
            <w:tcW w:w="1728" w:type="dxa"/>
            <w:shd w:val="clear" w:color="auto" w:fill="FFFFFF"/>
          </w:tcPr>
          <w:p w14:paraId="2B189AE3"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41.2 (15.9)</w:t>
            </w:r>
          </w:p>
        </w:tc>
      </w:tr>
      <w:tr w:rsidR="000709F1" w:rsidRPr="000F6719" w14:paraId="28E14FD5" w14:textId="77777777" w:rsidTr="004762C3">
        <w:trPr>
          <w:jc w:val="center"/>
        </w:trPr>
        <w:tc>
          <w:tcPr>
            <w:tcW w:w="2952" w:type="dxa"/>
            <w:shd w:val="clear" w:color="auto" w:fill="FFFFFF"/>
          </w:tcPr>
          <w:p w14:paraId="52981A3A" w14:textId="77777777" w:rsidR="000709F1" w:rsidRPr="000F6719" w:rsidRDefault="000709F1" w:rsidP="004762C3">
            <w:pPr>
              <w:spacing w:before="24" w:after="24"/>
              <w:rPr>
                <w:rFonts w:ascii="Times New Roman" w:hAnsi="Times New Roman" w:cs="Times New Roman"/>
              </w:rPr>
            </w:pPr>
            <w:r w:rsidRPr="000F6719">
              <w:rPr>
                <w:rFonts w:ascii="Times New Roman" w:hAnsi="Times New Roman" w:cs="Times New Roman"/>
                <w:b/>
                <w:color w:val="000000"/>
                <w:sz w:val="14"/>
              </w:rPr>
              <w:t>Vaccination</w:t>
            </w:r>
          </w:p>
        </w:tc>
        <w:tc>
          <w:tcPr>
            <w:tcW w:w="1469" w:type="dxa"/>
            <w:shd w:val="clear" w:color="auto" w:fill="FFFFFF"/>
          </w:tcPr>
          <w:p w14:paraId="30330C1F" w14:textId="77777777" w:rsidR="000709F1" w:rsidRPr="000F6719" w:rsidRDefault="000709F1" w:rsidP="004762C3">
            <w:pPr>
              <w:spacing w:before="24" w:after="24"/>
              <w:jc w:val="right"/>
              <w:rPr>
                <w:rFonts w:ascii="Times New Roman" w:hAnsi="Times New Roman" w:cs="Times New Roman"/>
              </w:rPr>
            </w:pPr>
          </w:p>
        </w:tc>
        <w:tc>
          <w:tcPr>
            <w:tcW w:w="1642" w:type="dxa"/>
            <w:shd w:val="clear" w:color="auto" w:fill="FFFFFF"/>
          </w:tcPr>
          <w:p w14:paraId="3164CE10" w14:textId="77777777" w:rsidR="000709F1" w:rsidRPr="000F6719" w:rsidRDefault="000709F1" w:rsidP="004762C3">
            <w:pPr>
              <w:spacing w:before="24" w:after="24"/>
              <w:jc w:val="right"/>
              <w:rPr>
                <w:rFonts w:ascii="Times New Roman" w:hAnsi="Times New Roman" w:cs="Times New Roman"/>
              </w:rPr>
            </w:pPr>
          </w:p>
        </w:tc>
        <w:tc>
          <w:tcPr>
            <w:tcW w:w="1642" w:type="dxa"/>
            <w:shd w:val="clear" w:color="auto" w:fill="FFFFFF"/>
          </w:tcPr>
          <w:p w14:paraId="03421CA0" w14:textId="77777777" w:rsidR="000709F1" w:rsidRPr="000F6719" w:rsidRDefault="000709F1" w:rsidP="004762C3">
            <w:pPr>
              <w:spacing w:before="24" w:after="24"/>
              <w:jc w:val="right"/>
              <w:rPr>
                <w:rFonts w:ascii="Times New Roman" w:hAnsi="Times New Roman" w:cs="Times New Roman"/>
              </w:rPr>
            </w:pPr>
          </w:p>
        </w:tc>
        <w:tc>
          <w:tcPr>
            <w:tcW w:w="1728" w:type="dxa"/>
            <w:shd w:val="clear" w:color="auto" w:fill="FFFFFF"/>
          </w:tcPr>
          <w:p w14:paraId="1A50CD51" w14:textId="77777777" w:rsidR="000709F1" w:rsidRPr="000F6719" w:rsidRDefault="000709F1" w:rsidP="004762C3">
            <w:pPr>
              <w:spacing w:before="24" w:after="24"/>
              <w:jc w:val="right"/>
              <w:rPr>
                <w:rFonts w:ascii="Times New Roman" w:hAnsi="Times New Roman" w:cs="Times New Roman"/>
              </w:rPr>
            </w:pPr>
          </w:p>
        </w:tc>
      </w:tr>
      <w:tr w:rsidR="000709F1" w:rsidRPr="000F6719" w14:paraId="295001EE" w14:textId="77777777" w:rsidTr="004762C3">
        <w:trPr>
          <w:jc w:val="center"/>
        </w:trPr>
        <w:tc>
          <w:tcPr>
            <w:tcW w:w="2952" w:type="dxa"/>
            <w:shd w:val="clear" w:color="auto" w:fill="FFFFFF"/>
          </w:tcPr>
          <w:p w14:paraId="66C059B8" w14:textId="77777777" w:rsidR="000709F1" w:rsidRPr="000F6719" w:rsidRDefault="000709F1"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Recorded before index</w:t>
            </w:r>
          </w:p>
        </w:tc>
        <w:tc>
          <w:tcPr>
            <w:tcW w:w="1469" w:type="dxa"/>
            <w:shd w:val="clear" w:color="auto" w:fill="FFFFFF"/>
          </w:tcPr>
          <w:p w14:paraId="7C3EE2A6"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361 (8.9)</w:t>
            </w:r>
          </w:p>
        </w:tc>
        <w:tc>
          <w:tcPr>
            <w:tcW w:w="1642" w:type="dxa"/>
            <w:shd w:val="clear" w:color="auto" w:fill="FFFFFF"/>
          </w:tcPr>
          <w:p w14:paraId="1389EF59"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2,700 (17.0)</w:t>
            </w:r>
          </w:p>
        </w:tc>
        <w:tc>
          <w:tcPr>
            <w:tcW w:w="1642" w:type="dxa"/>
            <w:shd w:val="clear" w:color="auto" w:fill="FFFFFF"/>
          </w:tcPr>
          <w:p w14:paraId="2DAFD22B"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11,300 (8.1)</w:t>
            </w:r>
          </w:p>
        </w:tc>
        <w:tc>
          <w:tcPr>
            <w:tcW w:w="1728" w:type="dxa"/>
            <w:shd w:val="clear" w:color="auto" w:fill="FFFFFF"/>
          </w:tcPr>
          <w:p w14:paraId="4D1E953C"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108,286 (19.5)</w:t>
            </w:r>
          </w:p>
        </w:tc>
      </w:tr>
      <w:tr w:rsidR="000709F1" w:rsidRPr="000F6719" w14:paraId="4EF58D69" w14:textId="77777777" w:rsidTr="004762C3">
        <w:trPr>
          <w:jc w:val="center"/>
        </w:trPr>
        <w:tc>
          <w:tcPr>
            <w:tcW w:w="2952" w:type="dxa"/>
            <w:shd w:val="clear" w:color="auto" w:fill="FFFFFF"/>
          </w:tcPr>
          <w:p w14:paraId="7D66C6D9" w14:textId="77777777" w:rsidR="000709F1" w:rsidRPr="000F6719" w:rsidRDefault="000709F1"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No record</w:t>
            </w:r>
          </w:p>
        </w:tc>
        <w:tc>
          <w:tcPr>
            <w:tcW w:w="1469" w:type="dxa"/>
            <w:shd w:val="clear" w:color="auto" w:fill="FFFFFF"/>
          </w:tcPr>
          <w:p w14:paraId="6AE7664B"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3,703 (91.1)</w:t>
            </w:r>
          </w:p>
        </w:tc>
        <w:tc>
          <w:tcPr>
            <w:tcW w:w="1642" w:type="dxa"/>
            <w:shd w:val="clear" w:color="auto" w:fill="FFFFFF"/>
          </w:tcPr>
          <w:p w14:paraId="4A4C4800"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13,156 (83.0)</w:t>
            </w:r>
          </w:p>
        </w:tc>
        <w:tc>
          <w:tcPr>
            <w:tcW w:w="1642" w:type="dxa"/>
            <w:shd w:val="clear" w:color="auto" w:fill="FFFFFF"/>
          </w:tcPr>
          <w:p w14:paraId="6B731279"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128,168 (91.9)</w:t>
            </w:r>
          </w:p>
        </w:tc>
        <w:tc>
          <w:tcPr>
            <w:tcW w:w="1728" w:type="dxa"/>
            <w:shd w:val="clear" w:color="auto" w:fill="FFFFFF"/>
          </w:tcPr>
          <w:p w14:paraId="38988A11"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445,928 (80.5)</w:t>
            </w:r>
          </w:p>
        </w:tc>
      </w:tr>
      <w:tr w:rsidR="000709F1" w:rsidRPr="000F6719" w14:paraId="583D7BA0" w14:textId="77777777" w:rsidTr="004762C3">
        <w:trPr>
          <w:jc w:val="center"/>
        </w:trPr>
        <w:tc>
          <w:tcPr>
            <w:tcW w:w="2952" w:type="dxa"/>
            <w:shd w:val="clear" w:color="auto" w:fill="FFFFFF"/>
          </w:tcPr>
          <w:p w14:paraId="3D3EC9D0" w14:textId="77777777" w:rsidR="000709F1" w:rsidRPr="000F6719" w:rsidRDefault="000709F1" w:rsidP="004762C3">
            <w:pPr>
              <w:spacing w:before="24" w:after="24"/>
              <w:rPr>
                <w:rFonts w:ascii="Times New Roman" w:hAnsi="Times New Roman" w:cs="Times New Roman"/>
              </w:rPr>
            </w:pPr>
            <w:r w:rsidRPr="000F6719">
              <w:rPr>
                <w:rFonts w:ascii="Times New Roman" w:hAnsi="Times New Roman" w:cs="Times New Roman"/>
                <w:b/>
                <w:color w:val="000000"/>
                <w:sz w:val="14"/>
              </w:rPr>
              <w:t>Charlson comorbidities</w:t>
            </w:r>
          </w:p>
        </w:tc>
        <w:tc>
          <w:tcPr>
            <w:tcW w:w="1469" w:type="dxa"/>
            <w:shd w:val="clear" w:color="auto" w:fill="FFFFFF"/>
          </w:tcPr>
          <w:p w14:paraId="2CD11425" w14:textId="77777777" w:rsidR="000709F1" w:rsidRPr="000F6719" w:rsidRDefault="000709F1" w:rsidP="004762C3">
            <w:pPr>
              <w:spacing w:before="24" w:after="24"/>
              <w:jc w:val="right"/>
              <w:rPr>
                <w:rFonts w:ascii="Times New Roman" w:hAnsi="Times New Roman" w:cs="Times New Roman"/>
              </w:rPr>
            </w:pPr>
          </w:p>
        </w:tc>
        <w:tc>
          <w:tcPr>
            <w:tcW w:w="1642" w:type="dxa"/>
            <w:shd w:val="clear" w:color="auto" w:fill="FFFFFF"/>
          </w:tcPr>
          <w:p w14:paraId="6BFE9246" w14:textId="77777777" w:rsidR="000709F1" w:rsidRPr="000F6719" w:rsidRDefault="000709F1" w:rsidP="004762C3">
            <w:pPr>
              <w:spacing w:before="24" w:after="24"/>
              <w:jc w:val="right"/>
              <w:rPr>
                <w:rFonts w:ascii="Times New Roman" w:hAnsi="Times New Roman" w:cs="Times New Roman"/>
              </w:rPr>
            </w:pPr>
          </w:p>
        </w:tc>
        <w:tc>
          <w:tcPr>
            <w:tcW w:w="1642" w:type="dxa"/>
            <w:shd w:val="clear" w:color="auto" w:fill="FFFFFF"/>
          </w:tcPr>
          <w:p w14:paraId="203E8889" w14:textId="77777777" w:rsidR="000709F1" w:rsidRPr="000F6719" w:rsidRDefault="000709F1" w:rsidP="004762C3">
            <w:pPr>
              <w:spacing w:before="24" w:after="24"/>
              <w:jc w:val="right"/>
              <w:rPr>
                <w:rFonts w:ascii="Times New Roman" w:hAnsi="Times New Roman" w:cs="Times New Roman"/>
              </w:rPr>
            </w:pPr>
          </w:p>
        </w:tc>
        <w:tc>
          <w:tcPr>
            <w:tcW w:w="1728" w:type="dxa"/>
            <w:shd w:val="clear" w:color="auto" w:fill="FFFFFF"/>
          </w:tcPr>
          <w:p w14:paraId="1A08A20D" w14:textId="77777777" w:rsidR="000709F1" w:rsidRPr="000F6719" w:rsidRDefault="000709F1" w:rsidP="004762C3">
            <w:pPr>
              <w:spacing w:before="24" w:after="24"/>
              <w:jc w:val="right"/>
              <w:rPr>
                <w:rFonts w:ascii="Times New Roman" w:hAnsi="Times New Roman" w:cs="Times New Roman"/>
              </w:rPr>
            </w:pPr>
          </w:p>
        </w:tc>
      </w:tr>
      <w:tr w:rsidR="000709F1" w:rsidRPr="000F6719" w14:paraId="2C8B33CE" w14:textId="77777777" w:rsidTr="004762C3">
        <w:trPr>
          <w:jc w:val="center"/>
        </w:trPr>
        <w:tc>
          <w:tcPr>
            <w:tcW w:w="2952" w:type="dxa"/>
            <w:shd w:val="clear" w:color="auto" w:fill="FFFFFF"/>
          </w:tcPr>
          <w:p w14:paraId="49BC9E16" w14:textId="77777777" w:rsidR="000709F1" w:rsidRPr="000F6719" w:rsidRDefault="000709F1"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Myocardial infarction</w:t>
            </w:r>
          </w:p>
        </w:tc>
        <w:tc>
          <w:tcPr>
            <w:tcW w:w="1469" w:type="dxa"/>
            <w:shd w:val="clear" w:color="auto" w:fill="FFFFFF"/>
          </w:tcPr>
          <w:p w14:paraId="6409A096"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570 (14.0)</w:t>
            </w:r>
          </w:p>
        </w:tc>
        <w:tc>
          <w:tcPr>
            <w:tcW w:w="1642" w:type="dxa"/>
            <w:shd w:val="clear" w:color="auto" w:fill="FFFFFF"/>
          </w:tcPr>
          <w:p w14:paraId="6062783A"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1,842 (11.6)</w:t>
            </w:r>
          </w:p>
        </w:tc>
        <w:tc>
          <w:tcPr>
            <w:tcW w:w="1642" w:type="dxa"/>
            <w:shd w:val="clear" w:color="auto" w:fill="FFFFFF"/>
          </w:tcPr>
          <w:p w14:paraId="3CAB2BD4"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2,729 (2.0)</w:t>
            </w:r>
          </w:p>
        </w:tc>
        <w:tc>
          <w:tcPr>
            <w:tcW w:w="1728" w:type="dxa"/>
            <w:shd w:val="clear" w:color="auto" w:fill="FFFFFF"/>
          </w:tcPr>
          <w:p w14:paraId="0DBD26EE"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7,733 (1.4)</w:t>
            </w:r>
          </w:p>
        </w:tc>
      </w:tr>
      <w:tr w:rsidR="000709F1" w:rsidRPr="000F6719" w14:paraId="285022E7" w14:textId="77777777" w:rsidTr="004762C3">
        <w:trPr>
          <w:jc w:val="center"/>
        </w:trPr>
        <w:tc>
          <w:tcPr>
            <w:tcW w:w="2952" w:type="dxa"/>
            <w:shd w:val="clear" w:color="auto" w:fill="FFFFFF"/>
          </w:tcPr>
          <w:p w14:paraId="734F3A47" w14:textId="77777777" w:rsidR="000709F1" w:rsidRPr="000F6719" w:rsidRDefault="000709F1"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Congestive heart failure</w:t>
            </w:r>
          </w:p>
        </w:tc>
        <w:tc>
          <w:tcPr>
            <w:tcW w:w="1469" w:type="dxa"/>
            <w:shd w:val="clear" w:color="auto" w:fill="FFFFFF"/>
          </w:tcPr>
          <w:p w14:paraId="417BAAD5"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1,034 (25.4)</w:t>
            </w:r>
          </w:p>
        </w:tc>
        <w:tc>
          <w:tcPr>
            <w:tcW w:w="1642" w:type="dxa"/>
            <w:shd w:val="clear" w:color="auto" w:fill="FFFFFF"/>
          </w:tcPr>
          <w:p w14:paraId="40557C94"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3,100 (19.6)</w:t>
            </w:r>
          </w:p>
        </w:tc>
        <w:tc>
          <w:tcPr>
            <w:tcW w:w="1642" w:type="dxa"/>
            <w:shd w:val="clear" w:color="auto" w:fill="FFFFFF"/>
          </w:tcPr>
          <w:p w14:paraId="2A991362"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6,614 (4.7)</w:t>
            </w:r>
          </w:p>
        </w:tc>
        <w:tc>
          <w:tcPr>
            <w:tcW w:w="1728" w:type="dxa"/>
            <w:shd w:val="clear" w:color="auto" w:fill="FFFFFF"/>
          </w:tcPr>
          <w:p w14:paraId="4D89535E"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15,123 (2.7)</w:t>
            </w:r>
          </w:p>
        </w:tc>
      </w:tr>
      <w:tr w:rsidR="000709F1" w:rsidRPr="000F6719" w14:paraId="2DA72F96" w14:textId="77777777" w:rsidTr="004762C3">
        <w:trPr>
          <w:jc w:val="center"/>
        </w:trPr>
        <w:tc>
          <w:tcPr>
            <w:tcW w:w="2952" w:type="dxa"/>
            <w:shd w:val="clear" w:color="auto" w:fill="FFFFFF"/>
          </w:tcPr>
          <w:p w14:paraId="2557C505" w14:textId="77777777" w:rsidR="000709F1" w:rsidRPr="000F6719" w:rsidRDefault="000709F1"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Peripheral vascular disease</w:t>
            </w:r>
          </w:p>
        </w:tc>
        <w:tc>
          <w:tcPr>
            <w:tcW w:w="1469" w:type="dxa"/>
            <w:shd w:val="clear" w:color="auto" w:fill="FFFFFF"/>
          </w:tcPr>
          <w:p w14:paraId="332E2723"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882 (21.7)</w:t>
            </w:r>
          </w:p>
        </w:tc>
        <w:tc>
          <w:tcPr>
            <w:tcW w:w="1642" w:type="dxa"/>
            <w:shd w:val="clear" w:color="auto" w:fill="FFFFFF"/>
          </w:tcPr>
          <w:p w14:paraId="0CA026C9"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3,042 (19.2)</w:t>
            </w:r>
          </w:p>
        </w:tc>
        <w:tc>
          <w:tcPr>
            <w:tcW w:w="1642" w:type="dxa"/>
            <w:shd w:val="clear" w:color="auto" w:fill="FFFFFF"/>
          </w:tcPr>
          <w:p w14:paraId="76FCA1EA"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5,866 (4.2)</w:t>
            </w:r>
          </w:p>
        </w:tc>
        <w:tc>
          <w:tcPr>
            <w:tcW w:w="1728" w:type="dxa"/>
            <w:shd w:val="clear" w:color="auto" w:fill="FFFFFF"/>
          </w:tcPr>
          <w:p w14:paraId="54DC975A"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20,464 (3.7)</w:t>
            </w:r>
          </w:p>
        </w:tc>
      </w:tr>
      <w:tr w:rsidR="000709F1" w:rsidRPr="000F6719" w14:paraId="121EC5DC" w14:textId="77777777" w:rsidTr="004762C3">
        <w:trPr>
          <w:jc w:val="center"/>
        </w:trPr>
        <w:tc>
          <w:tcPr>
            <w:tcW w:w="2952" w:type="dxa"/>
            <w:shd w:val="clear" w:color="auto" w:fill="FFFFFF"/>
          </w:tcPr>
          <w:p w14:paraId="01D969CF" w14:textId="77777777" w:rsidR="000709F1" w:rsidRPr="000F6719" w:rsidRDefault="000709F1"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Cerebrovascular disease</w:t>
            </w:r>
          </w:p>
        </w:tc>
        <w:tc>
          <w:tcPr>
            <w:tcW w:w="1469" w:type="dxa"/>
            <w:shd w:val="clear" w:color="auto" w:fill="FFFFFF"/>
          </w:tcPr>
          <w:p w14:paraId="0CBCD549"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786 (19.3)</w:t>
            </w:r>
          </w:p>
        </w:tc>
        <w:tc>
          <w:tcPr>
            <w:tcW w:w="1642" w:type="dxa"/>
            <w:shd w:val="clear" w:color="auto" w:fill="FFFFFF"/>
          </w:tcPr>
          <w:p w14:paraId="434F1602"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2,502 (15.8)</w:t>
            </w:r>
          </w:p>
        </w:tc>
        <w:tc>
          <w:tcPr>
            <w:tcW w:w="1642" w:type="dxa"/>
            <w:shd w:val="clear" w:color="auto" w:fill="FFFFFF"/>
          </w:tcPr>
          <w:p w14:paraId="4C0C15F2"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4,215 (3.0)</w:t>
            </w:r>
          </w:p>
        </w:tc>
        <w:tc>
          <w:tcPr>
            <w:tcW w:w="1728" w:type="dxa"/>
            <w:shd w:val="clear" w:color="auto" w:fill="FFFFFF"/>
          </w:tcPr>
          <w:p w14:paraId="06B2BD8F"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17,307 (3.1)</w:t>
            </w:r>
          </w:p>
        </w:tc>
      </w:tr>
      <w:tr w:rsidR="000709F1" w:rsidRPr="000F6719" w14:paraId="27FC938C" w14:textId="77777777" w:rsidTr="004762C3">
        <w:trPr>
          <w:jc w:val="center"/>
        </w:trPr>
        <w:tc>
          <w:tcPr>
            <w:tcW w:w="2952" w:type="dxa"/>
            <w:shd w:val="clear" w:color="auto" w:fill="FFFFFF"/>
          </w:tcPr>
          <w:p w14:paraId="41993129" w14:textId="77777777" w:rsidR="000709F1" w:rsidRPr="000F6719" w:rsidRDefault="000709F1"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Dementia</w:t>
            </w:r>
          </w:p>
        </w:tc>
        <w:tc>
          <w:tcPr>
            <w:tcW w:w="1469" w:type="dxa"/>
            <w:shd w:val="clear" w:color="auto" w:fill="FFFFFF"/>
          </w:tcPr>
          <w:p w14:paraId="2CFFBA20"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243 (6.0)</w:t>
            </w:r>
          </w:p>
        </w:tc>
        <w:tc>
          <w:tcPr>
            <w:tcW w:w="1642" w:type="dxa"/>
            <w:shd w:val="clear" w:color="auto" w:fill="FFFFFF"/>
          </w:tcPr>
          <w:p w14:paraId="69943B5C"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763 (4.8)</w:t>
            </w:r>
          </w:p>
        </w:tc>
        <w:tc>
          <w:tcPr>
            <w:tcW w:w="1642" w:type="dxa"/>
            <w:shd w:val="clear" w:color="auto" w:fill="FFFFFF"/>
          </w:tcPr>
          <w:p w14:paraId="76B61B2D"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769 (0.6)</w:t>
            </w:r>
          </w:p>
        </w:tc>
        <w:tc>
          <w:tcPr>
            <w:tcW w:w="1728" w:type="dxa"/>
            <w:shd w:val="clear" w:color="auto" w:fill="FFFFFF"/>
          </w:tcPr>
          <w:p w14:paraId="433D769F"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2,202 (0.4)</w:t>
            </w:r>
          </w:p>
        </w:tc>
      </w:tr>
      <w:tr w:rsidR="000709F1" w:rsidRPr="000F6719" w14:paraId="7C3C96D7" w14:textId="77777777" w:rsidTr="004762C3">
        <w:trPr>
          <w:jc w:val="center"/>
        </w:trPr>
        <w:tc>
          <w:tcPr>
            <w:tcW w:w="2952" w:type="dxa"/>
            <w:shd w:val="clear" w:color="auto" w:fill="FFFFFF"/>
          </w:tcPr>
          <w:p w14:paraId="1FB516E9" w14:textId="77777777" w:rsidR="000709F1" w:rsidRPr="000F6719" w:rsidRDefault="000709F1"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lastRenderedPageBreak/>
              <w:t>Chronic pulmonary disease</w:t>
            </w:r>
          </w:p>
        </w:tc>
        <w:tc>
          <w:tcPr>
            <w:tcW w:w="1469" w:type="dxa"/>
            <w:shd w:val="clear" w:color="auto" w:fill="FFFFFF"/>
          </w:tcPr>
          <w:p w14:paraId="013CB334"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1,819 (44.8)</w:t>
            </w:r>
          </w:p>
        </w:tc>
        <w:tc>
          <w:tcPr>
            <w:tcW w:w="1642" w:type="dxa"/>
            <w:shd w:val="clear" w:color="auto" w:fill="FFFFFF"/>
          </w:tcPr>
          <w:p w14:paraId="10B37B1B"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7,744 (48.8)</w:t>
            </w:r>
          </w:p>
        </w:tc>
        <w:tc>
          <w:tcPr>
            <w:tcW w:w="1642" w:type="dxa"/>
            <w:shd w:val="clear" w:color="auto" w:fill="FFFFFF"/>
          </w:tcPr>
          <w:p w14:paraId="50866A8A"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18,418 (13.2)</w:t>
            </w:r>
          </w:p>
        </w:tc>
        <w:tc>
          <w:tcPr>
            <w:tcW w:w="1728" w:type="dxa"/>
            <w:shd w:val="clear" w:color="auto" w:fill="FFFFFF"/>
          </w:tcPr>
          <w:p w14:paraId="4FB20A29"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92,037 (16.6)</w:t>
            </w:r>
          </w:p>
        </w:tc>
      </w:tr>
      <w:tr w:rsidR="000709F1" w:rsidRPr="000F6719" w14:paraId="6B506637" w14:textId="77777777" w:rsidTr="004762C3">
        <w:trPr>
          <w:jc w:val="center"/>
        </w:trPr>
        <w:tc>
          <w:tcPr>
            <w:tcW w:w="2952" w:type="dxa"/>
            <w:shd w:val="clear" w:color="auto" w:fill="FFFFFF"/>
          </w:tcPr>
          <w:p w14:paraId="3B73AF0A" w14:textId="77777777" w:rsidR="000709F1" w:rsidRPr="000F6719" w:rsidRDefault="000709F1"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Rheumatic disease</w:t>
            </w:r>
          </w:p>
        </w:tc>
        <w:tc>
          <w:tcPr>
            <w:tcW w:w="1469" w:type="dxa"/>
            <w:shd w:val="clear" w:color="auto" w:fill="FFFFFF"/>
          </w:tcPr>
          <w:p w14:paraId="600EF2EA"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437 (10.8)</w:t>
            </w:r>
          </w:p>
        </w:tc>
        <w:tc>
          <w:tcPr>
            <w:tcW w:w="1642" w:type="dxa"/>
            <w:shd w:val="clear" w:color="auto" w:fill="FFFFFF"/>
          </w:tcPr>
          <w:p w14:paraId="3889E482"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1,936 (12.2)</w:t>
            </w:r>
          </w:p>
        </w:tc>
        <w:tc>
          <w:tcPr>
            <w:tcW w:w="1642" w:type="dxa"/>
            <w:shd w:val="clear" w:color="auto" w:fill="FFFFFF"/>
          </w:tcPr>
          <w:p w14:paraId="1D101F7A"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3,604 (2.6)</w:t>
            </w:r>
          </w:p>
        </w:tc>
        <w:tc>
          <w:tcPr>
            <w:tcW w:w="1728" w:type="dxa"/>
            <w:shd w:val="clear" w:color="auto" w:fill="FFFFFF"/>
          </w:tcPr>
          <w:p w14:paraId="0E945368"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20,162 (3.6)</w:t>
            </w:r>
          </w:p>
        </w:tc>
      </w:tr>
      <w:tr w:rsidR="000709F1" w:rsidRPr="000F6719" w14:paraId="7F5109FD" w14:textId="77777777" w:rsidTr="004762C3">
        <w:trPr>
          <w:jc w:val="center"/>
        </w:trPr>
        <w:tc>
          <w:tcPr>
            <w:tcW w:w="2952" w:type="dxa"/>
            <w:shd w:val="clear" w:color="auto" w:fill="FFFFFF"/>
          </w:tcPr>
          <w:p w14:paraId="066E36FB" w14:textId="77777777" w:rsidR="000709F1" w:rsidRPr="000F6719" w:rsidRDefault="000709F1"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Peptic ulcer disease</w:t>
            </w:r>
          </w:p>
        </w:tc>
        <w:tc>
          <w:tcPr>
            <w:tcW w:w="1469" w:type="dxa"/>
            <w:shd w:val="clear" w:color="auto" w:fill="FFFFFF"/>
          </w:tcPr>
          <w:p w14:paraId="4D3FFD58"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336 (8.3)</w:t>
            </w:r>
          </w:p>
        </w:tc>
        <w:tc>
          <w:tcPr>
            <w:tcW w:w="1642" w:type="dxa"/>
            <w:shd w:val="clear" w:color="auto" w:fill="FFFFFF"/>
          </w:tcPr>
          <w:p w14:paraId="2AE701B8"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1,299 (8.2)</w:t>
            </w:r>
          </w:p>
        </w:tc>
        <w:tc>
          <w:tcPr>
            <w:tcW w:w="1642" w:type="dxa"/>
            <w:shd w:val="clear" w:color="auto" w:fill="FFFFFF"/>
          </w:tcPr>
          <w:p w14:paraId="7B39C722"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1,174 (0.8)</w:t>
            </w:r>
          </w:p>
        </w:tc>
        <w:tc>
          <w:tcPr>
            <w:tcW w:w="1728" w:type="dxa"/>
            <w:shd w:val="clear" w:color="auto" w:fill="FFFFFF"/>
          </w:tcPr>
          <w:p w14:paraId="729954A4"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6,366 (1.1)</w:t>
            </w:r>
          </w:p>
        </w:tc>
      </w:tr>
      <w:tr w:rsidR="000709F1" w:rsidRPr="000F6719" w14:paraId="1115D8A3" w14:textId="77777777" w:rsidTr="004762C3">
        <w:trPr>
          <w:jc w:val="center"/>
        </w:trPr>
        <w:tc>
          <w:tcPr>
            <w:tcW w:w="2952" w:type="dxa"/>
            <w:shd w:val="clear" w:color="auto" w:fill="FFFFFF"/>
          </w:tcPr>
          <w:p w14:paraId="62F93D32" w14:textId="77777777" w:rsidR="000709F1" w:rsidRPr="000F6719" w:rsidRDefault="000709F1"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Liver disease, mild</w:t>
            </w:r>
          </w:p>
        </w:tc>
        <w:tc>
          <w:tcPr>
            <w:tcW w:w="1469" w:type="dxa"/>
            <w:shd w:val="clear" w:color="auto" w:fill="FFFFFF"/>
          </w:tcPr>
          <w:p w14:paraId="0EADA4F9"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854 (21.0)</w:t>
            </w:r>
          </w:p>
        </w:tc>
        <w:tc>
          <w:tcPr>
            <w:tcW w:w="1642" w:type="dxa"/>
            <w:shd w:val="clear" w:color="auto" w:fill="FFFFFF"/>
          </w:tcPr>
          <w:p w14:paraId="369E96F6"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4,124 (26.0)</w:t>
            </w:r>
          </w:p>
        </w:tc>
        <w:tc>
          <w:tcPr>
            <w:tcW w:w="1642" w:type="dxa"/>
            <w:shd w:val="clear" w:color="auto" w:fill="FFFFFF"/>
          </w:tcPr>
          <w:p w14:paraId="7D121F2D"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7,881 (5.7)</w:t>
            </w:r>
          </w:p>
        </w:tc>
        <w:tc>
          <w:tcPr>
            <w:tcW w:w="1728" w:type="dxa"/>
            <w:shd w:val="clear" w:color="auto" w:fill="FFFFFF"/>
          </w:tcPr>
          <w:p w14:paraId="3B42E9F3"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38,981 (7.0)</w:t>
            </w:r>
          </w:p>
        </w:tc>
      </w:tr>
      <w:tr w:rsidR="000709F1" w:rsidRPr="000F6719" w14:paraId="6322EA10" w14:textId="77777777" w:rsidTr="004762C3">
        <w:trPr>
          <w:jc w:val="center"/>
        </w:trPr>
        <w:tc>
          <w:tcPr>
            <w:tcW w:w="2952" w:type="dxa"/>
            <w:shd w:val="clear" w:color="auto" w:fill="FFFFFF"/>
          </w:tcPr>
          <w:p w14:paraId="0E249206" w14:textId="77777777" w:rsidR="000709F1" w:rsidRPr="000F6719" w:rsidRDefault="000709F1"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Liver disease, moderate/severe</w:t>
            </w:r>
          </w:p>
        </w:tc>
        <w:tc>
          <w:tcPr>
            <w:tcW w:w="1469" w:type="dxa"/>
            <w:shd w:val="clear" w:color="auto" w:fill="FFFFFF"/>
          </w:tcPr>
          <w:p w14:paraId="2C02BB7C"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163 (4.0)</w:t>
            </w:r>
          </w:p>
        </w:tc>
        <w:tc>
          <w:tcPr>
            <w:tcW w:w="1642" w:type="dxa"/>
            <w:shd w:val="clear" w:color="auto" w:fill="FFFFFF"/>
          </w:tcPr>
          <w:p w14:paraId="7FDF4C93"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391 (2.5)</w:t>
            </w:r>
          </w:p>
        </w:tc>
        <w:tc>
          <w:tcPr>
            <w:tcW w:w="1642" w:type="dxa"/>
            <w:shd w:val="clear" w:color="auto" w:fill="FFFFFF"/>
          </w:tcPr>
          <w:p w14:paraId="34899D03"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889 (0.6)</w:t>
            </w:r>
          </w:p>
        </w:tc>
        <w:tc>
          <w:tcPr>
            <w:tcW w:w="1728" w:type="dxa"/>
            <w:shd w:val="clear" w:color="auto" w:fill="FFFFFF"/>
          </w:tcPr>
          <w:p w14:paraId="1E594E70"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1,984 (0.4)</w:t>
            </w:r>
          </w:p>
        </w:tc>
      </w:tr>
      <w:tr w:rsidR="000709F1" w:rsidRPr="000F6719" w14:paraId="2BA91F9F" w14:textId="77777777" w:rsidTr="004762C3">
        <w:trPr>
          <w:jc w:val="center"/>
        </w:trPr>
        <w:tc>
          <w:tcPr>
            <w:tcW w:w="2952" w:type="dxa"/>
            <w:shd w:val="clear" w:color="auto" w:fill="FFFFFF"/>
          </w:tcPr>
          <w:p w14:paraId="4D7A5DAD" w14:textId="77777777" w:rsidR="000709F1" w:rsidRPr="000F6719" w:rsidRDefault="000709F1"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Diabetes without complications</w:t>
            </w:r>
          </w:p>
        </w:tc>
        <w:tc>
          <w:tcPr>
            <w:tcW w:w="1469" w:type="dxa"/>
            <w:shd w:val="clear" w:color="auto" w:fill="FFFFFF"/>
          </w:tcPr>
          <w:p w14:paraId="6A6884F8"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551 (13.6)</w:t>
            </w:r>
          </w:p>
        </w:tc>
        <w:tc>
          <w:tcPr>
            <w:tcW w:w="1642" w:type="dxa"/>
            <w:shd w:val="clear" w:color="auto" w:fill="FFFFFF"/>
          </w:tcPr>
          <w:p w14:paraId="46C2171A"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2,058 (13.0)</w:t>
            </w:r>
          </w:p>
        </w:tc>
        <w:tc>
          <w:tcPr>
            <w:tcW w:w="1642" w:type="dxa"/>
            <w:shd w:val="clear" w:color="auto" w:fill="FFFFFF"/>
          </w:tcPr>
          <w:p w14:paraId="1EFD27B3"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19,085 (13.7)</w:t>
            </w:r>
          </w:p>
        </w:tc>
        <w:tc>
          <w:tcPr>
            <w:tcW w:w="1728" w:type="dxa"/>
            <w:shd w:val="clear" w:color="auto" w:fill="FFFFFF"/>
          </w:tcPr>
          <w:p w14:paraId="70E8BD0A"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52,613 (9.5)</w:t>
            </w:r>
          </w:p>
        </w:tc>
      </w:tr>
      <w:tr w:rsidR="000709F1" w:rsidRPr="000F6719" w14:paraId="7CBB9224" w14:textId="77777777" w:rsidTr="004762C3">
        <w:trPr>
          <w:jc w:val="center"/>
        </w:trPr>
        <w:tc>
          <w:tcPr>
            <w:tcW w:w="2952" w:type="dxa"/>
            <w:shd w:val="clear" w:color="auto" w:fill="FFFFFF"/>
          </w:tcPr>
          <w:p w14:paraId="122EDB53" w14:textId="77777777" w:rsidR="000709F1" w:rsidRPr="000F6719" w:rsidRDefault="000709F1"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Diabetes with complications</w:t>
            </w:r>
          </w:p>
        </w:tc>
        <w:tc>
          <w:tcPr>
            <w:tcW w:w="1469" w:type="dxa"/>
            <w:shd w:val="clear" w:color="auto" w:fill="FFFFFF"/>
          </w:tcPr>
          <w:p w14:paraId="2AA0BA59"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1,075 (26.5)</w:t>
            </w:r>
          </w:p>
        </w:tc>
        <w:tc>
          <w:tcPr>
            <w:tcW w:w="1642" w:type="dxa"/>
            <w:shd w:val="clear" w:color="auto" w:fill="FFFFFF"/>
          </w:tcPr>
          <w:p w14:paraId="7319AED6"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3,542 (22.3)</w:t>
            </w:r>
          </w:p>
        </w:tc>
        <w:tc>
          <w:tcPr>
            <w:tcW w:w="1642" w:type="dxa"/>
            <w:shd w:val="clear" w:color="auto" w:fill="FFFFFF"/>
          </w:tcPr>
          <w:p w14:paraId="3B554506"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11,696 (8.4)</w:t>
            </w:r>
          </w:p>
        </w:tc>
        <w:tc>
          <w:tcPr>
            <w:tcW w:w="1728" w:type="dxa"/>
            <w:shd w:val="clear" w:color="auto" w:fill="FFFFFF"/>
          </w:tcPr>
          <w:p w14:paraId="5145C5A1"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26,591 (4.8)</w:t>
            </w:r>
          </w:p>
        </w:tc>
      </w:tr>
      <w:tr w:rsidR="000709F1" w:rsidRPr="000F6719" w14:paraId="54FD08DF" w14:textId="77777777" w:rsidTr="004762C3">
        <w:trPr>
          <w:jc w:val="center"/>
        </w:trPr>
        <w:tc>
          <w:tcPr>
            <w:tcW w:w="2952" w:type="dxa"/>
            <w:shd w:val="clear" w:color="auto" w:fill="FFFFFF"/>
          </w:tcPr>
          <w:p w14:paraId="42E27B6B" w14:textId="77777777" w:rsidR="000709F1" w:rsidRPr="000F6719" w:rsidRDefault="000709F1"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Hemiplegia or paraplegia</w:t>
            </w:r>
          </w:p>
        </w:tc>
        <w:tc>
          <w:tcPr>
            <w:tcW w:w="1469" w:type="dxa"/>
            <w:shd w:val="clear" w:color="auto" w:fill="FFFFFF"/>
          </w:tcPr>
          <w:p w14:paraId="05A599F5"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212 (5.2)</w:t>
            </w:r>
          </w:p>
        </w:tc>
        <w:tc>
          <w:tcPr>
            <w:tcW w:w="1642" w:type="dxa"/>
            <w:shd w:val="clear" w:color="auto" w:fill="FFFFFF"/>
          </w:tcPr>
          <w:p w14:paraId="3D0FF690"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794 (5.0)</w:t>
            </w:r>
          </w:p>
        </w:tc>
        <w:tc>
          <w:tcPr>
            <w:tcW w:w="1642" w:type="dxa"/>
            <w:shd w:val="clear" w:color="auto" w:fill="FFFFFF"/>
          </w:tcPr>
          <w:p w14:paraId="2872D2BF"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1,460 (1.0)</w:t>
            </w:r>
          </w:p>
        </w:tc>
        <w:tc>
          <w:tcPr>
            <w:tcW w:w="1728" w:type="dxa"/>
            <w:shd w:val="clear" w:color="auto" w:fill="FFFFFF"/>
          </w:tcPr>
          <w:p w14:paraId="580BBA75"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3,423 (0.6)</w:t>
            </w:r>
          </w:p>
        </w:tc>
      </w:tr>
      <w:tr w:rsidR="000709F1" w:rsidRPr="000F6719" w14:paraId="4CFC0F29" w14:textId="77777777" w:rsidTr="004762C3">
        <w:trPr>
          <w:jc w:val="center"/>
        </w:trPr>
        <w:tc>
          <w:tcPr>
            <w:tcW w:w="2952" w:type="dxa"/>
            <w:shd w:val="clear" w:color="auto" w:fill="FFFFFF"/>
          </w:tcPr>
          <w:p w14:paraId="0A4A4235" w14:textId="77777777" w:rsidR="000709F1" w:rsidRPr="000F6719" w:rsidRDefault="000709F1"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Renal disease, mild/moderate</w:t>
            </w:r>
          </w:p>
        </w:tc>
        <w:tc>
          <w:tcPr>
            <w:tcW w:w="1469" w:type="dxa"/>
            <w:shd w:val="clear" w:color="auto" w:fill="FFFFFF"/>
          </w:tcPr>
          <w:p w14:paraId="5DDAB402"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630 (15.5)</w:t>
            </w:r>
          </w:p>
        </w:tc>
        <w:tc>
          <w:tcPr>
            <w:tcW w:w="1642" w:type="dxa"/>
            <w:shd w:val="clear" w:color="auto" w:fill="FFFFFF"/>
          </w:tcPr>
          <w:p w14:paraId="2A3898E1"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2,174 (13.7)</w:t>
            </w:r>
          </w:p>
        </w:tc>
        <w:tc>
          <w:tcPr>
            <w:tcW w:w="1642" w:type="dxa"/>
            <w:shd w:val="clear" w:color="auto" w:fill="FFFFFF"/>
          </w:tcPr>
          <w:p w14:paraId="584DB5A5"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6,199 (4.4)</w:t>
            </w:r>
          </w:p>
        </w:tc>
        <w:tc>
          <w:tcPr>
            <w:tcW w:w="1728" w:type="dxa"/>
            <w:shd w:val="clear" w:color="auto" w:fill="FFFFFF"/>
          </w:tcPr>
          <w:p w14:paraId="383E66D7"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15,289 (2.8)</w:t>
            </w:r>
          </w:p>
        </w:tc>
      </w:tr>
      <w:tr w:rsidR="000709F1" w:rsidRPr="000F6719" w14:paraId="3A8B5E60" w14:textId="77777777" w:rsidTr="004762C3">
        <w:trPr>
          <w:jc w:val="center"/>
        </w:trPr>
        <w:tc>
          <w:tcPr>
            <w:tcW w:w="2952" w:type="dxa"/>
            <w:shd w:val="clear" w:color="auto" w:fill="FFFFFF"/>
          </w:tcPr>
          <w:p w14:paraId="7CDE758D" w14:textId="77777777" w:rsidR="000709F1" w:rsidRPr="000F6719" w:rsidRDefault="000709F1"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Renal disease, severe</w:t>
            </w:r>
          </w:p>
        </w:tc>
        <w:tc>
          <w:tcPr>
            <w:tcW w:w="1469" w:type="dxa"/>
            <w:shd w:val="clear" w:color="auto" w:fill="FFFFFF"/>
          </w:tcPr>
          <w:p w14:paraId="7D50A45F"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479 (11.8)</w:t>
            </w:r>
          </w:p>
        </w:tc>
        <w:tc>
          <w:tcPr>
            <w:tcW w:w="1642" w:type="dxa"/>
            <w:shd w:val="clear" w:color="auto" w:fill="FFFFFF"/>
          </w:tcPr>
          <w:p w14:paraId="19BEBDFC"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1,236 (7.8)</w:t>
            </w:r>
          </w:p>
        </w:tc>
        <w:tc>
          <w:tcPr>
            <w:tcW w:w="1642" w:type="dxa"/>
            <w:shd w:val="clear" w:color="auto" w:fill="FFFFFF"/>
          </w:tcPr>
          <w:p w14:paraId="458B2E8F"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2,816 (2.0)</w:t>
            </w:r>
          </w:p>
        </w:tc>
        <w:tc>
          <w:tcPr>
            <w:tcW w:w="1728" w:type="dxa"/>
            <w:shd w:val="clear" w:color="auto" w:fill="FFFFFF"/>
          </w:tcPr>
          <w:p w14:paraId="0785FEC4"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3,855 (0.7)</w:t>
            </w:r>
          </w:p>
        </w:tc>
      </w:tr>
      <w:tr w:rsidR="000709F1" w:rsidRPr="000F6719" w14:paraId="600B1CFA" w14:textId="77777777" w:rsidTr="004762C3">
        <w:trPr>
          <w:jc w:val="center"/>
        </w:trPr>
        <w:tc>
          <w:tcPr>
            <w:tcW w:w="2952" w:type="dxa"/>
            <w:shd w:val="clear" w:color="auto" w:fill="FFFFFF"/>
          </w:tcPr>
          <w:p w14:paraId="0FB0530F" w14:textId="77777777" w:rsidR="000709F1" w:rsidRPr="000F6719" w:rsidRDefault="000709F1"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HIV</w:t>
            </w:r>
          </w:p>
        </w:tc>
        <w:tc>
          <w:tcPr>
            <w:tcW w:w="1469" w:type="dxa"/>
            <w:shd w:val="clear" w:color="auto" w:fill="FFFFFF"/>
          </w:tcPr>
          <w:p w14:paraId="7A6F132E"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44 (1.1)</w:t>
            </w:r>
          </w:p>
        </w:tc>
        <w:tc>
          <w:tcPr>
            <w:tcW w:w="1642" w:type="dxa"/>
            <w:shd w:val="clear" w:color="auto" w:fill="FFFFFF"/>
          </w:tcPr>
          <w:p w14:paraId="123FB669"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135 (0.9)</w:t>
            </w:r>
          </w:p>
        </w:tc>
        <w:tc>
          <w:tcPr>
            <w:tcW w:w="1642" w:type="dxa"/>
            <w:shd w:val="clear" w:color="auto" w:fill="FFFFFF"/>
          </w:tcPr>
          <w:p w14:paraId="3145A6CC"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444 (0.3)</w:t>
            </w:r>
          </w:p>
        </w:tc>
        <w:tc>
          <w:tcPr>
            <w:tcW w:w="1728" w:type="dxa"/>
            <w:shd w:val="clear" w:color="auto" w:fill="FFFFFF"/>
          </w:tcPr>
          <w:p w14:paraId="581CB2FB"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1,610 (0.3)</w:t>
            </w:r>
          </w:p>
        </w:tc>
      </w:tr>
      <w:tr w:rsidR="000709F1" w:rsidRPr="000F6719" w14:paraId="117B997E" w14:textId="77777777" w:rsidTr="004762C3">
        <w:trPr>
          <w:jc w:val="center"/>
        </w:trPr>
        <w:tc>
          <w:tcPr>
            <w:tcW w:w="2952" w:type="dxa"/>
            <w:shd w:val="clear" w:color="auto" w:fill="FFFFFF"/>
          </w:tcPr>
          <w:p w14:paraId="25637BD6" w14:textId="77777777" w:rsidR="000709F1" w:rsidRPr="000F6719" w:rsidRDefault="000709F1"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Metastatic solid tumor</w:t>
            </w:r>
          </w:p>
        </w:tc>
        <w:tc>
          <w:tcPr>
            <w:tcW w:w="1469" w:type="dxa"/>
            <w:shd w:val="clear" w:color="auto" w:fill="FFFFFF"/>
          </w:tcPr>
          <w:p w14:paraId="7492927C"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191 (4.7)</w:t>
            </w:r>
          </w:p>
        </w:tc>
        <w:tc>
          <w:tcPr>
            <w:tcW w:w="1642" w:type="dxa"/>
            <w:shd w:val="clear" w:color="auto" w:fill="FFFFFF"/>
          </w:tcPr>
          <w:p w14:paraId="360AA5C5"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609 (3.8)</w:t>
            </w:r>
          </w:p>
        </w:tc>
        <w:tc>
          <w:tcPr>
            <w:tcW w:w="1642" w:type="dxa"/>
            <w:shd w:val="clear" w:color="auto" w:fill="FFFFFF"/>
          </w:tcPr>
          <w:p w14:paraId="518640AB"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2,295 (1.6)</w:t>
            </w:r>
          </w:p>
        </w:tc>
        <w:tc>
          <w:tcPr>
            <w:tcW w:w="1728" w:type="dxa"/>
            <w:shd w:val="clear" w:color="auto" w:fill="FFFFFF"/>
          </w:tcPr>
          <w:p w14:paraId="266BD29D"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6,099 (1.1)</w:t>
            </w:r>
          </w:p>
        </w:tc>
      </w:tr>
      <w:tr w:rsidR="000709F1" w:rsidRPr="000F6719" w14:paraId="174E944A" w14:textId="77777777" w:rsidTr="004762C3">
        <w:trPr>
          <w:jc w:val="center"/>
        </w:trPr>
        <w:tc>
          <w:tcPr>
            <w:tcW w:w="2952" w:type="dxa"/>
            <w:shd w:val="clear" w:color="auto" w:fill="FFFFFF"/>
          </w:tcPr>
          <w:p w14:paraId="4DBC430D" w14:textId="77777777" w:rsidR="000709F1" w:rsidRPr="000F6719" w:rsidRDefault="000709F1"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Malignancy</w:t>
            </w:r>
          </w:p>
        </w:tc>
        <w:tc>
          <w:tcPr>
            <w:tcW w:w="1469" w:type="dxa"/>
            <w:shd w:val="clear" w:color="auto" w:fill="FFFFFF"/>
          </w:tcPr>
          <w:p w14:paraId="4A65201D"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700 (17.2)</w:t>
            </w:r>
          </w:p>
        </w:tc>
        <w:tc>
          <w:tcPr>
            <w:tcW w:w="1642" w:type="dxa"/>
            <w:shd w:val="clear" w:color="auto" w:fill="FFFFFF"/>
          </w:tcPr>
          <w:p w14:paraId="248DE2EF"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2,528 (15.9)</w:t>
            </w:r>
          </w:p>
        </w:tc>
        <w:tc>
          <w:tcPr>
            <w:tcW w:w="1642" w:type="dxa"/>
            <w:shd w:val="clear" w:color="auto" w:fill="FFFFFF"/>
          </w:tcPr>
          <w:p w14:paraId="7247C1F7"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4,951 (3.5)</w:t>
            </w:r>
          </w:p>
        </w:tc>
        <w:tc>
          <w:tcPr>
            <w:tcW w:w="1728" w:type="dxa"/>
            <w:shd w:val="clear" w:color="auto" w:fill="FFFFFF"/>
          </w:tcPr>
          <w:p w14:paraId="45E90416"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19,657 (3.5)</w:t>
            </w:r>
          </w:p>
        </w:tc>
      </w:tr>
      <w:tr w:rsidR="000709F1" w:rsidRPr="000F6719" w14:paraId="6326929D" w14:textId="77777777" w:rsidTr="004762C3">
        <w:trPr>
          <w:jc w:val="center"/>
        </w:trPr>
        <w:tc>
          <w:tcPr>
            <w:tcW w:w="2952" w:type="dxa"/>
            <w:shd w:val="clear" w:color="auto" w:fill="FFFFFF"/>
          </w:tcPr>
          <w:p w14:paraId="3C9B9B9F" w14:textId="77777777" w:rsidR="000709F1" w:rsidRPr="000F6719" w:rsidRDefault="000709F1"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AIDS</w:t>
            </w:r>
          </w:p>
        </w:tc>
        <w:tc>
          <w:tcPr>
            <w:tcW w:w="1469" w:type="dxa"/>
            <w:shd w:val="clear" w:color="auto" w:fill="FFFFFF"/>
          </w:tcPr>
          <w:p w14:paraId="38ADFA34"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63 (1.6)</w:t>
            </w:r>
          </w:p>
        </w:tc>
        <w:tc>
          <w:tcPr>
            <w:tcW w:w="1642" w:type="dxa"/>
            <w:shd w:val="clear" w:color="auto" w:fill="FFFFFF"/>
          </w:tcPr>
          <w:p w14:paraId="056475C2"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264 (1.7)</w:t>
            </w:r>
          </w:p>
        </w:tc>
        <w:tc>
          <w:tcPr>
            <w:tcW w:w="1642" w:type="dxa"/>
            <w:shd w:val="clear" w:color="auto" w:fill="FFFFFF"/>
          </w:tcPr>
          <w:p w14:paraId="7A065749"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127 (0.1)</w:t>
            </w:r>
          </w:p>
        </w:tc>
        <w:tc>
          <w:tcPr>
            <w:tcW w:w="1728" w:type="dxa"/>
            <w:shd w:val="clear" w:color="auto" w:fill="FFFFFF"/>
          </w:tcPr>
          <w:p w14:paraId="604F741E"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393 (0.1)</w:t>
            </w:r>
          </w:p>
        </w:tc>
      </w:tr>
      <w:tr w:rsidR="000709F1" w:rsidRPr="000F6719" w14:paraId="6DCAF3CD" w14:textId="77777777" w:rsidTr="004762C3">
        <w:trPr>
          <w:jc w:val="center"/>
        </w:trPr>
        <w:tc>
          <w:tcPr>
            <w:tcW w:w="2952" w:type="dxa"/>
            <w:shd w:val="clear" w:color="auto" w:fill="FFFFFF"/>
          </w:tcPr>
          <w:p w14:paraId="59D38A91" w14:textId="77777777" w:rsidR="000709F1" w:rsidRPr="000F6719" w:rsidRDefault="000709F1" w:rsidP="004762C3">
            <w:pPr>
              <w:spacing w:before="24" w:after="24"/>
              <w:rPr>
                <w:rFonts w:ascii="Times New Roman" w:hAnsi="Times New Roman" w:cs="Times New Roman"/>
              </w:rPr>
            </w:pPr>
            <w:r w:rsidRPr="000F6719">
              <w:rPr>
                <w:rFonts w:ascii="Times New Roman" w:hAnsi="Times New Roman" w:cs="Times New Roman"/>
                <w:b/>
                <w:color w:val="000000"/>
                <w:sz w:val="14"/>
              </w:rPr>
              <w:t>Pandemic wave</w:t>
            </w:r>
          </w:p>
        </w:tc>
        <w:tc>
          <w:tcPr>
            <w:tcW w:w="1469" w:type="dxa"/>
            <w:shd w:val="clear" w:color="auto" w:fill="FFFFFF"/>
          </w:tcPr>
          <w:p w14:paraId="2377CE58" w14:textId="77777777" w:rsidR="000709F1" w:rsidRPr="000F6719" w:rsidRDefault="000709F1" w:rsidP="004762C3">
            <w:pPr>
              <w:spacing w:before="24" w:after="24"/>
              <w:jc w:val="right"/>
              <w:rPr>
                <w:rFonts w:ascii="Times New Roman" w:hAnsi="Times New Roman" w:cs="Times New Roman"/>
              </w:rPr>
            </w:pPr>
          </w:p>
        </w:tc>
        <w:tc>
          <w:tcPr>
            <w:tcW w:w="1642" w:type="dxa"/>
            <w:shd w:val="clear" w:color="auto" w:fill="FFFFFF"/>
          </w:tcPr>
          <w:p w14:paraId="4633CE80" w14:textId="77777777" w:rsidR="000709F1" w:rsidRPr="000F6719" w:rsidRDefault="000709F1" w:rsidP="004762C3">
            <w:pPr>
              <w:spacing w:before="24" w:after="24"/>
              <w:jc w:val="right"/>
              <w:rPr>
                <w:rFonts w:ascii="Times New Roman" w:hAnsi="Times New Roman" w:cs="Times New Roman"/>
              </w:rPr>
            </w:pPr>
          </w:p>
        </w:tc>
        <w:tc>
          <w:tcPr>
            <w:tcW w:w="1642" w:type="dxa"/>
            <w:shd w:val="clear" w:color="auto" w:fill="FFFFFF"/>
          </w:tcPr>
          <w:p w14:paraId="4C85D7BF" w14:textId="77777777" w:rsidR="000709F1" w:rsidRPr="000F6719" w:rsidRDefault="000709F1" w:rsidP="004762C3">
            <w:pPr>
              <w:spacing w:before="24" w:after="24"/>
              <w:jc w:val="right"/>
              <w:rPr>
                <w:rFonts w:ascii="Times New Roman" w:hAnsi="Times New Roman" w:cs="Times New Roman"/>
              </w:rPr>
            </w:pPr>
          </w:p>
        </w:tc>
        <w:tc>
          <w:tcPr>
            <w:tcW w:w="1728" w:type="dxa"/>
            <w:shd w:val="clear" w:color="auto" w:fill="FFFFFF"/>
          </w:tcPr>
          <w:p w14:paraId="45B28CA8" w14:textId="77777777" w:rsidR="000709F1" w:rsidRPr="000F6719" w:rsidRDefault="000709F1" w:rsidP="004762C3">
            <w:pPr>
              <w:spacing w:before="24" w:after="24"/>
              <w:jc w:val="right"/>
              <w:rPr>
                <w:rFonts w:ascii="Times New Roman" w:hAnsi="Times New Roman" w:cs="Times New Roman"/>
              </w:rPr>
            </w:pPr>
          </w:p>
        </w:tc>
      </w:tr>
      <w:tr w:rsidR="000709F1" w:rsidRPr="000F6719" w14:paraId="772502ED" w14:textId="77777777" w:rsidTr="004762C3">
        <w:trPr>
          <w:jc w:val="center"/>
        </w:trPr>
        <w:tc>
          <w:tcPr>
            <w:tcW w:w="2952" w:type="dxa"/>
            <w:shd w:val="clear" w:color="auto" w:fill="FFFFFF"/>
          </w:tcPr>
          <w:p w14:paraId="1DF7F975" w14:textId="77777777" w:rsidR="000709F1" w:rsidRPr="000F6719" w:rsidRDefault="000709F1"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Pre-Delta</w:t>
            </w:r>
          </w:p>
        </w:tc>
        <w:tc>
          <w:tcPr>
            <w:tcW w:w="1469" w:type="dxa"/>
            <w:shd w:val="clear" w:color="auto" w:fill="FFFFFF"/>
          </w:tcPr>
          <w:p w14:paraId="4D29CC41"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2,087 (51.4)</w:t>
            </w:r>
          </w:p>
        </w:tc>
        <w:tc>
          <w:tcPr>
            <w:tcW w:w="1642" w:type="dxa"/>
            <w:shd w:val="clear" w:color="auto" w:fill="FFFFFF"/>
          </w:tcPr>
          <w:p w14:paraId="578DAFC8"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7,656 (48.3)</w:t>
            </w:r>
          </w:p>
        </w:tc>
        <w:tc>
          <w:tcPr>
            <w:tcW w:w="1642" w:type="dxa"/>
            <w:shd w:val="clear" w:color="auto" w:fill="FFFFFF"/>
          </w:tcPr>
          <w:p w14:paraId="719D6126"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NA</w:t>
            </w:r>
          </w:p>
        </w:tc>
        <w:tc>
          <w:tcPr>
            <w:tcW w:w="1728" w:type="dxa"/>
            <w:shd w:val="clear" w:color="auto" w:fill="FFFFFF"/>
          </w:tcPr>
          <w:p w14:paraId="3DA4D24F"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NA</w:t>
            </w:r>
          </w:p>
        </w:tc>
      </w:tr>
      <w:tr w:rsidR="000709F1" w:rsidRPr="000F6719" w14:paraId="54C890E4" w14:textId="77777777" w:rsidTr="004762C3">
        <w:trPr>
          <w:jc w:val="center"/>
        </w:trPr>
        <w:tc>
          <w:tcPr>
            <w:tcW w:w="2952" w:type="dxa"/>
            <w:shd w:val="clear" w:color="auto" w:fill="FFFFFF"/>
          </w:tcPr>
          <w:p w14:paraId="61EE4352" w14:textId="77777777" w:rsidR="000709F1" w:rsidRPr="000F6719" w:rsidRDefault="000709F1"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Delta</w:t>
            </w:r>
          </w:p>
        </w:tc>
        <w:tc>
          <w:tcPr>
            <w:tcW w:w="1469" w:type="dxa"/>
            <w:shd w:val="clear" w:color="auto" w:fill="FFFFFF"/>
          </w:tcPr>
          <w:p w14:paraId="0C9978FC"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644 (15.8)</w:t>
            </w:r>
          </w:p>
        </w:tc>
        <w:tc>
          <w:tcPr>
            <w:tcW w:w="1642" w:type="dxa"/>
            <w:shd w:val="clear" w:color="auto" w:fill="FFFFFF"/>
          </w:tcPr>
          <w:p w14:paraId="76C30701"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2,338 (14.7)</w:t>
            </w:r>
          </w:p>
        </w:tc>
        <w:tc>
          <w:tcPr>
            <w:tcW w:w="1642" w:type="dxa"/>
            <w:shd w:val="clear" w:color="auto" w:fill="FFFFFF"/>
          </w:tcPr>
          <w:p w14:paraId="32F098B1"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NA</w:t>
            </w:r>
          </w:p>
        </w:tc>
        <w:tc>
          <w:tcPr>
            <w:tcW w:w="1728" w:type="dxa"/>
            <w:shd w:val="clear" w:color="auto" w:fill="FFFFFF"/>
          </w:tcPr>
          <w:p w14:paraId="531E845C"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NA</w:t>
            </w:r>
          </w:p>
        </w:tc>
      </w:tr>
      <w:tr w:rsidR="000709F1" w:rsidRPr="000F6719" w14:paraId="0A3B70AA" w14:textId="77777777" w:rsidTr="004762C3">
        <w:trPr>
          <w:jc w:val="center"/>
        </w:trPr>
        <w:tc>
          <w:tcPr>
            <w:tcW w:w="2952" w:type="dxa"/>
            <w:tcBorders>
              <w:bottom w:val="single" w:sz="8" w:space="0" w:color="333333"/>
            </w:tcBorders>
            <w:shd w:val="clear" w:color="auto" w:fill="FFFFFF"/>
          </w:tcPr>
          <w:p w14:paraId="2D6B6201" w14:textId="77777777" w:rsidR="000709F1" w:rsidRPr="000F6719" w:rsidRDefault="000709F1"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Omicron</w:t>
            </w:r>
          </w:p>
        </w:tc>
        <w:tc>
          <w:tcPr>
            <w:tcW w:w="1469" w:type="dxa"/>
            <w:tcBorders>
              <w:bottom w:val="single" w:sz="8" w:space="0" w:color="333333"/>
            </w:tcBorders>
            <w:shd w:val="clear" w:color="auto" w:fill="FFFFFF"/>
          </w:tcPr>
          <w:p w14:paraId="0B9B9EC7"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1,333 (32.8)</w:t>
            </w:r>
          </w:p>
        </w:tc>
        <w:tc>
          <w:tcPr>
            <w:tcW w:w="1642" w:type="dxa"/>
            <w:tcBorders>
              <w:bottom w:val="single" w:sz="8" w:space="0" w:color="333333"/>
            </w:tcBorders>
            <w:shd w:val="clear" w:color="auto" w:fill="FFFFFF"/>
          </w:tcPr>
          <w:p w14:paraId="6C26E6AC"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5,862 (37.0)</w:t>
            </w:r>
          </w:p>
        </w:tc>
        <w:tc>
          <w:tcPr>
            <w:tcW w:w="1642" w:type="dxa"/>
            <w:tcBorders>
              <w:bottom w:val="single" w:sz="8" w:space="0" w:color="333333"/>
            </w:tcBorders>
            <w:shd w:val="clear" w:color="auto" w:fill="FFFFFF"/>
          </w:tcPr>
          <w:p w14:paraId="2B6C3F09"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NA</w:t>
            </w:r>
          </w:p>
        </w:tc>
        <w:tc>
          <w:tcPr>
            <w:tcW w:w="1728" w:type="dxa"/>
            <w:tcBorders>
              <w:bottom w:val="single" w:sz="8" w:space="0" w:color="333333"/>
            </w:tcBorders>
            <w:shd w:val="clear" w:color="auto" w:fill="FFFFFF"/>
          </w:tcPr>
          <w:p w14:paraId="72BAFAFB" w14:textId="77777777" w:rsidR="000709F1" w:rsidRPr="000F6719" w:rsidRDefault="000709F1"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NA</w:t>
            </w:r>
          </w:p>
        </w:tc>
      </w:tr>
    </w:tbl>
    <w:p w14:paraId="255DD871" w14:textId="77777777" w:rsidR="000709F1" w:rsidRPr="000F6719" w:rsidRDefault="000709F1" w:rsidP="000709F1">
      <w:pPr>
        <w:rPr>
          <w:rFonts w:ascii="Times New Roman" w:hAnsi="Times New Roman" w:cs="Times New Roman"/>
        </w:rPr>
      </w:pPr>
      <w:r w:rsidRPr="000F6719">
        <w:rPr>
          <w:rFonts w:ascii="Times New Roman" w:hAnsi="Times New Roman" w:cs="Times New Roman"/>
          <w:sz w:val="13"/>
        </w:rPr>
        <w:t>ᵃNA, not available. Race and ethnicity are not captured in MarketScan commercial claims. Pandemic wave was included as a covariate in the MarketScan base model (Figure 3, eTable 10) but is not tabulated here. Cell counts &lt;20 are suppressed.</w:t>
      </w:r>
    </w:p>
    <w:p w14:paraId="1C4520C0" w14:textId="77777777" w:rsidR="000709F1" w:rsidRPr="000F6719" w:rsidRDefault="000709F1" w:rsidP="000709F1">
      <w:pPr>
        <w:rPr>
          <w:rFonts w:ascii="Times New Roman" w:hAnsi="Times New Roman" w:cs="Times New Roman"/>
        </w:rPr>
      </w:pPr>
      <w:r w:rsidRPr="000F6719">
        <w:rPr>
          <w:rFonts w:ascii="Times New Roman" w:hAnsi="Times New Roman" w:cs="Times New Roman"/>
          <w:sz w:val="13"/>
        </w:rPr>
        <w:t xml:space="preserve">ᵇVaccination “No record” denotes no vaccination record identified before the index date using the concept set in </w:t>
      </w:r>
      <w:proofErr w:type="spellStart"/>
      <w:r w:rsidRPr="000F6719">
        <w:rPr>
          <w:rFonts w:ascii="Times New Roman" w:hAnsi="Times New Roman" w:cs="Times New Roman"/>
          <w:sz w:val="13"/>
        </w:rPr>
        <w:t>eTable</w:t>
      </w:r>
      <w:proofErr w:type="spellEnd"/>
      <w:r w:rsidRPr="000F6719">
        <w:rPr>
          <w:rFonts w:ascii="Times New Roman" w:hAnsi="Times New Roman" w:cs="Times New Roman"/>
          <w:sz w:val="13"/>
        </w:rPr>
        <w:t xml:space="preserve"> 3; it does not confirm the participant was unvaccinated.</w:t>
      </w:r>
    </w:p>
    <w:p w14:paraId="230613FC" w14:textId="77777777" w:rsidR="000709F1" w:rsidRPr="000F6719" w:rsidRDefault="000709F1" w:rsidP="000709F1">
      <w:pPr>
        <w:rPr>
          <w:rFonts w:ascii="Times New Roman" w:hAnsi="Times New Roman" w:cs="Times New Roman"/>
        </w:rPr>
      </w:pPr>
      <w:r w:rsidRPr="000F6719">
        <w:rPr>
          <w:rFonts w:ascii="Times New Roman" w:hAnsi="Times New Roman" w:cs="Times New Roman"/>
          <w:sz w:val="13"/>
        </w:rPr>
        <w:t>ᶜMarketScan captures commercially insured individuals, so adults aged ≥65 years, who are predominantly covered by Medicare, are under-represented.</w:t>
      </w:r>
    </w:p>
    <w:p w14:paraId="24F3EAF8" w14:textId="77777777" w:rsidR="000F6719" w:rsidRPr="000F6719" w:rsidRDefault="000F6719" w:rsidP="000F6719">
      <w:pPr>
        <w:rPr>
          <w:rFonts w:ascii="Times New Roman" w:hAnsi="Times New Roman" w:cs="Times New Roman"/>
          <w:b/>
          <w:sz w:val="18"/>
        </w:rPr>
      </w:pPr>
    </w:p>
    <w:p w14:paraId="12B3491D" w14:textId="5265C2ED" w:rsidR="000F6719" w:rsidRPr="000F6719" w:rsidRDefault="000F6719" w:rsidP="000F6719">
      <w:pPr>
        <w:rPr>
          <w:rFonts w:ascii="Times New Roman" w:hAnsi="Times New Roman" w:cs="Times New Roman"/>
        </w:rPr>
      </w:pPr>
      <w:r w:rsidRPr="000F6719">
        <w:rPr>
          <w:rFonts w:ascii="Times New Roman" w:hAnsi="Times New Roman" w:cs="Times New Roman"/>
          <w:b/>
          <w:sz w:val="18"/>
        </w:rPr>
        <w:t xml:space="preserve">Table 2. </w:t>
      </w:r>
      <w:proofErr w:type="gramStart"/>
      <w:r w:rsidRPr="000F6719">
        <w:rPr>
          <w:rFonts w:ascii="Times New Roman" w:hAnsi="Times New Roman" w:cs="Times New Roman"/>
          <w:b/>
          <w:sz w:val="18"/>
        </w:rPr>
        <w:t>Social determinants of health characteristics,</w:t>
      </w:r>
      <w:proofErr w:type="gramEnd"/>
      <w:r w:rsidRPr="000F6719">
        <w:rPr>
          <w:rFonts w:ascii="Times New Roman" w:hAnsi="Times New Roman" w:cs="Times New Roman"/>
          <w:b/>
          <w:sz w:val="18"/>
        </w:rPr>
        <w:t xml:space="preserve"> matched All of Us cohort.</w:t>
      </w:r>
    </w:p>
    <w:p w14:paraId="03089510" w14:textId="77777777" w:rsidR="000F6719" w:rsidRPr="000F6719" w:rsidRDefault="000F6719" w:rsidP="000F6719">
      <w:pPr>
        <w:rPr>
          <w:rFonts w:ascii="Times New Roman" w:hAnsi="Times New Roman" w:cs="Times New Roman"/>
        </w:rPr>
      </w:pPr>
      <w:r w:rsidRPr="000F6719">
        <w:rPr>
          <w:rFonts w:ascii="Times New Roman" w:hAnsi="Times New Roman" w:cs="Times New Roman"/>
          <w:sz w:val="15"/>
        </w:rPr>
        <w:t>Data are n (%). Percentages are column percentages of the matched cohort (4,064 cases; 15,856 controls).</w:t>
      </w:r>
    </w:p>
    <w:tbl>
      <w:tblPr>
        <w:tblW w:w="0" w:type="auto"/>
        <w:jc w:val="center"/>
        <w:tblLayout w:type="fixed"/>
        <w:tblLook w:val="04A0" w:firstRow="1" w:lastRow="0" w:firstColumn="1" w:lastColumn="0" w:noHBand="0" w:noVBand="1"/>
      </w:tblPr>
      <w:tblGrid>
        <w:gridCol w:w="4392"/>
        <w:gridCol w:w="2232"/>
        <w:gridCol w:w="2232"/>
      </w:tblGrid>
      <w:tr w:rsidR="000F6719" w:rsidRPr="000F6719" w14:paraId="5FEACD5E" w14:textId="77777777" w:rsidTr="004762C3">
        <w:trPr>
          <w:jc w:val="center"/>
        </w:trPr>
        <w:tc>
          <w:tcPr>
            <w:tcW w:w="4392" w:type="dxa"/>
            <w:tcBorders>
              <w:top w:val="single" w:sz="8" w:space="0" w:color="333333"/>
              <w:bottom w:val="single" w:sz="8" w:space="0" w:color="333333"/>
            </w:tcBorders>
            <w:shd w:val="clear" w:color="auto" w:fill="FFFFFF"/>
          </w:tcPr>
          <w:p w14:paraId="7B4B2AC6" w14:textId="77777777" w:rsidR="000F6719" w:rsidRPr="000F6719" w:rsidRDefault="000F6719" w:rsidP="004762C3">
            <w:pPr>
              <w:spacing w:before="24" w:after="24"/>
              <w:rPr>
                <w:rFonts w:ascii="Times New Roman" w:hAnsi="Times New Roman" w:cs="Times New Roman"/>
              </w:rPr>
            </w:pPr>
            <w:r w:rsidRPr="000F6719">
              <w:rPr>
                <w:rFonts w:ascii="Times New Roman" w:hAnsi="Times New Roman" w:cs="Times New Roman"/>
                <w:b/>
                <w:color w:val="000000"/>
                <w:sz w:val="14"/>
              </w:rPr>
              <w:t>Variable</w:t>
            </w:r>
          </w:p>
        </w:tc>
        <w:tc>
          <w:tcPr>
            <w:tcW w:w="2232" w:type="dxa"/>
            <w:tcBorders>
              <w:top w:val="single" w:sz="8" w:space="0" w:color="333333"/>
              <w:bottom w:val="single" w:sz="8" w:space="0" w:color="333333"/>
            </w:tcBorders>
            <w:shd w:val="clear" w:color="auto" w:fill="FFFFFF"/>
          </w:tcPr>
          <w:p w14:paraId="0DB4F555"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b/>
                <w:color w:val="000000"/>
                <w:sz w:val="14"/>
              </w:rPr>
              <w:t>Cases</w:t>
            </w:r>
          </w:p>
        </w:tc>
        <w:tc>
          <w:tcPr>
            <w:tcW w:w="2232" w:type="dxa"/>
            <w:tcBorders>
              <w:top w:val="single" w:sz="8" w:space="0" w:color="333333"/>
              <w:bottom w:val="single" w:sz="8" w:space="0" w:color="333333"/>
            </w:tcBorders>
            <w:shd w:val="clear" w:color="auto" w:fill="FFFFFF"/>
          </w:tcPr>
          <w:p w14:paraId="72346A9C"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b/>
                <w:color w:val="000000"/>
                <w:sz w:val="14"/>
              </w:rPr>
              <w:t>Controls</w:t>
            </w:r>
          </w:p>
        </w:tc>
      </w:tr>
      <w:tr w:rsidR="000F6719" w:rsidRPr="000F6719" w14:paraId="4E0E34AC" w14:textId="77777777" w:rsidTr="004762C3">
        <w:trPr>
          <w:jc w:val="center"/>
        </w:trPr>
        <w:tc>
          <w:tcPr>
            <w:tcW w:w="4392" w:type="dxa"/>
            <w:shd w:val="clear" w:color="auto" w:fill="FFFFFF"/>
          </w:tcPr>
          <w:p w14:paraId="4DD5822A" w14:textId="77777777" w:rsidR="000F6719" w:rsidRPr="000F6719" w:rsidRDefault="000F6719" w:rsidP="004762C3">
            <w:pPr>
              <w:spacing w:before="24" w:after="24"/>
              <w:rPr>
                <w:rFonts w:ascii="Times New Roman" w:hAnsi="Times New Roman" w:cs="Times New Roman"/>
              </w:rPr>
            </w:pPr>
            <w:r w:rsidRPr="000F6719">
              <w:rPr>
                <w:rFonts w:ascii="Times New Roman" w:hAnsi="Times New Roman" w:cs="Times New Roman"/>
                <w:b/>
                <w:color w:val="000000"/>
                <w:sz w:val="14"/>
              </w:rPr>
              <w:t>Income</w:t>
            </w:r>
          </w:p>
        </w:tc>
        <w:tc>
          <w:tcPr>
            <w:tcW w:w="2232" w:type="dxa"/>
            <w:shd w:val="clear" w:color="auto" w:fill="FFFFFF"/>
          </w:tcPr>
          <w:p w14:paraId="12EF5822" w14:textId="77777777" w:rsidR="000F6719" w:rsidRPr="000F6719" w:rsidRDefault="000F6719" w:rsidP="004762C3">
            <w:pPr>
              <w:spacing w:before="24" w:after="24"/>
              <w:jc w:val="right"/>
              <w:rPr>
                <w:rFonts w:ascii="Times New Roman" w:hAnsi="Times New Roman" w:cs="Times New Roman"/>
              </w:rPr>
            </w:pPr>
          </w:p>
        </w:tc>
        <w:tc>
          <w:tcPr>
            <w:tcW w:w="2232" w:type="dxa"/>
            <w:shd w:val="clear" w:color="auto" w:fill="FFFFFF"/>
          </w:tcPr>
          <w:p w14:paraId="0314BFC9" w14:textId="77777777" w:rsidR="000F6719" w:rsidRPr="000F6719" w:rsidRDefault="000F6719" w:rsidP="004762C3">
            <w:pPr>
              <w:spacing w:before="24" w:after="24"/>
              <w:jc w:val="right"/>
              <w:rPr>
                <w:rFonts w:ascii="Times New Roman" w:hAnsi="Times New Roman" w:cs="Times New Roman"/>
              </w:rPr>
            </w:pPr>
          </w:p>
        </w:tc>
      </w:tr>
      <w:tr w:rsidR="000F6719" w:rsidRPr="000F6719" w14:paraId="5E5BCFC1" w14:textId="77777777" w:rsidTr="004762C3">
        <w:trPr>
          <w:jc w:val="center"/>
        </w:trPr>
        <w:tc>
          <w:tcPr>
            <w:tcW w:w="4392" w:type="dxa"/>
            <w:shd w:val="clear" w:color="auto" w:fill="FFFFFF"/>
          </w:tcPr>
          <w:p w14:paraId="12077C3D" w14:textId="77777777" w:rsidR="000F6719" w:rsidRPr="000F6719" w:rsidRDefault="000F6719"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&lt;$10,000</w:t>
            </w:r>
          </w:p>
        </w:tc>
        <w:tc>
          <w:tcPr>
            <w:tcW w:w="2232" w:type="dxa"/>
            <w:shd w:val="clear" w:color="auto" w:fill="FFFFFF"/>
          </w:tcPr>
          <w:p w14:paraId="4435DACB"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675 (16.6)</w:t>
            </w:r>
          </w:p>
        </w:tc>
        <w:tc>
          <w:tcPr>
            <w:tcW w:w="2232" w:type="dxa"/>
            <w:shd w:val="clear" w:color="auto" w:fill="FFFFFF"/>
          </w:tcPr>
          <w:p w14:paraId="61178525"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2,257 (14.2)</w:t>
            </w:r>
          </w:p>
        </w:tc>
      </w:tr>
      <w:tr w:rsidR="000F6719" w:rsidRPr="000F6719" w14:paraId="0A2937DF" w14:textId="77777777" w:rsidTr="004762C3">
        <w:trPr>
          <w:jc w:val="center"/>
        </w:trPr>
        <w:tc>
          <w:tcPr>
            <w:tcW w:w="4392" w:type="dxa"/>
            <w:shd w:val="clear" w:color="auto" w:fill="FFFFFF"/>
          </w:tcPr>
          <w:p w14:paraId="033E0DDD" w14:textId="77777777" w:rsidR="000F6719" w:rsidRPr="000F6719" w:rsidRDefault="000F6719"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$10,000–24,999</w:t>
            </w:r>
          </w:p>
        </w:tc>
        <w:tc>
          <w:tcPr>
            <w:tcW w:w="2232" w:type="dxa"/>
            <w:shd w:val="clear" w:color="auto" w:fill="FFFFFF"/>
          </w:tcPr>
          <w:p w14:paraId="7EA6763A"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650 (16.0)</w:t>
            </w:r>
          </w:p>
        </w:tc>
        <w:tc>
          <w:tcPr>
            <w:tcW w:w="2232" w:type="dxa"/>
            <w:shd w:val="clear" w:color="auto" w:fill="FFFFFF"/>
          </w:tcPr>
          <w:p w14:paraId="53128FF3"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2,268 (14.3)</w:t>
            </w:r>
          </w:p>
        </w:tc>
      </w:tr>
      <w:tr w:rsidR="000F6719" w:rsidRPr="000F6719" w14:paraId="062FC9E2" w14:textId="77777777" w:rsidTr="004762C3">
        <w:trPr>
          <w:jc w:val="center"/>
        </w:trPr>
        <w:tc>
          <w:tcPr>
            <w:tcW w:w="4392" w:type="dxa"/>
            <w:shd w:val="clear" w:color="auto" w:fill="FFFFFF"/>
          </w:tcPr>
          <w:p w14:paraId="6A510A46" w14:textId="77777777" w:rsidR="000F6719" w:rsidRPr="000F6719" w:rsidRDefault="000F6719"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$25,000–34,999</w:t>
            </w:r>
          </w:p>
        </w:tc>
        <w:tc>
          <w:tcPr>
            <w:tcW w:w="2232" w:type="dxa"/>
            <w:shd w:val="clear" w:color="auto" w:fill="FFFFFF"/>
          </w:tcPr>
          <w:p w14:paraId="42041C56"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318 (7.8)</w:t>
            </w:r>
          </w:p>
        </w:tc>
        <w:tc>
          <w:tcPr>
            <w:tcW w:w="2232" w:type="dxa"/>
            <w:shd w:val="clear" w:color="auto" w:fill="FFFFFF"/>
          </w:tcPr>
          <w:p w14:paraId="32BFE137"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1,351 (8.5)</w:t>
            </w:r>
          </w:p>
        </w:tc>
      </w:tr>
      <w:tr w:rsidR="000F6719" w:rsidRPr="000F6719" w14:paraId="57899824" w14:textId="77777777" w:rsidTr="004762C3">
        <w:trPr>
          <w:jc w:val="center"/>
        </w:trPr>
        <w:tc>
          <w:tcPr>
            <w:tcW w:w="4392" w:type="dxa"/>
            <w:shd w:val="clear" w:color="auto" w:fill="FFFFFF"/>
          </w:tcPr>
          <w:p w14:paraId="7260A0D7" w14:textId="77777777" w:rsidR="000F6719" w:rsidRPr="000F6719" w:rsidRDefault="000F6719"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$35,000–99,999 (reference)</w:t>
            </w:r>
          </w:p>
        </w:tc>
        <w:tc>
          <w:tcPr>
            <w:tcW w:w="2232" w:type="dxa"/>
            <w:shd w:val="clear" w:color="auto" w:fill="FFFFFF"/>
          </w:tcPr>
          <w:p w14:paraId="00074BB9"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793 (19.5)</w:t>
            </w:r>
          </w:p>
        </w:tc>
        <w:tc>
          <w:tcPr>
            <w:tcW w:w="2232" w:type="dxa"/>
            <w:shd w:val="clear" w:color="auto" w:fill="FFFFFF"/>
          </w:tcPr>
          <w:p w14:paraId="32F0B62D"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4,264 (26.9)</w:t>
            </w:r>
          </w:p>
        </w:tc>
      </w:tr>
      <w:tr w:rsidR="000F6719" w:rsidRPr="000F6719" w14:paraId="545F05D2" w14:textId="77777777" w:rsidTr="004762C3">
        <w:trPr>
          <w:jc w:val="center"/>
        </w:trPr>
        <w:tc>
          <w:tcPr>
            <w:tcW w:w="4392" w:type="dxa"/>
            <w:shd w:val="clear" w:color="auto" w:fill="FFFFFF"/>
          </w:tcPr>
          <w:p w14:paraId="549E829B" w14:textId="77777777" w:rsidR="000F6719" w:rsidRPr="000F6719" w:rsidRDefault="000F6719"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$100,000–149,999</w:t>
            </w:r>
          </w:p>
        </w:tc>
        <w:tc>
          <w:tcPr>
            <w:tcW w:w="2232" w:type="dxa"/>
            <w:shd w:val="clear" w:color="auto" w:fill="FFFFFF"/>
          </w:tcPr>
          <w:p w14:paraId="600552DE"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277 (6.8)</w:t>
            </w:r>
          </w:p>
        </w:tc>
        <w:tc>
          <w:tcPr>
            <w:tcW w:w="2232" w:type="dxa"/>
            <w:shd w:val="clear" w:color="auto" w:fill="FFFFFF"/>
          </w:tcPr>
          <w:p w14:paraId="4748F154"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1,292 (8.1)</w:t>
            </w:r>
          </w:p>
        </w:tc>
      </w:tr>
      <w:tr w:rsidR="000F6719" w:rsidRPr="000F6719" w14:paraId="07AFD3B1" w14:textId="77777777" w:rsidTr="004762C3">
        <w:trPr>
          <w:jc w:val="center"/>
        </w:trPr>
        <w:tc>
          <w:tcPr>
            <w:tcW w:w="4392" w:type="dxa"/>
            <w:shd w:val="clear" w:color="auto" w:fill="FFFFFF"/>
          </w:tcPr>
          <w:p w14:paraId="5C6F2F1D" w14:textId="77777777" w:rsidR="000F6719" w:rsidRPr="000F6719" w:rsidRDefault="000F6719"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$150,000–199,999</w:t>
            </w:r>
          </w:p>
        </w:tc>
        <w:tc>
          <w:tcPr>
            <w:tcW w:w="2232" w:type="dxa"/>
            <w:shd w:val="clear" w:color="auto" w:fill="FFFFFF"/>
          </w:tcPr>
          <w:p w14:paraId="306F65F8"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122 (3.0)</w:t>
            </w:r>
          </w:p>
        </w:tc>
        <w:tc>
          <w:tcPr>
            <w:tcW w:w="2232" w:type="dxa"/>
            <w:shd w:val="clear" w:color="auto" w:fill="FFFFFF"/>
          </w:tcPr>
          <w:p w14:paraId="3CA7AD4A"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582 (3.7)</w:t>
            </w:r>
          </w:p>
        </w:tc>
      </w:tr>
      <w:tr w:rsidR="000F6719" w:rsidRPr="000F6719" w14:paraId="7E3151CE" w14:textId="77777777" w:rsidTr="004762C3">
        <w:trPr>
          <w:jc w:val="center"/>
        </w:trPr>
        <w:tc>
          <w:tcPr>
            <w:tcW w:w="4392" w:type="dxa"/>
            <w:shd w:val="clear" w:color="auto" w:fill="FFFFFF"/>
          </w:tcPr>
          <w:p w14:paraId="7F58DEAD" w14:textId="77777777" w:rsidR="000F6719" w:rsidRPr="000F6719" w:rsidRDefault="000F6719"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≥$200,000</w:t>
            </w:r>
          </w:p>
        </w:tc>
        <w:tc>
          <w:tcPr>
            <w:tcW w:w="2232" w:type="dxa"/>
            <w:shd w:val="clear" w:color="auto" w:fill="FFFFFF"/>
          </w:tcPr>
          <w:p w14:paraId="0F638797"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143 (3.5)</w:t>
            </w:r>
          </w:p>
        </w:tc>
        <w:tc>
          <w:tcPr>
            <w:tcW w:w="2232" w:type="dxa"/>
            <w:shd w:val="clear" w:color="auto" w:fill="FFFFFF"/>
          </w:tcPr>
          <w:p w14:paraId="78555F2E"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705 (4.4)</w:t>
            </w:r>
          </w:p>
        </w:tc>
      </w:tr>
      <w:tr w:rsidR="000F6719" w:rsidRPr="000F6719" w14:paraId="34A786C6" w14:textId="77777777" w:rsidTr="004762C3">
        <w:trPr>
          <w:jc w:val="center"/>
        </w:trPr>
        <w:tc>
          <w:tcPr>
            <w:tcW w:w="4392" w:type="dxa"/>
            <w:shd w:val="clear" w:color="auto" w:fill="FFFFFF"/>
          </w:tcPr>
          <w:p w14:paraId="451C53D5" w14:textId="77777777" w:rsidR="000F6719" w:rsidRPr="000F6719" w:rsidRDefault="000F6719"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Missing</w:t>
            </w:r>
          </w:p>
        </w:tc>
        <w:tc>
          <w:tcPr>
            <w:tcW w:w="2232" w:type="dxa"/>
            <w:shd w:val="clear" w:color="auto" w:fill="FFFFFF"/>
          </w:tcPr>
          <w:p w14:paraId="6AC8DFED"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1,086 (26.7)</w:t>
            </w:r>
          </w:p>
        </w:tc>
        <w:tc>
          <w:tcPr>
            <w:tcW w:w="2232" w:type="dxa"/>
            <w:shd w:val="clear" w:color="auto" w:fill="FFFFFF"/>
          </w:tcPr>
          <w:p w14:paraId="3743873A"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3,137 (19.8)</w:t>
            </w:r>
          </w:p>
        </w:tc>
      </w:tr>
      <w:tr w:rsidR="000F6719" w:rsidRPr="000F6719" w14:paraId="592C8062" w14:textId="77777777" w:rsidTr="004762C3">
        <w:trPr>
          <w:jc w:val="center"/>
        </w:trPr>
        <w:tc>
          <w:tcPr>
            <w:tcW w:w="4392" w:type="dxa"/>
            <w:shd w:val="clear" w:color="auto" w:fill="FFFFFF"/>
          </w:tcPr>
          <w:p w14:paraId="19EA3771" w14:textId="77777777" w:rsidR="000F6719" w:rsidRPr="000F6719" w:rsidRDefault="000F6719" w:rsidP="004762C3">
            <w:pPr>
              <w:spacing w:before="24" w:after="24"/>
              <w:rPr>
                <w:rFonts w:ascii="Times New Roman" w:hAnsi="Times New Roman" w:cs="Times New Roman"/>
              </w:rPr>
            </w:pPr>
            <w:r w:rsidRPr="000F6719">
              <w:rPr>
                <w:rFonts w:ascii="Times New Roman" w:hAnsi="Times New Roman" w:cs="Times New Roman"/>
                <w:b/>
                <w:color w:val="000000"/>
                <w:sz w:val="14"/>
              </w:rPr>
              <w:t>Employment</w:t>
            </w:r>
          </w:p>
        </w:tc>
        <w:tc>
          <w:tcPr>
            <w:tcW w:w="2232" w:type="dxa"/>
            <w:shd w:val="clear" w:color="auto" w:fill="FFFFFF"/>
          </w:tcPr>
          <w:p w14:paraId="495DB7E7" w14:textId="77777777" w:rsidR="000F6719" w:rsidRPr="000F6719" w:rsidRDefault="000F6719" w:rsidP="004762C3">
            <w:pPr>
              <w:spacing w:before="24" w:after="24"/>
              <w:jc w:val="right"/>
              <w:rPr>
                <w:rFonts w:ascii="Times New Roman" w:hAnsi="Times New Roman" w:cs="Times New Roman"/>
              </w:rPr>
            </w:pPr>
          </w:p>
        </w:tc>
        <w:tc>
          <w:tcPr>
            <w:tcW w:w="2232" w:type="dxa"/>
            <w:shd w:val="clear" w:color="auto" w:fill="FFFFFF"/>
          </w:tcPr>
          <w:p w14:paraId="2B64E832" w14:textId="77777777" w:rsidR="000F6719" w:rsidRPr="000F6719" w:rsidRDefault="000F6719" w:rsidP="004762C3">
            <w:pPr>
              <w:spacing w:before="24" w:after="24"/>
              <w:jc w:val="right"/>
              <w:rPr>
                <w:rFonts w:ascii="Times New Roman" w:hAnsi="Times New Roman" w:cs="Times New Roman"/>
              </w:rPr>
            </w:pPr>
          </w:p>
        </w:tc>
      </w:tr>
      <w:tr w:rsidR="000F6719" w:rsidRPr="000F6719" w14:paraId="0DA050CD" w14:textId="77777777" w:rsidTr="004762C3">
        <w:trPr>
          <w:jc w:val="center"/>
        </w:trPr>
        <w:tc>
          <w:tcPr>
            <w:tcW w:w="4392" w:type="dxa"/>
            <w:shd w:val="clear" w:color="auto" w:fill="FFFFFF"/>
          </w:tcPr>
          <w:p w14:paraId="1B460E9D" w14:textId="77777777" w:rsidR="000F6719" w:rsidRPr="000F6719" w:rsidRDefault="000F6719"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Employed (reference)</w:t>
            </w:r>
          </w:p>
        </w:tc>
        <w:tc>
          <w:tcPr>
            <w:tcW w:w="2232" w:type="dxa"/>
            <w:shd w:val="clear" w:color="auto" w:fill="FFFFFF"/>
          </w:tcPr>
          <w:p w14:paraId="69AB5CCC"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1,099 (27.0)</w:t>
            </w:r>
          </w:p>
        </w:tc>
        <w:tc>
          <w:tcPr>
            <w:tcW w:w="2232" w:type="dxa"/>
            <w:shd w:val="clear" w:color="auto" w:fill="FFFFFF"/>
          </w:tcPr>
          <w:p w14:paraId="6E13EE0D"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5,930 (37.4)</w:t>
            </w:r>
          </w:p>
        </w:tc>
      </w:tr>
      <w:tr w:rsidR="000F6719" w:rsidRPr="000F6719" w14:paraId="439EBE93" w14:textId="77777777" w:rsidTr="004762C3">
        <w:trPr>
          <w:jc w:val="center"/>
        </w:trPr>
        <w:tc>
          <w:tcPr>
            <w:tcW w:w="4392" w:type="dxa"/>
            <w:shd w:val="clear" w:color="auto" w:fill="FFFFFF"/>
          </w:tcPr>
          <w:p w14:paraId="5A48877C" w14:textId="77777777" w:rsidR="000F6719" w:rsidRPr="000F6719" w:rsidRDefault="000F6719"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Student</w:t>
            </w:r>
          </w:p>
        </w:tc>
        <w:tc>
          <w:tcPr>
            <w:tcW w:w="2232" w:type="dxa"/>
            <w:shd w:val="clear" w:color="auto" w:fill="FFFFFF"/>
          </w:tcPr>
          <w:p w14:paraId="2B829709"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84 (2.1)</w:t>
            </w:r>
          </w:p>
        </w:tc>
        <w:tc>
          <w:tcPr>
            <w:tcW w:w="2232" w:type="dxa"/>
            <w:shd w:val="clear" w:color="auto" w:fill="FFFFFF"/>
          </w:tcPr>
          <w:p w14:paraId="4BE8F8D4"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318 (2.0)</w:t>
            </w:r>
          </w:p>
        </w:tc>
      </w:tr>
      <w:tr w:rsidR="000F6719" w:rsidRPr="000F6719" w14:paraId="2C105B80" w14:textId="77777777" w:rsidTr="004762C3">
        <w:trPr>
          <w:jc w:val="center"/>
        </w:trPr>
        <w:tc>
          <w:tcPr>
            <w:tcW w:w="4392" w:type="dxa"/>
            <w:shd w:val="clear" w:color="auto" w:fill="FFFFFF"/>
          </w:tcPr>
          <w:p w14:paraId="3C01D3E9" w14:textId="77777777" w:rsidR="000F6719" w:rsidRPr="000F6719" w:rsidRDefault="000F6719"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Unemployed</w:t>
            </w:r>
          </w:p>
        </w:tc>
        <w:tc>
          <w:tcPr>
            <w:tcW w:w="2232" w:type="dxa"/>
            <w:shd w:val="clear" w:color="auto" w:fill="FFFFFF"/>
          </w:tcPr>
          <w:p w14:paraId="2D2B6890"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1,334 (32.8)</w:t>
            </w:r>
          </w:p>
        </w:tc>
        <w:tc>
          <w:tcPr>
            <w:tcW w:w="2232" w:type="dxa"/>
            <w:shd w:val="clear" w:color="auto" w:fill="FFFFFF"/>
          </w:tcPr>
          <w:p w14:paraId="75572AC2"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4,407 (27.8)</w:t>
            </w:r>
          </w:p>
        </w:tc>
      </w:tr>
      <w:tr w:rsidR="000F6719" w:rsidRPr="000F6719" w14:paraId="43A80155" w14:textId="77777777" w:rsidTr="004762C3">
        <w:trPr>
          <w:jc w:val="center"/>
        </w:trPr>
        <w:tc>
          <w:tcPr>
            <w:tcW w:w="4392" w:type="dxa"/>
            <w:shd w:val="clear" w:color="auto" w:fill="FFFFFF"/>
          </w:tcPr>
          <w:p w14:paraId="0A92FD1E" w14:textId="77777777" w:rsidR="000F6719" w:rsidRPr="000F6719" w:rsidRDefault="000F6719"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Retired or other</w:t>
            </w:r>
          </w:p>
        </w:tc>
        <w:tc>
          <w:tcPr>
            <w:tcW w:w="2232" w:type="dxa"/>
            <w:shd w:val="clear" w:color="auto" w:fill="FFFFFF"/>
          </w:tcPr>
          <w:p w14:paraId="4405238B"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1,427 (35.1)</w:t>
            </w:r>
          </w:p>
        </w:tc>
        <w:tc>
          <w:tcPr>
            <w:tcW w:w="2232" w:type="dxa"/>
            <w:shd w:val="clear" w:color="auto" w:fill="FFFFFF"/>
          </w:tcPr>
          <w:p w14:paraId="14315574"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4,819 (30.4)</w:t>
            </w:r>
          </w:p>
        </w:tc>
      </w:tr>
      <w:tr w:rsidR="000F6719" w:rsidRPr="000F6719" w14:paraId="17468576" w14:textId="77777777" w:rsidTr="004762C3">
        <w:trPr>
          <w:jc w:val="center"/>
        </w:trPr>
        <w:tc>
          <w:tcPr>
            <w:tcW w:w="4392" w:type="dxa"/>
            <w:shd w:val="clear" w:color="auto" w:fill="FFFFFF"/>
          </w:tcPr>
          <w:p w14:paraId="1F47EA94" w14:textId="77777777" w:rsidR="000F6719" w:rsidRPr="000F6719" w:rsidRDefault="000F6719"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Missing</w:t>
            </w:r>
          </w:p>
        </w:tc>
        <w:tc>
          <w:tcPr>
            <w:tcW w:w="2232" w:type="dxa"/>
            <w:shd w:val="clear" w:color="auto" w:fill="FFFFFF"/>
          </w:tcPr>
          <w:p w14:paraId="24FEFB4C"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120 (3.0)</w:t>
            </w:r>
          </w:p>
        </w:tc>
        <w:tc>
          <w:tcPr>
            <w:tcW w:w="2232" w:type="dxa"/>
            <w:shd w:val="clear" w:color="auto" w:fill="FFFFFF"/>
          </w:tcPr>
          <w:p w14:paraId="64FB49AE"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382 (2.4)</w:t>
            </w:r>
          </w:p>
        </w:tc>
      </w:tr>
      <w:tr w:rsidR="000F6719" w:rsidRPr="000F6719" w14:paraId="2D948AE2" w14:textId="77777777" w:rsidTr="004762C3">
        <w:trPr>
          <w:jc w:val="center"/>
        </w:trPr>
        <w:tc>
          <w:tcPr>
            <w:tcW w:w="4392" w:type="dxa"/>
            <w:shd w:val="clear" w:color="auto" w:fill="FFFFFF"/>
          </w:tcPr>
          <w:p w14:paraId="077AACE7" w14:textId="77777777" w:rsidR="000F6719" w:rsidRPr="000F6719" w:rsidRDefault="000F6719" w:rsidP="004762C3">
            <w:pPr>
              <w:spacing w:before="24" w:after="24"/>
              <w:rPr>
                <w:rFonts w:ascii="Times New Roman" w:hAnsi="Times New Roman" w:cs="Times New Roman"/>
              </w:rPr>
            </w:pPr>
            <w:r w:rsidRPr="000F6719">
              <w:rPr>
                <w:rFonts w:ascii="Times New Roman" w:hAnsi="Times New Roman" w:cs="Times New Roman"/>
                <w:b/>
                <w:color w:val="000000"/>
                <w:sz w:val="14"/>
              </w:rPr>
              <w:t>Education</w:t>
            </w:r>
          </w:p>
        </w:tc>
        <w:tc>
          <w:tcPr>
            <w:tcW w:w="2232" w:type="dxa"/>
            <w:shd w:val="clear" w:color="auto" w:fill="FFFFFF"/>
          </w:tcPr>
          <w:p w14:paraId="0847D3C4" w14:textId="77777777" w:rsidR="000F6719" w:rsidRPr="000F6719" w:rsidRDefault="000F6719" w:rsidP="004762C3">
            <w:pPr>
              <w:spacing w:before="24" w:after="24"/>
              <w:jc w:val="right"/>
              <w:rPr>
                <w:rFonts w:ascii="Times New Roman" w:hAnsi="Times New Roman" w:cs="Times New Roman"/>
              </w:rPr>
            </w:pPr>
          </w:p>
        </w:tc>
        <w:tc>
          <w:tcPr>
            <w:tcW w:w="2232" w:type="dxa"/>
            <w:shd w:val="clear" w:color="auto" w:fill="FFFFFF"/>
          </w:tcPr>
          <w:p w14:paraId="4693C25F" w14:textId="77777777" w:rsidR="000F6719" w:rsidRPr="000F6719" w:rsidRDefault="000F6719" w:rsidP="004762C3">
            <w:pPr>
              <w:spacing w:before="24" w:after="24"/>
              <w:jc w:val="right"/>
              <w:rPr>
                <w:rFonts w:ascii="Times New Roman" w:hAnsi="Times New Roman" w:cs="Times New Roman"/>
              </w:rPr>
            </w:pPr>
          </w:p>
        </w:tc>
      </w:tr>
      <w:tr w:rsidR="000F6719" w:rsidRPr="000F6719" w14:paraId="6114F43C" w14:textId="77777777" w:rsidTr="004762C3">
        <w:trPr>
          <w:jc w:val="center"/>
        </w:trPr>
        <w:tc>
          <w:tcPr>
            <w:tcW w:w="4392" w:type="dxa"/>
            <w:shd w:val="clear" w:color="auto" w:fill="FFFFFF"/>
          </w:tcPr>
          <w:p w14:paraId="36A0C7CF" w14:textId="77777777" w:rsidR="000F6719" w:rsidRPr="000F6719" w:rsidRDefault="000F6719"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Never attended school</w:t>
            </w:r>
          </w:p>
        </w:tc>
        <w:tc>
          <w:tcPr>
            <w:tcW w:w="2232" w:type="dxa"/>
            <w:shd w:val="clear" w:color="auto" w:fill="FFFFFF"/>
          </w:tcPr>
          <w:p w14:paraId="511E2385"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&lt;20</w:t>
            </w:r>
          </w:p>
        </w:tc>
        <w:tc>
          <w:tcPr>
            <w:tcW w:w="2232" w:type="dxa"/>
            <w:shd w:val="clear" w:color="auto" w:fill="FFFFFF"/>
          </w:tcPr>
          <w:p w14:paraId="0C457E8F"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&lt;20</w:t>
            </w:r>
          </w:p>
        </w:tc>
      </w:tr>
      <w:tr w:rsidR="000F6719" w:rsidRPr="000F6719" w14:paraId="1511F5DD" w14:textId="77777777" w:rsidTr="004762C3">
        <w:trPr>
          <w:jc w:val="center"/>
        </w:trPr>
        <w:tc>
          <w:tcPr>
            <w:tcW w:w="4392" w:type="dxa"/>
            <w:shd w:val="clear" w:color="auto" w:fill="FFFFFF"/>
          </w:tcPr>
          <w:p w14:paraId="7BEA9C27" w14:textId="77777777" w:rsidR="000F6719" w:rsidRPr="000F6719" w:rsidRDefault="000F6719"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Below high school or GED</w:t>
            </w:r>
          </w:p>
        </w:tc>
        <w:tc>
          <w:tcPr>
            <w:tcW w:w="2232" w:type="dxa"/>
            <w:shd w:val="clear" w:color="auto" w:fill="FFFFFF"/>
          </w:tcPr>
          <w:p w14:paraId="727575C2"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565 (13.9)</w:t>
            </w:r>
          </w:p>
        </w:tc>
        <w:tc>
          <w:tcPr>
            <w:tcW w:w="2232" w:type="dxa"/>
            <w:shd w:val="clear" w:color="auto" w:fill="FFFFFF"/>
          </w:tcPr>
          <w:p w14:paraId="1F337B68"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1,643 (10.4)</w:t>
            </w:r>
          </w:p>
        </w:tc>
      </w:tr>
      <w:tr w:rsidR="000F6719" w:rsidRPr="000F6719" w14:paraId="140A7EA5" w14:textId="77777777" w:rsidTr="004762C3">
        <w:trPr>
          <w:jc w:val="center"/>
        </w:trPr>
        <w:tc>
          <w:tcPr>
            <w:tcW w:w="4392" w:type="dxa"/>
            <w:shd w:val="clear" w:color="auto" w:fill="FFFFFF"/>
          </w:tcPr>
          <w:p w14:paraId="6D11D1C9" w14:textId="77777777" w:rsidR="000F6719" w:rsidRPr="000F6719" w:rsidRDefault="000F6719"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High school, GED, or some college</w:t>
            </w:r>
          </w:p>
        </w:tc>
        <w:tc>
          <w:tcPr>
            <w:tcW w:w="2232" w:type="dxa"/>
            <w:shd w:val="clear" w:color="auto" w:fill="FFFFFF"/>
          </w:tcPr>
          <w:p w14:paraId="5FA9F631"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2,128 (52.4)</w:t>
            </w:r>
          </w:p>
        </w:tc>
        <w:tc>
          <w:tcPr>
            <w:tcW w:w="2232" w:type="dxa"/>
            <w:shd w:val="clear" w:color="auto" w:fill="FFFFFF"/>
          </w:tcPr>
          <w:p w14:paraId="16569E7A"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8,164 (51.5)</w:t>
            </w:r>
          </w:p>
        </w:tc>
      </w:tr>
      <w:tr w:rsidR="000F6719" w:rsidRPr="000F6719" w14:paraId="618B1F4E" w14:textId="77777777" w:rsidTr="004762C3">
        <w:trPr>
          <w:jc w:val="center"/>
        </w:trPr>
        <w:tc>
          <w:tcPr>
            <w:tcW w:w="4392" w:type="dxa"/>
            <w:shd w:val="clear" w:color="auto" w:fill="FFFFFF"/>
          </w:tcPr>
          <w:p w14:paraId="71A94EFD" w14:textId="77777777" w:rsidR="000F6719" w:rsidRPr="000F6719" w:rsidRDefault="000F6719"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College graduate or higher (reference)</w:t>
            </w:r>
          </w:p>
        </w:tc>
        <w:tc>
          <w:tcPr>
            <w:tcW w:w="2232" w:type="dxa"/>
            <w:shd w:val="clear" w:color="auto" w:fill="FFFFFF"/>
          </w:tcPr>
          <w:p w14:paraId="074831F4"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1,243 (30.6)</w:t>
            </w:r>
          </w:p>
        </w:tc>
        <w:tc>
          <w:tcPr>
            <w:tcW w:w="2232" w:type="dxa"/>
            <w:shd w:val="clear" w:color="auto" w:fill="FFFFFF"/>
          </w:tcPr>
          <w:p w14:paraId="77B122A6"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5,758 (36.3)</w:t>
            </w:r>
          </w:p>
        </w:tc>
      </w:tr>
      <w:tr w:rsidR="000F6719" w:rsidRPr="000F6719" w14:paraId="22B7FDE3" w14:textId="77777777" w:rsidTr="004762C3">
        <w:trPr>
          <w:jc w:val="center"/>
        </w:trPr>
        <w:tc>
          <w:tcPr>
            <w:tcW w:w="4392" w:type="dxa"/>
            <w:shd w:val="clear" w:color="auto" w:fill="FFFFFF"/>
          </w:tcPr>
          <w:p w14:paraId="313CEDD8" w14:textId="77777777" w:rsidR="000F6719" w:rsidRPr="000F6719" w:rsidRDefault="000F6719"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Missing</w:t>
            </w:r>
          </w:p>
        </w:tc>
        <w:tc>
          <w:tcPr>
            <w:tcW w:w="2232" w:type="dxa"/>
            <w:shd w:val="clear" w:color="auto" w:fill="FFFFFF"/>
          </w:tcPr>
          <w:p w14:paraId="097D50A3"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112 (2.8)</w:t>
            </w:r>
          </w:p>
        </w:tc>
        <w:tc>
          <w:tcPr>
            <w:tcW w:w="2232" w:type="dxa"/>
            <w:shd w:val="clear" w:color="auto" w:fill="FFFFFF"/>
          </w:tcPr>
          <w:p w14:paraId="278B3689"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273 (1.7)</w:t>
            </w:r>
          </w:p>
        </w:tc>
      </w:tr>
      <w:tr w:rsidR="000F6719" w:rsidRPr="000F6719" w14:paraId="49706792" w14:textId="77777777" w:rsidTr="004762C3">
        <w:trPr>
          <w:jc w:val="center"/>
        </w:trPr>
        <w:tc>
          <w:tcPr>
            <w:tcW w:w="4392" w:type="dxa"/>
            <w:shd w:val="clear" w:color="auto" w:fill="FFFFFF"/>
          </w:tcPr>
          <w:p w14:paraId="0793B852" w14:textId="77777777" w:rsidR="000F6719" w:rsidRPr="000F6719" w:rsidRDefault="000F6719" w:rsidP="004762C3">
            <w:pPr>
              <w:spacing w:before="24" w:after="24"/>
              <w:rPr>
                <w:rFonts w:ascii="Times New Roman" w:hAnsi="Times New Roman" w:cs="Times New Roman"/>
              </w:rPr>
            </w:pPr>
            <w:r w:rsidRPr="000F6719">
              <w:rPr>
                <w:rFonts w:ascii="Times New Roman" w:hAnsi="Times New Roman" w:cs="Times New Roman"/>
                <w:b/>
                <w:color w:val="000000"/>
                <w:sz w:val="14"/>
              </w:rPr>
              <w:t>Housing tenure</w:t>
            </w:r>
          </w:p>
        </w:tc>
        <w:tc>
          <w:tcPr>
            <w:tcW w:w="2232" w:type="dxa"/>
            <w:shd w:val="clear" w:color="auto" w:fill="FFFFFF"/>
          </w:tcPr>
          <w:p w14:paraId="4912E6DF" w14:textId="77777777" w:rsidR="000F6719" w:rsidRPr="000F6719" w:rsidRDefault="000F6719" w:rsidP="004762C3">
            <w:pPr>
              <w:spacing w:before="24" w:after="24"/>
              <w:jc w:val="right"/>
              <w:rPr>
                <w:rFonts w:ascii="Times New Roman" w:hAnsi="Times New Roman" w:cs="Times New Roman"/>
              </w:rPr>
            </w:pPr>
          </w:p>
        </w:tc>
        <w:tc>
          <w:tcPr>
            <w:tcW w:w="2232" w:type="dxa"/>
            <w:shd w:val="clear" w:color="auto" w:fill="FFFFFF"/>
          </w:tcPr>
          <w:p w14:paraId="752FE4FB" w14:textId="77777777" w:rsidR="000F6719" w:rsidRPr="000F6719" w:rsidRDefault="000F6719" w:rsidP="004762C3">
            <w:pPr>
              <w:spacing w:before="24" w:after="24"/>
              <w:jc w:val="right"/>
              <w:rPr>
                <w:rFonts w:ascii="Times New Roman" w:hAnsi="Times New Roman" w:cs="Times New Roman"/>
              </w:rPr>
            </w:pPr>
          </w:p>
        </w:tc>
      </w:tr>
      <w:tr w:rsidR="000F6719" w:rsidRPr="000F6719" w14:paraId="14518030" w14:textId="77777777" w:rsidTr="004762C3">
        <w:trPr>
          <w:jc w:val="center"/>
        </w:trPr>
        <w:tc>
          <w:tcPr>
            <w:tcW w:w="4392" w:type="dxa"/>
            <w:shd w:val="clear" w:color="auto" w:fill="FFFFFF"/>
          </w:tcPr>
          <w:p w14:paraId="78422593" w14:textId="77777777" w:rsidR="000F6719" w:rsidRPr="000F6719" w:rsidRDefault="000F6719"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Own home (reference)</w:t>
            </w:r>
          </w:p>
        </w:tc>
        <w:tc>
          <w:tcPr>
            <w:tcW w:w="2232" w:type="dxa"/>
            <w:shd w:val="clear" w:color="auto" w:fill="FFFFFF"/>
          </w:tcPr>
          <w:p w14:paraId="1CA87AEE"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1,519 (37.4)</w:t>
            </w:r>
          </w:p>
        </w:tc>
        <w:tc>
          <w:tcPr>
            <w:tcW w:w="2232" w:type="dxa"/>
            <w:shd w:val="clear" w:color="auto" w:fill="FFFFFF"/>
          </w:tcPr>
          <w:p w14:paraId="0680BFFA"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6,816 (43.0)</w:t>
            </w:r>
          </w:p>
        </w:tc>
      </w:tr>
      <w:tr w:rsidR="000F6719" w:rsidRPr="000F6719" w14:paraId="6E4F042B" w14:textId="77777777" w:rsidTr="004762C3">
        <w:trPr>
          <w:jc w:val="center"/>
        </w:trPr>
        <w:tc>
          <w:tcPr>
            <w:tcW w:w="4392" w:type="dxa"/>
            <w:shd w:val="clear" w:color="auto" w:fill="FFFFFF"/>
          </w:tcPr>
          <w:p w14:paraId="15AF64EB" w14:textId="77777777" w:rsidR="000F6719" w:rsidRPr="000F6719" w:rsidRDefault="000F6719"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Rent</w:t>
            </w:r>
          </w:p>
        </w:tc>
        <w:tc>
          <w:tcPr>
            <w:tcW w:w="2232" w:type="dxa"/>
            <w:shd w:val="clear" w:color="auto" w:fill="FFFFFF"/>
          </w:tcPr>
          <w:p w14:paraId="04BF36AF"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2,030 (50.0)</w:t>
            </w:r>
          </w:p>
        </w:tc>
        <w:tc>
          <w:tcPr>
            <w:tcW w:w="2232" w:type="dxa"/>
            <w:shd w:val="clear" w:color="auto" w:fill="FFFFFF"/>
          </w:tcPr>
          <w:p w14:paraId="36A18A9A"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6,849 (43.2)</w:t>
            </w:r>
          </w:p>
        </w:tc>
      </w:tr>
      <w:tr w:rsidR="000F6719" w:rsidRPr="000F6719" w14:paraId="1EBE147F" w14:textId="77777777" w:rsidTr="004762C3">
        <w:trPr>
          <w:jc w:val="center"/>
        </w:trPr>
        <w:tc>
          <w:tcPr>
            <w:tcW w:w="4392" w:type="dxa"/>
            <w:shd w:val="clear" w:color="auto" w:fill="FFFFFF"/>
          </w:tcPr>
          <w:p w14:paraId="685FD7BC" w14:textId="77777777" w:rsidR="000F6719" w:rsidRPr="000F6719" w:rsidRDefault="000F6719"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Other</w:t>
            </w:r>
          </w:p>
        </w:tc>
        <w:tc>
          <w:tcPr>
            <w:tcW w:w="2232" w:type="dxa"/>
            <w:shd w:val="clear" w:color="auto" w:fill="FFFFFF"/>
          </w:tcPr>
          <w:p w14:paraId="3FE439B6"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345 (8.5)</w:t>
            </w:r>
          </w:p>
        </w:tc>
        <w:tc>
          <w:tcPr>
            <w:tcW w:w="2232" w:type="dxa"/>
            <w:shd w:val="clear" w:color="auto" w:fill="FFFFFF"/>
          </w:tcPr>
          <w:p w14:paraId="3186E2F8"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1,615 (10.2)</w:t>
            </w:r>
          </w:p>
        </w:tc>
      </w:tr>
      <w:tr w:rsidR="000F6719" w:rsidRPr="000F6719" w14:paraId="11CEC733" w14:textId="77777777" w:rsidTr="004762C3">
        <w:trPr>
          <w:jc w:val="center"/>
        </w:trPr>
        <w:tc>
          <w:tcPr>
            <w:tcW w:w="4392" w:type="dxa"/>
            <w:shd w:val="clear" w:color="auto" w:fill="FFFFFF"/>
          </w:tcPr>
          <w:p w14:paraId="7D24FBCA" w14:textId="77777777" w:rsidR="000F6719" w:rsidRPr="000F6719" w:rsidRDefault="000F6719"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Missing</w:t>
            </w:r>
          </w:p>
        </w:tc>
        <w:tc>
          <w:tcPr>
            <w:tcW w:w="2232" w:type="dxa"/>
            <w:shd w:val="clear" w:color="auto" w:fill="FFFFFF"/>
          </w:tcPr>
          <w:p w14:paraId="0EDC624E"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169 (4.2)</w:t>
            </w:r>
          </w:p>
        </w:tc>
        <w:tc>
          <w:tcPr>
            <w:tcW w:w="2232" w:type="dxa"/>
            <w:shd w:val="clear" w:color="auto" w:fill="FFFFFF"/>
          </w:tcPr>
          <w:p w14:paraId="37B40FCC"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571 (3.6)</w:t>
            </w:r>
          </w:p>
        </w:tc>
      </w:tr>
      <w:tr w:rsidR="000F6719" w:rsidRPr="000F6719" w14:paraId="50A1681D" w14:textId="77777777" w:rsidTr="004762C3">
        <w:trPr>
          <w:jc w:val="center"/>
        </w:trPr>
        <w:tc>
          <w:tcPr>
            <w:tcW w:w="4392" w:type="dxa"/>
            <w:shd w:val="clear" w:color="auto" w:fill="FFFFFF"/>
          </w:tcPr>
          <w:p w14:paraId="44BCAAF2" w14:textId="77777777" w:rsidR="000F6719" w:rsidRPr="000F6719" w:rsidRDefault="000F6719" w:rsidP="004762C3">
            <w:pPr>
              <w:spacing w:before="24" w:after="24"/>
              <w:rPr>
                <w:rFonts w:ascii="Times New Roman" w:hAnsi="Times New Roman" w:cs="Times New Roman"/>
              </w:rPr>
            </w:pPr>
            <w:r w:rsidRPr="000F6719">
              <w:rPr>
                <w:rFonts w:ascii="Times New Roman" w:hAnsi="Times New Roman" w:cs="Times New Roman"/>
                <w:b/>
                <w:color w:val="000000"/>
                <w:sz w:val="14"/>
              </w:rPr>
              <w:t>Housing stability</w:t>
            </w:r>
          </w:p>
        </w:tc>
        <w:tc>
          <w:tcPr>
            <w:tcW w:w="2232" w:type="dxa"/>
            <w:shd w:val="clear" w:color="auto" w:fill="FFFFFF"/>
          </w:tcPr>
          <w:p w14:paraId="14F6E154" w14:textId="77777777" w:rsidR="000F6719" w:rsidRPr="000F6719" w:rsidRDefault="000F6719" w:rsidP="004762C3">
            <w:pPr>
              <w:spacing w:before="24" w:after="24"/>
              <w:jc w:val="right"/>
              <w:rPr>
                <w:rFonts w:ascii="Times New Roman" w:hAnsi="Times New Roman" w:cs="Times New Roman"/>
              </w:rPr>
            </w:pPr>
          </w:p>
        </w:tc>
        <w:tc>
          <w:tcPr>
            <w:tcW w:w="2232" w:type="dxa"/>
            <w:shd w:val="clear" w:color="auto" w:fill="FFFFFF"/>
          </w:tcPr>
          <w:p w14:paraId="5E2F1E11" w14:textId="77777777" w:rsidR="000F6719" w:rsidRPr="000F6719" w:rsidRDefault="000F6719" w:rsidP="004762C3">
            <w:pPr>
              <w:spacing w:before="24" w:after="24"/>
              <w:jc w:val="right"/>
              <w:rPr>
                <w:rFonts w:ascii="Times New Roman" w:hAnsi="Times New Roman" w:cs="Times New Roman"/>
              </w:rPr>
            </w:pPr>
          </w:p>
        </w:tc>
      </w:tr>
      <w:tr w:rsidR="000F6719" w:rsidRPr="000F6719" w14:paraId="71B47556" w14:textId="77777777" w:rsidTr="004762C3">
        <w:trPr>
          <w:jc w:val="center"/>
        </w:trPr>
        <w:tc>
          <w:tcPr>
            <w:tcW w:w="4392" w:type="dxa"/>
            <w:shd w:val="clear" w:color="auto" w:fill="FFFFFF"/>
          </w:tcPr>
          <w:p w14:paraId="5B23F6A0" w14:textId="77777777" w:rsidR="000F6719" w:rsidRPr="000F6719" w:rsidRDefault="000F6719"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Stable (reference)</w:t>
            </w:r>
          </w:p>
        </w:tc>
        <w:tc>
          <w:tcPr>
            <w:tcW w:w="2232" w:type="dxa"/>
            <w:shd w:val="clear" w:color="auto" w:fill="FFFFFF"/>
          </w:tcPr>
          <w:p w14:paraId="0DB94D04"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3,281 (80.7)</w:t>
            </w:r>
          </w:p>
        </w:tc>
        <w:tc>
          <w:tcPr>
            <w:tcW w:w="2232" w:type="dxa"/>
            <w:shd w:val="clear" w:color="auto" w:fill="FFFFFF"/>
          </w:tcPr>
          <w:p w14:paraId="18CC53B8"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12,967 (81.8)</w:t>
            </w:r>
          </w:p>
        </w:tc>
      </w:tr>
      <w:tr w:rsidR="000F6719" w:rsidRPr="000F6719" w14:paraId="435DFB04" w14:textId="77777777" w:rsidTr="004762C3">
        <w:trPr>
          <w:jc w:val="center"/>
        </w:trPr>
        <w:tc>
          <w:tcPr>
            <w:tcW w:w="4392" w:type="dxa"/>
            <w:shd w:val="clear" w:color="auto" w:fill="FFFFFF"/>
          </w:tcPr>
          <w:p w14:paraId="330646A0" w14:textId="77777777" w:rsidR="000F6719" w:rsidRPr="000F6719" w:rsidRDefault="000F6719"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Unstable</w:t>
            </w:r>
          </w:p>
        </w:tc>
        <w:tc>
          <w:tcPr>
            <w:tcW w:w="2232" w:type="dxa"/>
            <w:shd w:val="clear" w:color="auto" w:fill="FFFFFF"/>
          </w:tcPr>
          <w:p w14:paraId="12D02EA3"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710 (17.5)</w:t>
            </w:r>
          </w:p>
        </w:tc>
        <w:tc>
          <w:tcPr>
            <w:tcW w:w="2232" w:type="dxa"/>
            <w:shd w:val="clear" w:color="auto" w:fill="FFFFFF"/>
          </w:tcPr>
          <w:p w14:paraId="5799D3C4"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2,684 (16.9)</w:t>
            </w:r>
          </w:p>
        </w:tc>
      </w:tr>
      <w:tr w:rsidR="000F6719" w:rsidRPr="000F6719" w14:paraId="462B8184" w14:textId="77777777" w:rsidTr="004762C3">
        <w:trPr>
          <w:jc w:val="center"/>
        </w:trPr>
        <w:tc>
          <w:tcPr>
            <w:tcW w:w="4392" w:type="dxa"/>
            <w:shd w:val="clear" w:color="auto" w:fill="FFFFFF"/>
          </w:tcPr>
          <w:p w14:paraId="0773A91D" w14:textId="77777777" w:rsidR="000F6719" w:rsidRPr="000F6719" w:rsidRDefault="000F6719"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Missing</w:t>
            </w:r>
          </w:p>
        </w:tc>
        <w:tc>
          <w:tcPr>
            <w:tcW w:w="2232" w:type="dxa"/>
            <w:shd w:val="clear" w:color="auto" w:fill="FFFFFF"/>
          </w:tcPr>
          <w:p w14:paraId="7B2B7D25"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73 (1.8)</w:t>
            </w:r>
          </w:p>
        </w:tc>
        <w:tc>
          <w:tcPr>
            <w:tcW w:w="2232" w:type="dxa"/>
            <w:shd w:val="clear" w:color="auto" w:fill="FFFFFF"/>
          </w:tcPr>
          <w:p w14:paraId="4E6CFCCF"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205 (1.3)</w:t>
            </w:r>
          </w:p>
        </w:tc>
      </w:tr>
      <w:tr w:rsidR="000F6719" w:rsidRPr="000F6719" w14:paraId="7C941A8F" w14:textId="77777777" w:rsidTr="004762C3">
        <w:trPr>
          <w:jc w:val="center"/>
        </w:trPr>
        <w:tc>
          <w:tcPr>
            <w:tcW w:w="4392" w:type="dxa"/>
            <w:shd w:val="clear" w:color="auto" w:fill="FFFFFF"/>
          </w:tcPr>
          <w:p w14:paraId="0E148983" w14:textId="77777777" w:rsidR="000F6719" w:rsidRPr="000F6719" w:rsidRDefault="000F6719" w:rsidP="004762C3">
            <w:pPr>
              <w:spacing w:before="24" w:after="24"/>
              <w:rPr>
                <w:rFonts w:ascii="Times New Roman" w:hAnsi="Times New Roman" w:cs="Times New Roman"/>
              </w:rPr>
            </w:pPr>
            <w:r w:rsidRPr="000F6719">
              <w:rPr>
                <w:rFonts w:ascii="Times New Roman" w:hAnsi="Times New Roman" w:cs="Times New Roman"/>
                <w:b/>
                <w:color w:val="000000"/>
                <w:sz w:val="14"/>
              </w:rPr>
              <w:t>Disability (any)</w:t>
            </w:r>
          </w:p>
        </w:tc>
        <w:tc>
          <w:tcPr>
            <w:tcW w:w="2232" w:type="dxa"/>
            <w:shd w:val="clear" w:color="auto" w:fill="FFFFFF"/>
          </w:tcPr>
          <w:p w14:paraId="44EC10ED" w14:textId="77777777" w:rsidR="000F6719" w:rsidRPr="000F6719" w:rsidRDefault="000F6719" w:rsidP="004762C3">
            <w:pPr>
              <w:spacing w:before="24" w:after="24"/>
              <w:jc w:val="right"/>
              <w:rPr>
                <w:rFonts w:ascii="Times New Roman" w:hAnsi="Times New Roman" w:cs="Times New Roman"/>
              </w:rPr>
            </w:pPr>
          </w:p>
        </w:tc>
        <w:tc>
          <w:tcPr>
            <w:tcW w:w="2232" w:type="dxa"/>
            <w:shd w:val="clear" w:color="auto" w:fill="FFFFFF"/>
          </w:tcPr>
          <w:p w14:paraId="2F521FA0" w14:textId="77777777" w:rsidR="000F6719" w:rsidRPr="000F6719" w:rsidRDefault="000F6719" w:rsidP="004762C3">
            <w:pPr>
              <w:spacing w:before="24" w:after="24"/>
              <w:jc w:val="right"/>
              <w:rPr>
                <w:rFonts w:ascii="Times New Roman" w:hAnsi="Times New Roman" w:cs="Times New Roman"/>
              </w:rPr>
            </w:pPr>
          </w:p>
        </w:tc>
      </w:tr>
      <w:tr w:rsidR="000F6719" w:rsidRPr="000F6719" w14:paraId="2B00D110" w14:textId="77777777" w:rsidTr="004762C3">
        <w:trPr>
          <w:jc w:val="center"/>
        </w:trPr>
        <w:tc>
          <w:tcPr>
            <w:tcW w:w="4392" w:type="dxa"/>
            <w:shd w:val="clear" w:color="auto" w:fill="FFFFFF"/>
          </w:tcPr>
          <w:p w14:paraId="58CBCD32" w14:textId="77777777" w:rsidR="000F6719" w:rsidRPr="000F6719" w:rsidRDefault="000F6719"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Yes</w:t>
            </w:r>
          </w:p>
        </w:tc>
        <w:tc>
          <w:tcPr>
            <w:tcW w:w="2232" w:type="dxa"/>
            <w:shd w:val="clear" w:color="auto" w:fill="FFFFFF"/>
          </w:tcPr>
          <w:p w14:paraId="1D8BCA90"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557 (13.7)</w:t>
            </w:r>
          </w:p>
        </w:tc>
        <w:tc>
          <w:tcPr>
            <w:tcW w:w="2232" w:type="dxa"/>
            <w:shd w:val="clear" w:color="auto" w:fill="FFFFFF"/>
          </w:tcPr>
          <w:p w14:paraId="16E6B029"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2,174 (13.7)</w:t>
            </w:r>
          </w:p>
        </w:tc>
      </w:tr>
      <w:tr w:rsidR="000F6719" w:rsidRPr="000F6719" w14:paraId="30D7B410" w14:textId="77777777" w:rsidTr="004762C3">
        <w:trPr>
          <w:jc w:val="center"/>
        </w:trPr>
        <w:tc>
          <w:tcPr>
            <w:tcW w:w="4392" w:type="dxa"/>
            <w:shd w:val="clear" w:color="auto" w:fill="FFFFFF"/>
          </w:tcPr>
          <w:p w14:paraId="5961272E" w14:textId="77777777" w:rsidR="000F6719" w:rsidRPr="000F6719" w:rsidRDefault="000F6719"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No (reference)</w:t>
            </w:r>
          </w:p>
        </w:tc>
        <w:tc>
          <w:tcPr>
            <w:tcW w:w="2232" w:type="dxa"/>
            <w:shd w:val="clear" w:color="auto" w:fill="FFFFFF"/>
          </w:tcPr>
          <w:p w14:paraId="7F28FDC7"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815 (20.1)</w:t>
            </w:r>
          </w:p>
        </w:tc>
        <w:tc>
          <w:tcPr>
            <w:tcW w:w="2232" w:type="dxa"/>
            <w:shd w:val="clear" w:color="auto" w:fill="FFFFFF"/>
          </w:tcPr>
          <w:p w14:paraId="629CB4FA"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3,349 (21.1)</w:t>
            </w:r>
          </w:p>
        </w:tc>
      </w:tr>
      <w:tr w:rsidR="000F6719" w:rsidRPr="000F6719" w14:paraId="56B810B8" w14:textId="77777777" w:rsidTr="004762C3">
        <w:trPr>
          <w:jc w:val="center"/>
        </w:trPr>
        <w:tc>
          <w:tcPr>
            <w:tcW w:w="4392" w:type="dxa"/>
            <w:shd w:val="clear" w:color="auto" w:fill="FFFFFF"/>
          </w:tcPr>
          <w:p w14:paraId="5E238A19" w14:textId="77777777" w:rsidR="000F6719" w:rsidRPr="000F6719" w:rsidRDefault="000F6719"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lastRenderedPageBreak/>
              <w:t>Missing*</w:t>
            </w:r>
          </w:p>
        </w:tc>
        <w:tc>
          <w:tcPr>
            <w:tcW w:w="2232" w:type="dxa"/>
            <w:shd w:val="clear" w:color="auto" w:fill="FFFFFF"/>
          </w:tcPr>
          <w:p w14:paraId="1475DB71"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2,692 (66.2)</w:t>
            </w:r>
          </w:p>
        </w:tc>
        <w:tc>
          <w:tcPr>
            <w:tcW w:w="2232" w:type="dxa"/>
            <w:shd w:val="clear" w:color="auto" w:fill="FFFFFF"/>
          </w:tcPr>
          <w:p w14:paraId="08704948"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10,333 (65.2)</w:t>
            </w:r>
          </w:p>
        </w:tc>
      </w:tr>
      <w:tr w:rsidR="000F6719" w:rsidRPr="000F6719" w14:paraId="28FEAC33" w14:textId="77777777" w:rsidTr="004762C3">
        <w:trPr>
          <w:jc w:val="center"/>
        </w:trPr>
        <w:tc>
          <w:tcPr>
            <w:tcW w:w="4392" w:type="dxa"/>
            <w:shd w:val="clear" w:color="auto" w:fill="FFFFFF"/>
          </w:tcPr>
          <w:p w14:paraId="6E663A35" w14:textId="77777777" w:rsidR="000F6719" w:rsidRPr="000F6719" w:rsidRDefault="000F6719" w:rsidP="004762C3">
            <w:pPr>
              <w:spacing w:before="24" w:after="24"/>
              <w:rPr>
                <w:rFonts w:ascii="Times New Roman" w:hAnsi="Times New Roman" w:cs="Times New Roman"/>
              </w:rPr>
            </w:pPr>
            <w:r w:rsidRPr="000F6719">
              <w:rPr>
                <w:rFonts w:ascii="Times New Roman" w:hAnsi="Times New Roman" w:cs="Times New Roman"/>
                <w:b/>
                <w:color w:val="000000"/>
                <w:sz w:val="14"/>
              </w:rPr>
              <w:t>Insurance type</w:t>
            </w:r>
          </w:p>
        </w:tc>
        <w:tc>
          <w:tcPr>
            <w:tcW w:w="2232" w:type="dxa"/>
            <w:shd w:val="clear" w:color="auto" w:fill="FFFFFF"/>
          </w:tcPr>
          <w:p w14:paraId="62D3FB83" w14:textId="77777777" w:rsidR="000F6719" w:rsidRPr="000F6719" w:rsidRDefault="000F6719" w:rsidP="004762C3">
            <w:pPr>
              <w:spacing w:before="24" w:after="24"/>
              <w:jc w:val="right"/>
              <w:rPr>
                <w:rFonts w:ascii="Times New Roman" w:hAnsi="Times New Roman" w:cs="Times New Roman"/>
              </w:rPr>
            </w:pPr>
          </w:p>
        </w:tc>
        <w:tc>
          <w:tcPr>
            <w:tcW w:w="2232" w:type="dxa"/>
            <w:shd w:val="clear" w:color="auto" w:fill="FFFFFF"/>
          </w:tcPr>
          <w:p w14:paraId="7964BEF5" w14:textId="77777777" w:rsidR="000F6719" w:rsidRPr="000F6719" w:rsidRDefault="000F6719" w:rsidP="004762C3">
            <w:pPr>
              <w:spacing w:before="24" w:after="24"/>
              <w:jc w:val="right"/>
              <w:rPr>
                <w:rFonts w:ascii="Times New Roman" w:hAnsi="Times New Roman" w:cs="Times New Roman"/>
              </w:rPr>
            </w:pPr>
          </w:p>
        </w:tc>
      </w:tr>
      <w:tr w:rsidR="000F6719" w:rsidRPr="000F6719" w14:paraId="6EEE2135" w14:textId="77777777" w:rsidTr="004762C3">
        <w:trPr>
          <w:jc w:val="center"/>
        </w:trPr>
        <w:tc>
          <w:tcPr>
            <w:tcW w:w="4392" w:type="dxa"/>
            <w:shd w:val="clear" w:color="auto" w:fill="FFFFFF"/>
          </w:tcPr>
          <w:p w14:paraId="4D20E948" w14:textId="77777777" w:rsidR="000F6719" w:rsidRPr="000F6719" w:rsidRDefault="000F6719"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Employer (reference)</w:t>
            </w:r>
          </w:p>
        </w:tc>
        <w:tc>
          <w:tcPr>
            <w:tcW w:w="2232" w:type="dxa"/>
            <w:shd w:val="clear" w:color="auto" w:fill="FFFFFF"/>
          </w:tcPr>
          <w:p w14:paraId="02A25750"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788 (19.4)</w:t>
            </w:r>
          </w:p>
        </w:tc>
        <w:tc>
          <w:tcPr>
            <w:tcW w:w="2232" w:type="dxa"/>
            <w:shd w:val="clear" w:color="auto" w:fill="FFFFFF"/>
          </w:tcPr>
          <w:p w14:paraId="28FC379C"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4,201 (26.5)</w:t>
            </w:r>
          </w:p>
        </w:tc>
      </w:tr>
      <w:tr w:rsidR="000F6719" w:rsidRPr="000F6719" w14:paraId="3275E4E6" w14:textId="77777777" w:rsidTr="004762C3">
        <w:trPr>
          <w:jc w:val="center"/>
        </w:trPr>
        <w:tc>
          <w:tcPr>
            <w:tcW w:w="4392" w:type="dxa"/>
            <w:shd w:val="clear" w:color="auto" w:fill="FFFFFF"/>
          </w:tcPr>
          <w:p w14:paraId="407CCE50" w14:textId="77777777" w:rsidR="000F6719" w:rsidRPr="000F6719" w:rsidRDefault="000F6719"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Medicare</w:t>
            </w:r>
          </w:p>
        </w:tc>
        <w:tc>
          <w:tcPr>
            <w:tcW w:w="2232" w:type="dxa"/>
            <w:shd w:val="clear" w:color="auto" w:fill="FFFFFF"/>
          </w:tcPr>
          <w:p w14:paraId="0F03A7A9"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940 (23.1)</w:t>
            </w:r>
          </w:p>
        </w:tc>
        <w:tc>
          <w:tcPr>
            <w:tcW w:w="2232" w:type="dxa"/>
            <w:shd w:val="clear" w:color="auto" w:fill="FFFFFF"/>
          </w:tcPr>
          <w:p w14:paraId="1A43B4A5"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3,496 (22.0)</w:t>
            </w:r>
          </w:p>
        </w:tc>
      </w:tr>
      <w:tr w:rsidR="000F6719" w:rsidRPr="000F6719" w14:paraId="6003EFDC" w14:textId="77777777" w:rsidTr="004762C3">
        <w:trPr>
          <w:jc w:val="center"/>
        </w:trPr>
        <w:tc>
          <w:tcPr>
            <w:tcW w:w="4392" w:type="dxa"/>
            <w:shd w:val="clear" w:color="auto" w:fill="FFFFFF"/>
          </w:tcPr>
          <w:p w14:paraId="6FDB25EA" w14:textId="77777777" w:rsidR="000F6719" w:rsidRPr="000F6719" w:rsidRDefault="000F6719"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Medicaid</w:t>
            </w:r>
          </w:p>
        </w:tc>
        <w:tc>
          <w:tcPr>
            <w:tcW w:w="2232" w:type="dxa"/>
            <w:shd w:val="clear" w:color="auto" w:fill="FFFFFF"/>
          </w:tcPr>
          <w:p w14:paraId="454A8475"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1,410 (34.7)</w:t>
            </w:r>
          </w:p>
        </w:tc>
        <w:tc>
          <w:tcPr>
            <w:tcW w:w="2232" w:type="dxa"/>
            <w:shd w:val="clear" w:color="auto" w:fill="FFFFFF"/>
          </w:tcPr>
          <w:p w14:paraId="56C85F7C"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4,159 (26.2)</w:t>
            </w:r>
          </w:p>
        </w:tc>
      </w:tr>
      <w:tr w:rsidR="000F6719" w:rsidRPr="000F6719" w14:paraId="5CC8670F" w14:textId="77777777" w:rsidTr="004762C3">
        <w:trPr>
          <w:jc w:val="center"/>
        </w:trPr>
        <w:tc>
          <w:tcPr>
            <w:tcW w:w="4392" w:type="dxa"/>
            <w:shd w:val="clear" w:color="auto" w:fill="FFFFFF"/>
          </w:tcPr>
          <w:p w14:paraId="1215C6A2" w14:textId="77777777" w:rsidR="000F6719" w:rsidRPr="000F6719" w:rsidRDefault="000F6719"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Other or none</w:t>
            </w:r>
          </w:p>
        </w:tc>
        <w:tc>
          <w:tcPr>
            <w:tcW w:w="2232" w:type="dxa"/>
            <w:shd w:val="clear" w:color="auto" w:fill="FFFFFF"/>
          </w:tcPr>
          <w:p w14:paraId="6871E40E"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368 (9.1)</w:t>
            </w:r>
          </w:p>
        </w:tc>
        <w:tc>
          <w:tcPr>
            <w:tcW w:w="2232" w:type="dxa"/>
            <w:shd w:val="clear" w:color="auto" w:fill="FFFFFF"/>
          </w:tcPr>
          <w:p w14:paraId="7446D78E"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1,316 (8.3)</w:t>
            </w:r>
          </w:p>
        </w:tc>
      </w:tr>
      <w:tr w:rsidR="000F6719" w:rsidRPr="000F6719" w14:paraId="27BC2FA5" w14:textId="77777777" w:rsidTr="004762C3">
        <w:trPr>
          <w:jc w:val="center"/>
        </w:trPr>
        <w:tc>
          <w:tcPr>
            <w:tcW w:w="4392" w:type="dxa"/>
            <w:tcBorders>
              <w:bottom w:val="single" w:sz="8" w:space="0" w:color="333333"/>
            </w:tcBorders>
            <w:shd w:val="clear" w:color="auto" w:fill="FFFFFF"/>
          </w:tcPr>
          <w:p w14:paraId="0F2689B0" w14:textId="77777777" w:rsidR="000F6719" w:rsidRPr="000F6719" w:rsidRDefault="000F6719" w:rsidP="004762C3">
            <w:pPr>
              <w:spacing w:before="24" w:after="24"/>
              <w:ind w:left="180"/>
              <w:rPr>
                <w:rFonts w:ascii="Times New Roman" w:hAnsi="Times New Roman" w:cs="Times New Roman"/>
              </w:rPr>
            </w:pPr>
            <w:r w:rsidRPr="000F6719">
              <w:rPr>
                <w:rFonts w:ascii="Times New Roman" w:hAnsi="Times New Roman" w:cs="Times New Roman"/>
                <w:color w:val="000000"/>
                <w:sz w:val="14"/>
              </w:rPr>
              <w:t>Missing*</w:t>
            </w:r>
          </w:p>
        </w:tc>
        <w:tc>
          <w:tcPr>
            <w:tcW w:w="2232" w:type="dxa"/>
            <w:tcBorders>
              <w:bottom w:val="single" w:sz="8" w:space="0" w:color="333333"/>
            </w:tcBorders>
            <w:shd w:val="clear" w:color="auto" w:fill="FFFFFF"/>
          </w:tcPr>
          <w:p w14:paraId="547CD33E"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558 (13.7)</w:t>
            </w:r>
          </w:p>
        </w:tc>
        <w:tc>
          <w:tcPr>
            <w:tcW w:w="2232" w:type="dxa"/>
            <w:tcBorders>
              <w:bottom w:val="single" w:sz="8" w:space="0" w:color="333333"/>
            </w:tcBorders>
            <w:shd w:val="clear" w:color="auto" w:fill="FFFFFF"/>
          </w:tcPr>
          <w:p w14:paraId="53C0D51A" w14:textId="77777777" w:rsidR="000F6719" w:rsidRPr="000F6719" w:rsidRDefault="000F6719" w:rsidP="004762C3">
            <w:pPr>
              <w:spacing w:before="24" w:after="24"/>
              <w:jc w:val="right"/>
              <w:rPr>
                <w:rFonts w:ascii="Times New Roman" w:hAnsi="Times New Roman" w:cs="Times New Roman"/>
              </w:rPr>
            </w:pPr>
            <w:r w:rsidRPr="000F6719">
              <w:rPr>
                <w:rFonts w:ascii="Times New Roman" w:hAnsi="Times New Roman" w:cs="Times New Roman"/>
                <w:color w:val="000000"/>
                <w:sz w:val="14"/>
              </w:rPr>
              <w:t>2,684 (16.9)</w:t>
            </w:r>
          </w:p>
        </w:tc>
      </w:tr>
    </w:tbl>
    <w:p w14:paraId="797CA7AD" w14:textId="77777777" w:rsidR="000F6719" w:rsidRPr="000F6719" w:rsidRDefault="000F6719" w:rsidP="000F6719">
      <w:pPr>
        <w:rPr>
          <w:rFonts w:ascii="Times New Roman" w:hAnsi="Times New Roman" w:cs="Times New Roman"/>
        </w:rPr>
      </w:pPr>
      <w:r w:rsidRPr="000F6719">
        <w:rPr>
          <w:rFonts w:ascii="Times New Roman" w:hAnsi="Times New Roman" w:cs="Times New Roman"/>
          <w:sz w:val="13"/>
        </w:rPr>
        <w:t>“Missing” denotes a Skip or Prefer-not-to-answer response. Cell counts &lt;20 are suppressed per All of Us data use policy.</w:t>
      </w:r>
    </w:p>
    <w:p w14:paraId="3E3996C7" w14:textId="77777777" w:rsidR="000F6719" w:rsidRPr="000F6719" w:rsidRDefault="000F6719" w:rsidP="000F6719">
      <w:pPr>
        <w:rPr>
          <w:rFonts w:ascii="Times New Roman" w:hAnsi="Times New Roman" w:cs="Times New Roman"/>
        </w:rPr>
      </w:pPr>
      <w:r w:rsidRPr="000F6719">
        <w:rPr>
          <w:rFonts w:ascii="Times New Roman" w:hAnsi="Times New Roman" w:cs="Times New Roman"/>
          <w:sz w:val="13"/>
        </w:rPr>
        <w:t xml:space="preserve">*Disability and insurance missingness </w:t>
      </w:r>
      <w:proofErr w:type="gramStart"/>
      <w:r w:rsidRPr="000F6719">
        <w:rPr>
          <w:rFonts w:ascii="Times New Roman" w:hAnsi="Times New Roman" w:cs="Times New Roman"/>
          <w:sz w:val="13"/>
        </w:rPr>
        <w:t>is</w:t>
      </w:r>
      <w:proofErr w:type="gramEnd"/>
      <w:r w:rsidRPr="000F6719">
        <w:rPr>
          <w:rFonts w:ascii="Times New Roman" w:hAnsi="Times New Roman" w:cs="Times New Roman"/>
          <w:sz w:val="13"/>
        </w:rPr>
        <w:t xml:space="preserve"> mainly non-administration: the ACS-6 items were added to The Basics survey on November 10, 2020, and the insurance item after enrollment began.</w:t>
      </w:r>
    </w:p>
    <w:p w14:paraId="425A1E98" w14:textId="77777777" w:rsidR="000F6719" w:rsidRPr="000F6719" w:rsidRDefault="000F6719" w:rsidP="000F6719">
      <w:pPr>
        <w:rPr>
          <w:rFonts w:ascii="Times New Roman" w:hAnsi="Times New Roman" w:cs="Times New Roman"/>
        </w:rPr>
      </w:pPr>
      <w:r w:rsidRPr="000F6719">
        <w:rPr>
          <w:rFonts w:ascii="Times New Roman" w:hAnsi="Times New Roman" w:cs="Times New Roman"/>
        </w:rPr>
        <w:br w:type="page"/>
      </w:r>
    </w:p>
    <w:p w14:paraId="70761E32" w14:textId="77777777" w:rsidR="00452027" w:rsidRPr="000F6719" w:rsidRDefault="00452027" w:rsidP="00C06BCF">
      <w:pPr>
        <w:spacing w:before="60"/>
        <w:rPr>
          <w:rFonts w:ascii="Times New Roman" w:hAnsi="Times New Roman" w:cs="Times New Roman"/>
        </w:rPr>
      </w:pPr>
    </w:p>
    <w:p w14:paraId="038A5DDD" w14:textId="2CE71ABF" w:rsidR="00840028" w:rsidRPr="000F6719" w:rsidRDefault="004D6DF4" w:rsidP="00B96FCD">
      <w:pPr>
        <w:spacing w:after="120" w:line="360" w:lineRule="auto"/>
        <w:jc w:val="center"/>
        <w:rPr>
          <w:rFonts w:ascii="Times New Roman" w:hAnsi="Times New Roman" w:cs="Times New Roman"/>
        </w:rPr>
      </w:pPr>
      <w:r>
        <w:rPr>
          <w:rFonts w:ascii="Times New Roman" w:hAnsi="Times New Roman" w:cs="Times New Roman"/>
          <w:noProof/>
        </w:rPr>
        <w:lastRenderedPageBreak/>
        <w:drawing>
          <wp:inline distT="0" distB="0" distL="0" distR="0" wp14:anchorId="38F9E994" wp14:editId="03133F47">
            <wp:extent cx="5943600" cy="5926309"/>
            <wp:effectExtent l="0" t="0" r="0" b="0"/>
            <wp:docPr id="528761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61091" name="Picture 52876109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5926309"/>
                    </a:xfrm>
                    <a:prstGeom prst="rect">
                      <a:avLst/>
                    </a:prstGeom>
                  </pic:spPr>
                </pic:pic>
              </a:graphicData>
            </a:graphic>
          </wp:inline>
        </w:drawing>
      </w:r>
    </w:p>
    <w:p w14:paraId="730D4F1A" w14:textId="77777777" w:rsidR="00841284" w:rsidRPr="000F6719" w:rsidRDefault="00D413D7" w:rsidP="00E3018C">
      <w:pPr>
        <w:pStyle w:val="Heading2"/>
        <w:spacing w:line="360" w:lineRule="auto"/>
        <w:rPr>
          <w:rFonts w:ascii="Times New Roman" w:hAnsi="Times New Roman" w:cs="Times New Roman"/>
        </w:rPr>
      </w:pPr>
      <w:r w:rsidRPr="000F6719">
        <w:rPr>
          <w:rFonts w:ascii="Times New Roman" w:hAnsi="Times New Roman" w:cs="Times New Roman"/>
        </w:rPr>
        <w:t>Social determinants of health</w:t>
      </w:r>
    </w:p>
    <w:p w14:paraId="730D4F1B" w14:textId="31A8EF11" w:rsidR="00841284" w:rsidRPr="000F6719" w:rsidRDefault="00D413D7" w:rsidP="00E3018C">
      <w:pPr>
        <w:spacing w:after="120" w:line="360" w:lineRule="auto"/>
        <w:rPr>
          <w:rFonts w:ascii="Times New Roman" w:eastAsia="Arial" w:hAnsi="Times New Roman" w:cs="Times New Roman"/>
        </w:rPr>
      </w:pPr>
      <w:r w:rsidRPr="000F6719">
        <w:rPr>
          <w:rFonts w:ascii="Times New Roman" w:eastAsia="Arial" w:hAnsi="Times New Roman" w:cs="Times New Roman"/>
        </w:rPr>
        <w:t>Each domain was first evaluated alone within the base model (Table 3, Figure 4). Medicaid coverage carried the largest insurance estimate (AOR 1.59, 1.43-1.77) and other or no coverage was also elevated. The income pattern was not monotonic: the three lowest strata were elevated (&lt;$10,000, 1.46, 1.29-1.65) but so was $100,000-149,999 (1.20, 1.03-1.41), which may reflect heterogeneity within the broad $35,000-99,999 reference or residual confounding from unmeasured factors such as occupational exposure. Education below GED (1.35, 1.18-1.53), unemployment (1.41, 1.28-1.56), student status (1.61, 1.24-2.09), non-employment (1.36, 1.22-1.51), and renting (1.28, 1.17-1.39) were all elevated. The "never attended school" estimate (3.35, 1.66-6.78) rests on fewer than 20 participants. Housing instability and disability were not significant.</w:t>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r w:rsidR="00891C33" w:rsidRPr="00891C33">
        <w:rPr>
          <w:rFonts w:ascii="Times New Roman" w:eastAsia="Arial" w:hAnsi="Times New Roman" w:cs="Times New Roman"/>
        </w:rPr>
      </w:r>
      <w:r w:rsidRPr="000F6719">
        <w:rPr>
          <w:rFonts w:ascii="Times New Roman" w:eastAsia="Arial" w:hAnsi="Times New Roman" w:cs="Times New Roman"/>
        </w:rPr>
      </w:r>
      <w:r w:rsidR="004B3FB3" w:rsidRPr="004B3FB3">
        <w:rPr>
          <w:rFonts w:ascii="Times New Roman" w:eastAsia="Arial" w:hAnsi="Times New Roman" w:cs="Times New Roman"/>
        </w:rPr>
      </w:r>
      <w:r w:rsidRPr="000F6719">
        <w:rPr>
          <w:rFonts w:ascii="Times New Roman" w:eastAsia="Arial" w:hAnsi="Times New Roman" w:cs="Times New Roman"/>
        </w:rPr>
      </w:r>
      <w:r w:rsidR="008341B3" w:rsidRPr="008341B3">
        <w:rPr>
          <w:rFonts w:ascii="Times New Roman" w:eastAsia="Arial" w:hAnsi="Times New Roman" w:cs="Times New Roman"/>
        </w:rPr>
      </w:r>
      <w:r w:rsidRPr="000F6719">
        <w:rPr>
          <w:rFonts w:ascii="Times New Roman" w:eastAsia="Arial" w:hAnsi="Times New Roman" w:cs="Times New Roman"/>
        </w:rPr>
      </w:r>
      <w:r w:rsidR="00D01653" w:rsidRPr="00D01653">
        <w:rPr>
          <w:rFonts w:ascii="Times New Roman" w:eastAsia="Arial" w:hAnsi="Times New Roman" w:cs="Times New Roman"/>
        </w:rPr>
      </w:r>
      <w:r w:rsidRPr="000F6719">
        <w:rPr>
          <w:rFonts w:ascii="Times New Roman" w:eastAsia="Arial" w:hAnsi="Times New Roman" w:cs="Times New Roman"/>
        </w:rPr>
      </w:r>
      <w:r w:rsidR="009F24E2" w:rsidRPr="000F6719">
        <w:rPr>
          <w:rFonts w:ascii="Times New Roman" w:eastAsia="Arial" w:hAnsi="Times New Roman" w:cs="Times New Roman"/>
        </w:rPr>
      </w:r>
      <w:r w:rsidRPr="000F6719">
        <w:rPr>
          <w:rFonts w:ascii="Times New Roman" w:eastAsia="Arial" w:hAnsi="Times New Roman" w:cs="Times New Roman"/>
        </w:rPr>
      </w:r>
    </w:p>
    <w:p w14:paraId="56AEB7FD" w14:textId="7E916FA3" w:rsidR="006263F7" w:rsidRPr="000F6719" w:rsidRDefault="003C31BD" w:rsidP="006263F7">
      <w:pPr>
        <w:spacing w:after="120" w:line="360" w:lineRule="auto"/>
        <w:jc w:val="center"/>
        <w:rPr>
          <w:rFonts w:ascii="Times New Roman" w:hAnsi="Times New Roman" w:cs="Times New Roman"/>
        </w:rPr>
      </w:pPr>
      <w:r>
        <w:rPr>
          <w:rFonts w:ascii="Times New Roman" w:hAnsi="Times New Roman" w:cs="Times New Roman"/>
          <w:noProof/>
        </w:rPr>
        <w:lastRenderedPageBreak/>
        <w:drawing>
          <wp:inline distT="0" distB="0" distL="0" distR="0" wp14:anchorId="2C74AAB1" wp14:editId="2E82EF05">
            <wp:extent cx="5943600" cy="5269271"/>
            <wp:effectExtent l="0" t="0" r="0" b="0"/>
            <wp:docPr id="13381525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152551" name="Picture 133815255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5269271"/>
                    </a:xfrm>
                    <a:prstGeom prst="rect">
                      <a:avLst/>
                    </a:prstGeom>
                  </pic:spPr>
                </pic:pic>
              </a:graphicData>
            </a:graphic>
          </wp:inline>
        </w:drawing>
      </w:r>
    </w:p>
    <w:p w14:paraId="346C531F" w14:textId="77777777" w:rsidR="00C06AB3" w:rsidRPr="00C06AB3" w:rsidRDefault="00C06AB3" w:rsidP="00C06AB3">
      <w:pPr>
        <w:rPr>
          <w:rFonts w:ascii="Times New Roman" w:hAnsi="Times New Roman" w:cs="Times New Roman"/>
        </w:rPr>
      </w:pPr>
      <w:r w:rsidRPr="00C06AB3">
        <w:rPr>
          <w:rFonts w:ascii="Times New Roman" w:hAnsi="Times New Roman" w:cs="Times New Roman"/>
          <w:b/>
          <w:sz w:val="18"/>
        </w:rPr>
        <w:lastRenderedPageBreak/>
        <w:t xml:space="preserve">Table 3. Domain-specific and jointly adjusted associations of survey-derived </w:t>
      </w:r>
      <w:proofErr w:type="spellStart"/>
      <w:r w:rsidRPr="00C06AB3">
        <w:rPr>
          <w:rFonts w:ascii="Times New Roman" w:hAnsi="Times New Roman" w:cs="Times New Roman"/>
          <w:b/>
          <w:sz w:val="18"/>
        </w:rPr>
        <w:t>SDoH</w:t>
      </w:r>
      <w:proofErr w:type="spellEnd"/>
      <w:r w:rsidRPr="00C06AB3">
        <w:rPr>
          <w:rFonts w:ascii="Times New Roman" w:hAnsi="Times New Roman" w:cs="Times New Roman"/>
          <w:b/>
          <w:sz w:val="18"/>
        </w:rPr>
        <w:t xml:space="preserve"> with COVID-19 hospitalization.</w:t>
      </w:r>
    </w:p>
    <w:p w14:paraId="3ABD96D1" w14:textId="77777777" w:rsidR="00C06AB3" w:rsidRPr="00C06AB3" w:rsidRDefault="00C06AB3" w:rsidP="00C06AB3">
      <w:pPr>
        <w:rPr>
          <w:rFonts w:ascii="Times New Roman" w:hAnsi="Times New Roman" w:cs="Times New Roman"/>
        </w:rPr>
      </w:pPr>
      <w:r w:rsidRPr="00C06AB3">
        <w:rPr>
          <w:rFonts w:ascii="Times New Roman" w:hAnsi="Times New Roman" w:cs="Times New Roman"/>
          <w:sz w:val="15"/>
        </w:rPr>
        <w:t xml:space="preserve">Values are adjusted odds ratios (95% confidence intervals) from conditional logistic regression within matched strata. The domain-specific model adds one </w:t>
      </w:r>
      <w:proofErr w:type="spellStart"/>
      <w:r w:rsidRPr="00C06AB3">
        <w:rPr>
          <w:rFonts w:ascii="Times New Roman" w:hAnsi="Times New Roman" w:cs="Times New Roman"/>
          <w:sz w:val="15"/>
        </w:rPr>
        <w:t>SDoH</w:t>
      </w:r>
      <w:proofErr w:type="spellEnd"/>
      <w:r w:rsidRPr="00C06AB3">
        <w:rPr>
          <w:rFonts w:ascii="Times New Roman" w:hAnsi="Times New Roman" w:cs="Times New Roman"/>
          <w:sz w:val="15"/>
        </w:rPr>
        <w:t xml:space="preserve"> domain to the base model; the joint model adds all six domains simultaneously. Both adjust for sex, race, ethnicity, age, vaccination, pandemic wave, and 19 Charlson comorbidities.</w:t>
      </w:r>
    </w:p>
    <w:tbl>
      <w:tblPr>
        <w:tblW w:w="0" w:type="auto"/>
        <w:jc w:val="center"/>
        <w:tblLayout w:type="fixed"/>
        <w:tblLook w:val="04A0" w:firstRow="1" w:lastRow="0" w:firstColumn="1" w:lastColumn="0" w:noHBand="0" w:noVBand="1"/>
      </w:tblPr>
      <w:tblGrid>
        <w:gridCol w:w="3528"/>
        <w:gridCol w:w="2664"/>
        <w:gridCol w:w="2664"/>
      </w:tblGrid>
      <w:tr w:rsidR="00C06AB3" w:rsidRPr="00C06AB3" w14:paraId="5B11C0A6" w14:textId="77777777" w:rsidTr="004762C3">
        <w:trPr>
          <w:jc w:val="center"/>
        </w:trPr>
        <w:tc>
          <w:tcPr>
            <w:tcW w:w="3528" w:type="dxa"/>
            <w:tcBorders>
              <w:top w:val="single" w:sz="8" w:space="0" w:color="333333"/>
              <w:bottom w:val="single" w:sz="8" w:space="0" w:color="333333"/>
            </w:tcBorders>
            <w:shd w:val="clear" w:color="auto" w:fill="FFFFFF"/>
          </w:tcPr>
          <w:p w14:paraId="164F9F81" w14:textId="77777777" w:rsidR="00C06AB3" w:rsidRPr="00C06AB3" w:rsidRDefault="00C06AB3" w:rsidP="004762C3">
            <w:pPr>
              <w:spacing w:before="24" w:after="24"/>
              <w:rPr>
                <w:rFonts w:ascii="Times New Roman" w:hAnsi="Times New Roman" w:cs="Times New Roman"/>
              </w:rPr>
            </w:pPr>
            <w:r w:rsidRPr="00C06AB3">
              <w:rPr>
                <w:rFonts w:ascii="Times New Roman" w:hAnsi="Times New Roman" w:cs="Times New Roman"/>
                <w:b/>
                <w:color w:val="000000"/>
                <w:sz w:val="14"/>
              </w:rPr>
              <w:t>Variable</w:t>
            </w:r>
          </w:p>
        </w:tc>
        <w:tc>
          <w:tcPr>
            <w:tcW w:w="2664" w:type="dxa"/>
            <w:tcBorders>
              <w:top w:val="single" w:sz="8" w:space="0" w:color="333333"/>
              <w:bottom w:val="single" w:sz="8" w:space="0" w:color="333333"/>
            </w:tcBorders>
            <w:shd w:val="clear" w:color="auto" w:fill="FFFFFF"/>
          </w:tcPr>
          <w:p w14:paraId="07A6C799" w14:textId="77777777" w:rsidR="00C06AB3" w:rsidRPr="00C06AB3" w:rsidRDefault="00C06AB3" w:rsidP="004762C3">
            <w:pPr>
              <w:spacing w:before="24" w:after="24"/>
              <w:jc w:val="right"/>
              <w:rPr>
                <w:rFonts w:ascii="Times New Roman" w:hAnsi="Times New Roman" w:cs="Times New Roman"/>
              </w:rPr>
            </w:pPr>
            <w:r w:rsidRPr="00C06AB3">
              <w:rPr>
                <w:rFonts w:ascii="Times New Roman" w:hAnsi="Times New Roman" w:cs="Times New Roman"/>
                <w:b/>
                <w:color w:val="000000"/>
                <w:sz w:val="14"/>
              </w:rPr>
              <w:t>Domain-specific AOR (95% CI)</w:t>
            </w:r>
          </w:p>
        </w:tc>
        <w:tc>
          <w:tcPr>
            <w:tcW w:w="2664" w:type="dxa"/>
            <w:tcBorders>
              <w:top w:val="single" w:sz="8" w:space="0" w:color="333333"/>
              <w:bottom w:val="single" w:sz="8" w:space="0" w:color="333333"/>
            </w:tcBorders>
            <w:shd w:val="clear" w:color="auto" w:fill="FFFFFF"/>
          </w:tcPr>
          <w:p w14:paraId="2443E0BF" w14:textId="77777777" w:rsidR="00C06AB3" w:rsidRPr="00C06AB3" w:rsidRDefault="00C06AB3" w:rsidP="004762C3">
            <w:pPr>
              <w:spacing w:before="24" w:after="24"/>
              <w:jc w:val="right"/>
              <w:rPr>
                <w:rFonts w:ascii="Times New Roman" w:hAnsi="Times New Roman" w:cs="Times New Roman"/>
              </w:rPr>
            </w:pPr>
            <w:r w:rsidRPr="00C06AB3">
              <w:rPr>
                <w:rFonts w:ascii="Times New Roman" w:hAnsi="Times New Roman" w:cs="Times New Roman"/>
                <w:b/>
                <w:color w:val="000000"/>
                <w:sz w:val="14"/>
              </w:rPr>
              <w:t>Joint AOR (95% CI)</w:t>
            </w:r>
          </w:p>
        </w:tc>
      </w:tr>
      <w:tr w:rsidR="00C06AB3" w:rsidRPr="00C06AB3" w14:paraId="5E790C04" w14:textId="77777777" w:rsidTr="004762C3">
        <w:trPr>
          <w:jc w:val="center"/>
        </w:trPr>
        <w:tc>
          <w:tcPr>
            <w:tcW w:w="3528" w:type="dxa"/>
            <w:shd w:val="clear" w:color="auto" w:fill="FFFFFF"/>
          </w:tcPr>
          <w:p w14:paraId="53188229" w14:textId="77777777" w:rsidR="00C06AB3" w:rsidRPr="00C06AB3" w:rsidRDefault="00C06AB3" w:rsidP="004762C3">
            <w:pPr>
              <w:spacing w:before="24" w:after="24"/>
              <w:rPr>
                <w:rFonts w:ascii="Times New Roman" w:hAnsi="Times New Roman" w:cs="Times New Roman"/>
              </w:rPr>
            </w:pPr>
            <w:r w:rsidRPr="00C06AB3">
              <w:rPr>
                <w:rFonts w:ascii="Times New Roman" w:hAnsi="Times New Roman" w:cs="Times New Roman"/>
                <w:b/>
                <w:color w:val="000000"/>
                <w:sz w:val="14"/>
              </w:rPr>
              <w:t>Income (reference: $35,000–99,999)</w:t>
            </w:r>
          </w:p>
        </w:tc>
        <w:tc>
          <w:tcPr>
            <w:tcW w:w="2664" w:type="dxa"/>
            <w:shd w:val="clear" w:color="auto" w:fill="FFFFFF"/>
          </w:tcPr>
          <w:p w14:paraId="6E464146" w14:textId="77777777" w:rsidR="00C06AB3" w:rsidRPr="00C06AB3" w:rsidRDefault="00C06AB3" w:rsidP="004762C3">
            <w:pPr>
              <w:spacing w:before="24" w:after="24"/>
              <w:jc w:val="right"/>
              <w:rPr>
                <w:rFonts w:ascii="Times New Roman" w:hAnsi="Times New Roman" w:cs="Times New Roman"/>
              </w:rPr>
            </w:pPr>
          </w:p>
        </w:tc>
        <w:tc>
          <w:tcPr>
            <w:tcW w:w="2664" w:type="dxa"/>
            <w:shd w:val="clear" w:color="auto" w:fill="FFFFFF"/>
          </w:tcPr>
          <w:p w14:paraId="1843073A" w14:textId="77777777" w:rsidR="00C06AB3" w:rsidRPr="00C06AB3" w:rsidRDefault="00C06AB3" w:rsidP="004762C3">
            <w:pPr>
              <w:spacing w:before="24" w:after="24"/>
              <w:jc w:val="right"/>
              <w:rPr>
                <w:rFonts w:ascii="Times New Roman" w:hAnsi="Times New Roman" w:cs="Times New Roman"/>
              </w:rPr>
            </w:pPr>
          </w:p>
        </w:tc>
      </w:tr>
      <w:tr w:rsidR="00C06AB3" w:rsidRPr="00C06AB3" w14:paraId="17B0E437" w14:textId="77777777" w:rsidTr="004762C3">
        <w:trPr>
          <w:jc w:val="center"/>
        </w:trPr>
        <w:tc>
          <w:tcPr>
            <w:tcW w:w="3528" w:type="dxa"/>
            <w:shd w:val="clear" w:color="auto" w:fill="FFFFFF"/>
          </w:tcPr>
          <w:p w14:paraId="64CEEE63" w14:textId="77777777" w:rsidR="00C06AB3" w:rsidRPr="00C06AB3" w:rsidRDefault="00C06AB3" w:rsidP="004762C3">
            <w:pPr>
              <w:spacing w:before="24" w:after="24"/>
              <w:ind w:left="180"/>
              <w:rPr>
                <w:rFonts w:ascii="Times New Roman" w:hAnsi="Times New Roman" w:cs="Times New Roman"/>
              </w:rPr>
            </w:pPr>
            <w:r w:rsidRPr="00C06AB3">
              <w:rPr>
                <w:rFonts w:ascii="Times New Roman" w:hAnsi="Times New Roman" w:cs="Times New Roman"/>
                <w:color w:val="000000"/>
                <w:sz w:val="14"/>
              </w:rPr>
              <w:t>&lt;$10,000</w:t>
            </w:r>
          </w:p>
        </w:tc>
        <w:tc>
          <w:tcPr>
            <w:tcW w:w="2664" w:type="dxa"/>
            <w:shd w:val="clear" w:color="auto" w:fill="FFFFFF"/>
          </w:tcPr>
          <w:p w14:paraId="719C2C3F" w14:textId="77777777" w:rsidR="00C06AB3" w:rsidRPr="00C06AB3" w:rsidRDefault="00C06AB3" w:rsidP="004762C3">
            <w:pPr>
              <w:spacing w:before="24" w:after="24"/>
              <w:jc w:val="right"/>
              <w:rPr>
                <w:rFonts w:ascii="Times New Roman" w:hAnsi="Times New Roman" w:cs="Times New Roman"/>
              </w:rPr>
            </w:pPr>
            <w:r w:rsidRPr="00C06AB3">
              <w:rPr>
                <w:rFonts w:ascii="Times New Roman" w:hAnsi="Times New Roman" w:cs="Times New Roman"/>
                <w:color w:val="000000"/>
                <w:sz w:val="14"/>
              </w:rPr>
              <w:t>1.46*** (1.29–1.65)</w:t>
            </w:r>
          </w:p>
        </w:tc>
        <w:tc>
          <w:tcPr>
            <w:tcW w:w="2664" w:type="dxa"/>
            <w:shd w:val="clear" w:color="auto" w:fill="FFFFFF"/>
          </w:tcPr>
          <w:p w14:paraId="0F5A5664" w14:textId="77777777" w:rsidR="00C06AB3" w:rsidRPr="00C06AB3" w:rsidRDefault="00C06AB3" w:rsidP="004762C3">
            <w:pPr>
              <w:spacing w:before="24" w:after="24"/>
              <w:jc w:val="right"/>
              <w:rPr>
                <w:rFonts w:ascii="Times New Roman" w:hAnsi="Times New Roman" w:cs="Times New Roman"/>
              </w:rPr>
            </w:pPr>
            <w:r w:rsidRPr="00C06AB3">
              <w:rPr>
                <w:rFonts w:ascii="Times New Roman" w:hAnsi="Times New Roman" w:cs="Times New Roman"/>
                <w:color w:val="000000"/>
                <w:sz w:val="14"/>
              </w:rPr>
              <w:t>1.18* (1.02–1.36)</w:t>
            </w:r>
          </w:p>
        </w:tc>
      </w:tr>
      <w:tr w:rsidR="00C06AB3" w:rsidRPr="00C06AB3" w14:paraId="47CB8684" w14:textId="77777777" w:rsidTr="004762C3">
        <w:trPr>
          <w:jc w:val="center"/>
        </w:trPr>
        <w:tc>
          <w:tcPr>
            <w:tcW w:w="3528" w:type="dxa"/>
            <w:shd w:val="clear" w:color="auto" w:fill="FFFFFF"/>
          </w:tcPr>
          <w:p w14:paraId="782FDA0F" w14:textId="77777777" w:rsidR="00C06AB3" w:rsidRPr="00C06AB3" w:rsidRDefault="00C06AB3" w:rsidP="004762C3">
            <w:pPr>
              <w:spacing w:before="24" w:after="24"/>
              <w:ind w:left="180"/>
              <w:rPr>
                <w:rFonts w:ascii="Times New Roman" w:hAnsi="Times New Roman" w:cs="Times New Roman"/>
              </w:rPr>
            </w:pPr>
            <w:r w:rsidRPr="00C06AB3">
              <w:rPr>
                <w:rFonts w:ascii="Times New Roman" w:hAnsi="Times New Roman" w:cs="Times New Roman"/>
                <w:color w:val="000000"/>
                <w:sz w:val="14"/>
              </w:rPr>
              <w:t>$10,000–24,999</w:t>
            </w:r>
          </w:p>
        </w:tc>
        <w:tc>
          <w:tcPr>
            <w:tcW w:w="2664" w:type="dxa"/>
            <w:shd w:val="clear" w:color="auto" w:fill="FFFFFF"/>
          </w:tcPr>
          <w:p w14:paraId="5ECD679C" w14:textId="77777777" w:rsidR="00C06AB3" w:rsidRPr="00C06AB3" w:rsidRDefault="00C06AB3" w:rsidP="004762C3">
            <w:pPr>
              <w:spacing w:before="24" w:after="24"/>
              <w:jc w:val="right"/>
              <w:rPr>
                <w:rFonts w:ascii="Times New Roman" w:hAnsi="Times New Roman" w:cs="Times New Roman"/>
              </w:rPr>
            </w:pPr>
            <w:r w:rsidRPr="00C06AB3">
              <w:rPr>
                <w:rFonts w:ascii="Times New Roman" w:hAnsi="Times New Roman" w:cs="Times New Roman"/>
                <w:color w:val="000000"/>
                <w:sz w:val="14"/>
              </w:rPr>
              <w:t>1.37*** (1.21–1.55)</w:t>
            </w:r>
          </w:p>
        </w:tc>
        <w:tc>
          <w:tcPr>
            <w:tcW w:w="2664" w:type="dxa"/>
            <w:shd w:val="clear" w:color="auto" w:fill="FFFFFF"/>
          </w:tcPr>
          <w:p w14:paraId="090CB6C0" w14:textId="77777777" w:rsidR="00C06AB3" w:rsidRPr="00C06AB3" w:rsidRDefault="00C06AB3" w:rsidP="004762C3">
            <w:pPr>
              <w:spacing w:before="24" w:after="24"/>
              <w:jc w:val="right"/>
              <w:rPr>
                <w:rFonts w:ascii="Times New Roman" w:hAnsi="Times New Roman" w:cs="Times New Roman"/>
              </w:rPr>
            </w:pPr>
            <w:r w:rsidRPr="00C06AB3">
              <w:rPr>
                <w:rFonts w:ascii="Times New Roman" w:hAnsi="Times New Roman" w:cs="Times New Roman"/>
                <w:color w:val="000000"/>
                <w:sz w:val="14"/>
              </w:rPr>
              <w:t>1.18* (1.04–1.35)</w:t>
            </w:r>
          </w:p>
        </w:tc>
      </w:tr>
      <w:tr w:rsidR="00C06AB3" w:rsidRPr="00C06AB3" w14:paraId="55877FC3" w14:textId="77777777" w:rsidTr="004762C3">
        <w:trPr>
          <w:jc w:val="center"/>
        </w:trPr>
        <w:tc>
          <w:tcPr>
            <w:tcW w:w="3528" w:type="dxa"/>
            <w:shd w:val="clear" w:color="auto" w:fill="FFFFFF"/>
          </w:tcPr>
          <w:p w14:paraId="65F45A94" w14:textId="77777777" w:rsidR="00C06AB3" w:rsidRPr="00C06AB3" w:rsidRDefault="00C06AB3" w:rsidP="004762C3">
            <w:pPr>
              <w:spacing w:before="24" w:after="24"/>
              <w:ind w:left="180"/>
              <w:rPr>
                <w:rFonts w:ascii="Times New Roman" w:hAnsi="Times New Roman" w:cs="Times New Roman"/>
              </w:rPr>
            </w:pPr>
            <w:r w:rsidRPr="00C06AB3">
              <w:rPr>
                <w:rFonts w:ascii="Times New Roman" w:hAnsi="Times New Roman" w:cs="Times New Roman"/>
                <w:color w:val="000000"/>
                <w:sz w:val="14"/>
              </w:rPr>
              <w:t>$25,000–34,999</w:t>
            </w:r>
          </w:p>
        </w:tc>
        <w:tc>
          <w:tcPr>
            <w:tcW w:w="2664" w:type="dxa"/>
            <w:shd w:val="clear" w:color="auto" w:fill="FFFFFF"/>
          </w:tcPr>
          <w:p w14:paraId="6A43DDCB" w14:textId="77777777" w:rsidR="00C06AB3" w:rsidRPr="00C06AB3" w:rsidRDefault="00C06AB3" w:rsidP="004762C3">
            <w:pPr>
              <w:spacing w:before="24" w:after="24"/>
              <w:jc w:val="right"/>
              <w:rPr>
                <w:rFonts w:ascii="Times New Roman" w:hAnsi="Times New Roman" w:cs="Times New Roman"/>
              </w:rPr>
            </w:pPr>
            <w:r w:rsidRPr="00C06AB3">
              <w:rPr>
                <w:rFonts w:ascii="Times New Roman" w:hAnsi="Times New Roman" w:cs="Times New Roman"/>
                <w:color w:val="000000"/>
                <w:sz w:val="14"/>
              </w:rPr>
              <w:t>1.19* (1.02–1.38)</w:t>
            </w:r>
          </w:p>
        </w:tc>
        <w:tc>
          <w:tcPr>
            <w:tcW w:w="2664" w:type="dxa"/>
            <w:shd w:val="clear" w:color="auto" w:fill="FFFFFF"/>
          </w:tcPr>
          <w:p w14:paraId="48A0A284" w14:textId="77777777" w:rsidR="00C06AB3" w:rsidRPr="00C06AB3" w:rsidRDefault="00C06AB3" w:rsidP="004762C3">
            <w:pPr>
              <w:spacing w:before="24" w:after="24"/>
              <w:jc w:val="right"/>
              <w:rPr>
                <w:rFonts w:ascii="Times New Roman" w:hAnsi="Times New Roman" w:cs="Times New Roman"/>
              </w:rPr>
            </w:pPr>
            <w:r w:rsidRPr="00C06AB3">
              <w:rPr>
                <w:rFonts w:ascii="Times New Roman" w:hAnsi="Times New Roman" w:cs="Times New Roman"/>
                <w:color w:val="000000"/>
                <w:sz w:val="14"/>
              </w:rPr>
              <w:t>1.12 (0.96–1.31)</w:t>
            </w:r>
          </w:p>
        </w:tc>
      </w:tr>
      <w:tr w:rsidR="00C06AB3" w:rsidRPr="00C06AB3" w14:paraId="3CEBA2FC" w14:textId="77777777" w:rsidTr="004762C3">
        <w:trPr>
          <w:jc w:val="center"/>
        </w:trPr>
        <w:tc>
          <w:tcPr>
            <w:tcW w:w="3528" w:type="dxa"/>
            <w:shd w:val="clear" w:color="auto" w:fill="FFFFFF"/>
          </w:tcPr>
          <w:p w14:paraId="4A3D4590" w14:textId="77777777" w:rsidR="00C06AB3" w:rsidRPr="00C06AB3" w:rsidRDefault="00C06AB3" w:rsidP="004762C3">
            <w:pPr>
              <w:spacing w:before="24" w:after="24"/>
              <w:ind w:left="180"/>
              <w:rPr>
                <w:rFonts w:ascii="Times New Roman" w:hAnsi="Times New Roman" w:cs="Times New Roman"/>
              </w:rPr>
            </w:pPr>
            <w:r w:rsidRPr="00C06AB3">
              <w:rPr>
                <w:rFonts w:ascii="Times New Roman" w:hAnsi="Times New Roman" w:cs="Times New Roman"/>
                <w:color w:val="000000"/>
                <w:sz w:val="14"/>
              </w:rPr>
              <w:t>$100,000–149,999</w:t>
            </w:r>
          </w:p>
        </w:tc>
        <w:tc>
          <w:tcPr>
            <w:tcW w:w="2664" w:type="dxa"/>
            <w:shd w:val="clear" w:color="auto" w:fill="FFFFFF"/>
          </w:tcPr>
          <w:p w14:paraId="2BA28A78" w14:textId="77777777" w:rsidR="00C06AB3" w:rsidRPr="00C06AB3" w:rsidRDefault="00C06AB3" w:rsidP="004762C3">
            <w:pPr>
              <w:spacing w:before="24" w:after="24"/>
              <w:jc w:val="right"/>
              <w:rPr>
                <w:rFonts w:ascii="Times New Roman" w:hAnsi="Times New Roman" w:cs="Times New Roman"/>
              </w:rPr>
            </w:pPr>
            <w:r w:rsidRPr="00C06AB3">
              <w:rPr>
                <w:rFonts w:ascii="Times New Roman" w:hAnsi="Times New Roman" w:cs="Times New Roman"/>
                <w:color w:val="000000"/>
                <w:sz w:val="14"/>
              </w:rPr>
              <w:t>1.20* (1.03–1.41)</w:t>
            </w:r>
          </w:p>
        </w:tc>
        <w:tc>
          <w:tcPr>
            <w:tcW w:w="2664" w:type="dxa"/>
            <w:shd w:val="clear" w:color="auto" w:fill="FFFFFF"/>
          </w:tcPr>
          <w:p w14:paraId="15A6D951" w14:textId="77777777" w:rsidR="00C06AB3" w:rsidRPr="00C06AB3" w:rsidRDefault="00C06AB3" w:rsidP="004762C3">
            <w:pPr>
              <w:spacing w:before="24" w:after="24"/>
              <w:jc w:val="right"/>
              <w:rPr>
                <w:rFonts w:ascii="Times New Roman" w:hAnsi="Times New Roman" w:cs="Times New Roman"/>
              </w:rPr>
            </w:pPr>
            <w:r w:rsidRPr="00C06AB3">
              <w:rPr>
                <w:rFonts w:ascii="Times New Roman" w:hAnsi="Times New Roman" w:cs="Times New Roman"/>
                <w:color w:val="000000"/>
                <w:sz w:val="14"/>
              </w:rPr>
              <w:t>1.24** (1.06–1.46)</w:t>
            </w:r>
          </w:p>
        </w:tc>
      </w:tr>
      <w:tr w:rsidR="00C06AB3" w:rsidRPr="00C06AB3" w14:paraId="32817A61" w14:textId="77777777" w:rsidTr="004762C3">
        <w:trPr>
          <w:jc w:val="center"/>
        </w:trPr>
        <w:tc>
          <w:tcPr>
            <w:tcW w:w="3528" w:type="dxa"/>
            <w:shd w:val="clear" w:color="auto" w:fill="FFFFFF"/>
          </w:tcPr>
          <w:p w14:paraId="36D87DFB" w14:textId="77777777" w:rsidR="00C06AB3" w:rsidRPr="00C06AB3" w:rsidRDefault="00C06AB3" w:rsidP="004762C3">
            <w:pPr>
              <w:spacing w:before="24" w:after="24"/>
              <w:ind w:left="180"/>
              <w:rPr>
                <w:rFonts w:ascii="Times New Roman" w:hAnsi="Times New Roman" w:cs="Times New Roman"/>
              </w:rPr>
            </w:pPr>
            <w:r w:rsidRPr="00C06AB3">
              <w:rPr>
                <w:rFonts w:ascii="Times New Roman" w:hAnsi="Times New Roman" w:cs="Times New Roman"/>
                <w:color w:val="000000"/>
                <w:sz w:val="14"/>
              </w:rPr>
              <w:t>$150,000–199,999</w:t>
            </w:r>
          </w:p>
        </w:tc>
        <w:tc>
          <w:tcPr>
            <w:tcW w:w="2664" w:type="dxa"/>
            <w:shd w:val="clear" w:color="auto" w:fill="FFFFFF"/>
          </w:tcPr>
          <w:p w14:paraId="2A65D742" w14:textId="77777777" w:rsidR="00C06AB3" w:rsidRPr="00C06AB3" w:rsidRDefault="00C06AB3" w:rsidP="004762C3">
            <w:pPr>
              <w:spacing w:before="24" w:after="24"/>
              <w:jc w:val="right"/>
              <w:rPr>
                <w:rFonts w:ascii="Times New Roman" w:hAnsi="Times New Roman" w:cs="Times New Roman"/>
              </w:rPr>
            </w:pPr>
            <w:r w:rsidRPr="00C06AB3">
              <w:rPr>
                <w:rFonts w:ascii="Times New Roman" w:hAnsi="Times New Roman" w:cs="Times New Roman"/>
                <w:color w:val="000000"/>
                <w:sz w:val="14"/>
              </w:rPr>
              <w:t>1.19 (0.96–1.48)</w:t>
            </w:r>
          </w:p>
        </w:tc>
        <w:tc>
          <w:tcPr>
            <w:tcW w:w="2664" w:type="dxa"/>
            <w:shd w:val="clear" w:color="auto" w:fill="FFFFFF"/>
          </w:tcPr>
          <w:p w14:paraId="1FFFC6FC" w14:textId="77777777" w:rsidR="00C06AB3" w:rsidRPr="00C06AB3" w:rsidRDefault="00C06AB3" w:rsidP="004762C3">
            <w:pPr>
              <w:spacing w:before="24" w:after="24"/>
              <w:jc w:val="right"/>
              <w:rPr>
                <w:rFonts w:ascii="Times New Roman" w:hAnsi="Times New Roman" w:cs="Times New Roman"/>
              </w:rPr>
            </w:pPr>
            <w:r w:rsidRPr="00C06AB3">
              <w:rPr>
                <w:rFonts w:ascii="Times New Roman" w:hAnsi="Times New Roman" w:cs="Times New Roman"/>
                <w:color w:val="000000"/>
                <w:sz w:val="14"/>
              </w:rPr>
              <w:t>1.26* (1.01–1.57)</w:t>
            </w:r>
          </w:p>
        </w:tc>
      </w:tr>
      <w:tr w:rsidR="00C06AB3" w:rsidRPr="00C06AB3" w14:paraId="006CF6C4" w14:textId="77777777" w:rsidTr="004762C3">
        <w:trPr>
          <w:jc w:val="center"/>
        </w:trPr>
        <w:tc>
          <w:tcPr>
            <w:tcW w:w="3528" w:type="dxa"/>
            <w:shd w:val="clear" w:color="auto" w:fill="FFFFFF"/>
          </w:tcPr>
          <w:p w14:paraId="2C40A3FF" w14:textId="77777777" w:rsidR="00C06AB3" w:rsidRPr="00C06AB3" w:rsidRDefault="00C06AB3" w:rsidP="004762C3">
            <w:pPr>
              <w:spacing w:before="24" w:after="24"/>
              <w:ind w:left="180"/>
              <w:rPr>
                <w:rFonts w:ascii="Times New Roman" w:hAnsi="Times New Roman" w:cs="Times New Roman"/>
              </w:rPr>
            </w:pPr>
            <w:r w:rsidRPr="00C06AB3">
              <w:rPr>
                <w:rFonts w:ascii="Times New Roman" w:hAnsi="Times New Roman" w:cs="Times New Roman"/>
                <w:color w:val="000000"/>
                <w:sz w:val="14"/>
              </w:rPr>
              <w:t>≥$200,000</w:t>
            </w:r>
          </w:p>
        </w:tc>
        <w:tc>
          <w:tcPr>
            <w:tcW w:w="2664" w:type="dxa"/>
            <w:shd w:val="clear" w:color="auto" w:fill="FFFFFF"/>
          </w:tcPr>
          <w:p w14:paraId="46E02F6C" w14:textId="77777777" w:rsidR="00C06AB3" w:rsidRPr="00C06AB3" w:rsidRDefault="00C06AB3" w:rsidP="004762C3">
            <w:pPr>
              <w:spacing w:before="24" w:after="24"/>
              <w:jc w:val="right"/>
              <w:rPr>
                <w:rFonts w:ascii="Times New Roman" w:hAnsi="Times New Roman" w:cs="Times New Roman"/>
              </w:rPr>
            </w:pPr>
            <w:r w:rsidRPr="00C06AB3">
              <w:rPr>
                <w:rFonts w:ascii="Times New Roman" w:hAnsi="Times New Roman" w:cs="Times New Roman"/>
                <w:color w:val="000000"/>
                <w:sz w:val="14"/>
              </w:rPr>
              <w:t>1.10 (0.90–1.34)</w:t>
            </w:r>
          </w:p>
        </w:tc>
        <w:tc>
          <w:tcPr>
            <w:tcW w:w="2664" w:type="dxa"/>
            <w:shd w:val="clear" w:color="auto" w:fill="FFFFFF"/>
          </w:tcPr>
          <w:p w14:paraId="21882E82" w14:textId="77777777" w:rsidR="00C06AB3" w:rsidRPr="00C06AB3" w:rsidRDefault="00C06AB3" w:rsidP="004762C3">
            <w:pPr>
              <w:spacing w:before="24" w:after="24"/>
              <w:jc w:val="right"/>
              <w:rPr>
                <w:rFonts w:ascii="Times New Roman" w:hAnsi="Times New Roman" w:cs="Times New Roman"/>
              </w:rPr>
            </w:pPr>
            <w:r w:rsidRPr="00C06AB3">
              <w:rPr>
                <w:rFonts w:ascii="Times New Roman" w:hAnsi="Times New Roman" w:cs="Times New Roman"/>
                <w:color w:val="000000"/>
                <w:sz w:val="14"/>
              </w:rPr>
              <w:t>1.15 (0.93–1.41)</w:t>
            </w:r>
          </w:p>
        </w:tc>
      </w:tr>
      <w:tr w:rsidR="00C06AB3" w:rsidRPr="00C06AB3" w14:paraId="58E4DDA9" w14:textId="77777777" w:rsidTr="004762C3">
        <w:trPr>
          <w:jc w:val="center"/>
        </w:trPr>
        <w:tc>
          <w:tcPr>
            <w:tcW w:w="3528" w:type="dxa"/>
            <w:shd w:val="clear" w:color="auto" w:fill="FFFFFF"/>
          </w:tcPr>
          <w:p w14:paraId="6F435FE4" w14:textId="77777777" w:rsidR="00C06AB3" w:rsidRPr="00C06AB3" w:rsidRDefault="00C06AB3" w:rsidP="004762C3">
            <w:pPr>
              <w:spacing w:before="24" w:after="24"/>
              <w:ind w:left="180"/>
              <w:rPr>
                <w:rFonts w:ascii="Times New Roman" w:hAnsi="Times New Roman" w:cs="Times New Roman"/>
              </w:rPr>
            </w:pPr>
            <w:r w:rsidRPr="00C06AB3">
              <w:rPr>
                <w:rFonts w:ascii="Times New Roman" w:hAnsi="Times New Roman" w:cs="Times New Roman"/>
                <w:color w:val="000000"/>
                <w:sz w:val="14"/>
              </w:rPr>
              <w:t>Missing</w:t>
            </w:r>
          </w:p>
        </w:tc>
        <w:tc>
          <w:tcPr>
            <w:tcW w:w="2664" w:type="dxa"/>
            <w:shd w:val="clear" w:color="auto" w:fill="FFFFFF"/>
          </w:tcPr>
          <w:p w14:paraId="06C2B1DB" w14:textId="77777777" w:rsidR="00C06AB3" w:rsidRPr="00C06AB3" w:rsidRDefault="00C06AB3" w:rsidP="004762C3">
            <w:pPr>
              <w:spacing w:before="24" w:after="24"/>
              <w:jc w:val="right"/>
              <w:rPr>
                <w:rFonts w:ascii="Times New Roman" w:hAnsi="Times New Roman" w:cs="Times New Roman"/>
              </w:rPr>
            </w:pPr>
            <w:r w:rsidRPr="00C06AB3">
              <w:rPr>
                <w:rFonts w:ascii="Times New Roman" w:hAnsi="Times New Roman" w:cs="Times New Roman"/>
                <w:color w:val="000000"/>
                <w:sz w:val="14"/>
              </w:rPr>
              <w:t>1.65*** (1.48–1.84)</w:t>
            </w:r>
          </w:p>
        </w:tc>
        <w:tc>
          <w:tcPr>
            <w:tcW w:w="2664" w:type="dxa"/>
            <w:shd w:val="clear" w:color="auto" w:fill="FFFFFF"/>
          </w:tcPr>
          <w:p w14:paraId="762DDF85" w14:textId="77777777" w:rsidR="00C06AB3" w:rsidRPr="00C06AB3" w:rsidRDefault="00C06AB3" w:rsidP="004762C3">
            <w:pPr>
              <w:spacing w:before="24" w:after="24"/>
              <w:jc w:val="right"/>
              <w:rPr>
                <w:rFonts w:ascii="Times New Roman" w:hAnsi="Times New Roman" w:cs="Times New Roman"/>
              </w:rPr>
            </w:pPr>
            <w:r w:rsidRPr="00C06AB3">
              <w:rPr>
                <w:rFonts w:ascii="Times New Roman" w:hAnsi="Times New Roman" w:cs="Times New Roman"/>
                <w:color w:val="000000"/>
                <w:sz w:val="14"/>
              </w:rPr>
              <w:t>1.46*** (1.29–1.64)</w:t>
            </w:r>
          </w:p>
        </w:tc>
      </w:tr>
      <w:tr w:rsidR="00C06AB3" w:rsidRPr="00C06AB3" w14:paraId="5F0B0E7F" w14:textId="77777777" w:rsidTr="004762C3">
        <w:trPr>
          <w:jc w:val="center"/>
        </w:trPr>
        <w:tc>
          <w:tcPr>
            <w:tcW w:w="3528" w:type="dxa"/>
            <w:shd w:val="clear" w:color="auto" w:fill="FFFFFF"/>
          </w:tcPr>
          <w:p w14:paraId="5F188F42" w14:textId="77777777" w:rsidR="00C06AB3" w:rsidRPr="00C06AB3" w:rsidRDefault="00C06AB3" w:rsidP="004762C3">
            <w:pPr>
              <w:spacing w:before="24" w:after="24"/>
              <w:rPr>
                <w:rFonts w:ascii="Times New Roman" w:hAnsi="Times New Roman" w:cs="Times New Roman"/>
              </w:rPr>
            </w:pPr>
            <w:r w:rsidRPr="00C06AB3">
              <w:rPr>
                <w:rFonts w:ascii="Times New Roman" w:hAnsi="Times New Roman" w:cs="Times New Roman"/>
                <w:b/>
                <w:color w:val="000000"/>
                <w:sz w:val="14"/>
              </w:rPr>
              <w:t>Insurance (reference: Employer)</w:t>
            </w:r>
          </w:p>
        </w:tc>
        <w:tc>
          <w:tcPr>
            <w:tcW w:w="2664" w:type="dxa"/>
            <w:shd w:val="clear" w:color="auto" w:fill="FFFFFF"/>
          </w:tcPr>
          <w:p w14:paraId="4C3CC246" w14:textId="77777777" w:rsidR="00C06AB3" w:rsidRPr="00C06AB3" w:rsidRDefault="00C06AB3" w:rsidP="004762C3">
            <w:pPr>
              <w:spacing w:before="24" w:after="24"/>
              <w:jc w:val="right"/>
              <w:rPr>
                <w:rFonts w:ascii="Times New Roman" w:hAnsi="Times New Roman" w:cs="Times New Roman"/>
              </w:rPr>
            </w:pPr>
          </w:p>
        </w:tc>
        <w:tc>
          <w:tcPr>
            <w:tcW w:w="2664" w:type="dxa"/>
            <w:shd w:val="clear" w:color="auto" w:fill="FFFFFF"/>
          </w:tcPr>
          <w:p w14:paraId="51F5D577" w14:textId="77777777" w:rsidR="00C06AB3" w:rsidRPr="00C06AB3" w:rsidRDefault="00C06AB3" w:rsidP="004762C3">
            <w:pPr>
              <w:spacing w:before="24" w:after="24"/>
              <w:jc w:val="right"/>
              <w:rPr>
                <w:rFonts w:ascii="Times New Roman" w:hAnsi="Times New Roman" w:cs="Times New Roman"/>
              </w:rPr>
            </w:pPr>
          </w:p>
        </w:tc>
      </w:tr>
      <w:tr w:rsidR="00C06AB3" w:rsidRPr="00C06AB3" w14:paraId="5BE200B8" w14:textId="77777777" w:rsidTr="004762C3">
        <w:trPr>
          <w:jc w:val="center"/>
        </w:trPr>
        <w:tc>
          <w:tcPr>
            <w:tcW w:w="3528" w:type="dxa"/>
            <w:shd w:val="clear" w:color="auto" w:fill="FFFFFF"/>
          </w:tcPr>
          <w:p w14:paraId="4637F6ED" w14:textId="77777777" w:rsidR="00C06AB3" w:rsidRPr="00C06AB3" w:rsidRDefault="00C06AB3" w:rsidP="004762C3">
            <w:pPr>
              <w:spacing w:before="24" w:after="24"/>
              <w:ind w:left="180"/>
              <w:rPr>
                <w:rFonts w:ascii="Times New Roman" w:hAnsi="Times New Roman" w:cs="Times New Roman"/>
              </w:rPr>
            </w:pPr>
            <w:r w:rsidRPr="00C06AB3">
              <w:rPr>
                <w:rFonts w:ascii="Times New Roman" w:hAnsi="Times New Roman" w:cs="Times New Roman"/>
                <w:color w:val="000000"/>
                <w:sz w:val="14"/>
              </w:rPr>
              <w:t>Medicare</w:t>
            </w:r>
          </w:p>
        </w:tc>
        <w:tc>
          <w:tcPr>
            <w:tcW w:w="2664" w:type="dxa"/>
            <w:shd w:val="clear" w:color="auto" w:fill="FFFFFF"/>
          </w:tcPr>
          <w:p w14:paraId="6C08C54D" w14:textId="77777777" w:rsidR="00C06AB3" w:rsidRPr="00C06AB3" w:rsidRDefault="00C06AB3" w:rsidP="004762C3">
            <w:pPr>
              <w:spacing w:before="24" w:after="24"/>
              <w:jc w:val="right"/>
              <w:rPr>
                <w:rFonts w:ascii="Times New Roman" w:hAnsi="Times New Roman" w:cs="Times New Roman"/>
              </w:rPr>
            </w:pPr>
            <w:r w:rsidRPr="00C06AB3">
              <w:rPr>
                <w:rFonts w:ascii="Times New Roman" w:hAnsi="Times New Roman" w:cs="Times New Roman"/>
                <w:color w:val="000000"/>
                <w:sz w:val="14"/>
              </w:rPr>
              <w:t>1.06 (0.93–1.20)</w:t>
            </w:r>
          </w:p>
        </w:tc>
        <w:tc>
          <w:tcPr>
            <w:tcW w:w="2664" w:type="dxa"/>
            <w:shd w:val="clear" w:color="auto" w:fill="FFFFFF"/>
          </w:tcPr>
          <w:p w14:paraId="278607B2" w14:textId="77777777" w:rsidR="00C06AB3" w:rsidRPr="00C06AB3" w:rsidRDefault="00C06AB3" w:rsidP="004762C3">
            <w:pPr>
              <w:spacing w:before="24" w:after="24"/>
              <w:jc w:val="right"/>
              <w:rPr>
                <w:rFonts w:ascii="Times New Roman" w:hAnsi="Times New Roman" w:cs="Times New Roman"/>
              </w:rPr>
            </w:pPr>
            <w:r w:rsidRPr="00C06AB3">
              <w:rPr>
                <w:rFonts w:ascii="Times New Roman" w:hAnsi="Times New Roman" w:cs="Times New Roman"/>
                <w:color w:val="000000"/>
                <w:sz w:val="14"/>
              </w:rPr>
              <w:t>0.95 (0.83–1.09)</w:t>
            </w:r>
          </w:p>
        </w:tc>
      </w:tr>
      <w:tr w:rsidR="00C06AB3" w:rsidRPr="00C06AB3" w14:paraId="54D30D5C" w14:textId="77777777" w:rsidTr="004762C3">
        <w:trPr>
          <w:jc w:val="center"/>
        </w:trPr>
        <w:tc>
          <w:tcPr>
            <w:tcW w:w="3528" w:type="dxa"/>
            <w:shd w:val="clear" w:color="auto" w:fill="FFFFFF"/>
          </w:tcPr>
          <w:p w14:paraId="08427082" w14:textId="77777777" w:rsidR="00C06AB3" w:rsidRPr="00C06AB3" w:rsidRDefault="00C06AB3" w:rsidP="004762C3">
            <w:pPr>
              <w:spacing w:before="24" w:after="24"/>
              <w:ind w:left="180"/>
              <w:rPr>
                <w:rFonts w:ascii="Times New Roman" w:hAnsi="Times New Roman" w:cs="Times New Roman"/>
              </w:rPr>
            </w:pPr>
            <w:r w:rsidRPr="00C06AB3">
              <w:rPr>
                <w:rFonts w:ascii="Times New Roman" w:hAnsi="Times New Roman" w:cs="Times New Roman"/>
                <w:color w:val="000000"/>
                <w:sz w:val="14"/>
              </w:rPr>
              <w:t>Medicaid</w:t>
            </w:r>
          </w:p>
        </w:tc>
        <w:tc>
          <w:tcPr>
            <w:tcW w:w="2664" w:type="dxa"/>
            <w:shd w:val="clear" w:color="auto" w:fill="FFFFFF"/>
          </w:tcPr>
          <w:p w14:paraId="77E2E0A6" w14:textId="77777777" w:rsidR="00C06AB3" w:rsidRPr="00C06AB3" w:rsidRDefault="00C06AB3" w:rsidP="004762C3">
            <w:pPr>
              <w:spacing w:before="24" w:after="24"/>
              <w:jc w:val="right"/>
              <w:rPr>
                <w:rFonts w:ascii="Times New Roman" w:hAnsi="Times New Roman" w:cs="Times New Roman"/>
              </w:rPr>
            </w:pPr>
            <w:r w:rsidRPr="00C06AB3">
              <w:rPr>
                <w:rFonts w:ascii="Times New Roman" w:hAnsi="Times New Roman" w:cs="Times New Roman"/>
                <w:color w:val="000000"/>
                <w:sz w:val="14"/>
              </w:rPr>
              <w:t>1.59*** (1.43–1.77)</w:t>
            </w:r>
          </w:p>
        </w:tc>
        <w:tc>
          <w:tcPr>
            <w:tcW w:w="2664" w:type="dxa"/>
            <w:shd w:val="clear" w:color="auto" w:fill="FFFFFF"/>
          </w:tcPr>
          <w:p w14:paraId="55D12DB3" w14:textId="77777777" w:rsidR="00C06AB3" w:rsidRPr="00C06AB3" w:rsidRDefault="00C06AB3" w:rsidP="004762C3">
            <w:pPr>
              <w:spacing w:before="24" w:after="24"/>
              <w:jc w:val="right"/>
              <w:rPr>
                <w:rFonts w:ascii="Times New Roman" w:hAnsi="Times New Roman" w:cs="Times New Roman"/>
              </w:rPr>
            </w:pPr>
            <w:r w:rsidRPr="00C06AB3">
              <w:rPr>
                <w:rFonts w:ascii="Times New Roman" w:hAnsi="Times New Roman" w:cs="Times New Roman"/>
                <w:color w:val="000000"/>
                <w:sz w:val="14"/>
              </w:rPr>
              <w:t>1.33*** (1.16–1.51)</w:t>
            </w:r>
          </w:p>
        </w:tc>
      </w:tr>
      <w:tr w:rsidR="00C06AB3" w:rsidRPr="00C06AB3" w14:paraId="598C8BD7" w14:textId="77777777" w:rsidTr="004762C3">
        <w:trPr>
          <w:jc w:val="center"/>
        </w:trPr>
        <w:tc>
          <w:tcPr>
            <w:tcW w:w="3528" w:type="dxa"/>
            <w:shd w:val="clear" w:color="auto" w:fill="FFFFFF"/>
          </w:tcPr>
          <w:p w14:paraId="3FB45A63" w14:textId="77777777" w:rsidR="00C06AB3" w:rsidRPr="00C06AB3" w:rsidRDefault="00C06AB3" w:rsidP="004762C3">
            <w:pPr>
              <w:spacing w:before="24" w:after="24"/>
              <w:ind w:left="180"/>
              <w:rPr>
                <w:rFonts w:ascii="Times New Roman" w:hAnsi="Times New Roman" w:cs="Times New Roman"/>
              </w:rPr>
            </w:pPr>
            <w:r w:rsidRPr="00C06AB3">
              <w:rPr>
                <w:rFonts w:ascii="Times New Roman" w:hAnsi="Times New Roman" w:cs="Times New Roman"/>
                <w:color w:val="000000"/>
                <w:sz w:val="14"/>
              </w:rPr>
              <w:t>Other or none</w:t>
            </w:r>
          </w:p>
        </w:tc>
        <w:tc>
          <w:tcPr>
            <w:tcW w:w="2664" w:type="dxa"/>
            <w:shd w:val="clear" w:color="auto" w:fill="FFFFFF"/>
          </w:tcPr>
          <w:p w14:paraId="04FC6B40" w14:textId="77777777" w:rsidR="00C06AB3" w:rsidRPr="00C06AB3" w:rsidRDefault="00C06AB3" w:rsidP="004762C3">
            <w:pPr>
              <w:spacing w:before="24" w:after="24"/>
              <w:jc w:val="right"/>
              <w:rPr>
                <w:rFonts w:ascii="Times New Roman" w:hAnsi="Times New Roman" w:cs="Times New Roman"/>
              </w:rPr>
            </w:pPr>
            <w:r w:rsidRPr="00C06AB3">
              <w:rPr>
                <w:rFonts w:ascii="Times New Roman" w:hAnsi="Times New Roman" w:cs="Times New Roman"/>
                <w:color w:val="000000"/>
                <w:sz w:val="14"/>
              </w:rPr>
              <w:t>1.31*** (1.13–1.52)</w:t>
            </w:r>
          </w:p>
        </w:tc>
        <w:tc>
          <w:tcPr>
            <w:tcW w:w="2664" w:type="dxa"/>
            <w:shd w:val="clear" w:color="auto" w:fill="FFFFFF"/>
          </w:tcPr>
          <w:p w14:paraId="62AB1D36" w14:textId="77777777" w:rsidR="00C06AB3" w:rsidRPr="00C06AB3" w:rsidRDefault="00C06AB3" w:rsidP="004762C3">
            <w:pPr>
              <w:spacing w:before="24" w:after="24"/>
              <w:jc w:val="right"/>
              <w:rPr>
                <w:rFonts w:ascii="Times New Roman" w:hAnsi="Times New Roman" w:cs="Times New Roman"/>
              </w:rPr>
            </w:pPr>
            <w:r w:rsidRPr="00C06AB3">
              <w:rPr>
                <w:rFonts w:ascii="Times New Roman" w:hAnsi="Times New Roman" w:cs="Times New Roman"/>
                <w:color w:val="000000"/>
                <w:sz w:val="14"/>
              </w:rPr>
              <w:t>1.15 (0.98–1.35)</w:t>
            </w:r>
          </w:p>
        </w:tc>
      </w:tr>
      <w:tr w:rsidR="00C06AB3" w:rsidRPr="00C06AB3" w14:paraId="442F68C5" w14:textId="77777777" w:rsidTr="004762C3">
        <w:trPr>
          <w:jc w:val="center"/>
        </w:trPr>
        <w:tc>
          <w:tcPr>
            <w:tcW w:w="3528" w:type="dxa"/>
            <w:shd w:val="clear" w:color="auto" w:fill="FFFFFF"/>
          </w:tcPr>
          <w:p w14:paraId="7FDD8E2B" w14:textId="77777777" w:rsidR="00C06AB3" w:rsidRPr="00C06AB3" w:rsidRDefault="00C06AB3" w:rsidP="004762C3">
            <w:pPr>
              <w:spacing w:before="24" w:after="24"/>
              <w:rPr>
                <w:rFonts w:ascii="Times New Roman" w:hAnsi="Times New Roman" w:cs="Times New Roman"/>
              </w:rPr>
            </w:pPr>
            <w:r w:rsidRPr="00C06AB3">
              <w:rPr>
                <w:rFonts w:ascii="Times New Roman" w:hAnsi="Times New Roman" w:cs="Times New Roman"/>
                <w:b/>
                <w:color w:val="000000"/>
                <w:sz w:val="14"/>
              </w:rPr>
              <w:t>Education (reference: College graduate or higher)</w:t>
            </w:r>
          </w:p>
        </w:tc>
        <w:tc>
          <w:tcPr>
            <w:tcW w:w="2664" w:type="dxa"/>
            <w:shd w:val="clear" w:color="auto" w:fill="FFFFFF"/>
          </w:tcPr>
          <w:p w14:paraId="71A40A5E" w14:textId="77777777" w:rsidR="00C06AB3" w:rsidRPr="00C06AB3" w:rsidRDefault="00C06AB3" w:rsidP="004762C3">
            <w:pPr>
              <w:spacing w:before="24" w:after="24"/>
              <w:jc w:val="right"/>
              <w:rPr>
                <w:rFonts w:ascii="Times New Roman" w:hAnsi="Times New Roman" w:cs="Times New Roman"/>
              </w:rPr>
            </w:pPr>
          </w:p>
        </w:tc>
        <w:tc>
          <w:tcPr>
            <w:tcW w:w="2664" w:type="dxa"/>
            <w:shd w:val="clear" w:color="auto" w:fill="FFFFFF"/>
          </w:tcPr>
          <w:p w14:paraId="3D2EB701" w14:textId="77777777" w:rsidR="00C06AB3" w:rsidRPr="00C06AB3" w:rsidRDefault="00C06AB3" w:rsidP="004762C3">
            <w:pPr>
              <w:spacing w:before="24" w:after="24"/>
              <w:jc w:val="right"/>
              <w:rPr>
                <w:rFonts w:ascii="Times New Roman" w:hAnsi="Times New Roman" w:cs="Times New Roman"/>
              </w:rPr>
            </w:pPr>
          </w:p>
        </w:tc>
      </w:tr>
      <w:tr w:rsidR="00C06AB3" w:rsidRPr="00C06AB3" w14:paraId="679ADB60" w14:textId="77777777" w:rsidTr="004762C3">
        <w:trPr>
          <w:jc w:val="center"/>
        </w:trPr>
        <w:tc>
          <w:tcPr>
            <w:tcW w:w="3528" w:type="dxa"/>
            <w:shd w:val="clear" w:color="auto" w:fill="FFFFFF"/>
          </w:tcPr>
          <w:p w14:paraId="69D32B60" w14:textId="77777777" w:rsidR="00C06AB3" w:rsidRPr="00C06AB3" w:rsidRDefault="00C06AB3" w:rsidP="004762C3">
            <w:pPr>
              <w:spacing w:before="24" w:after="24"/>
              <w:ind w:left="180"/>
              <w:rPr>
                <w:rFonts w:ascii="Times New Roman" w:hAnsi="Times New Roman" w:cs="Times New Roman"/>
              </w:rPr>
            </w:pPr>
            <w:r w:rsidRPr="00C06AB3">
              <w:rPr>
                <w:rFonts w:ascii="Times New Roman" w:hAnsi="Times New Roman" w:cs="Times New Roman"/>
                <w:color w:val="000000"/>
                <w:sz w:val="14"/>
              </w:rPr>
              <w:t>Never attended school</w:t>
            </w:r>
          </w:p>
        </w:tc>
        <w:tc>
          <w:tcPr>
            <w:tcW w:w="2664" w:type="dxa"/>
            <w:shd w:val="clear" w:color="auto" w:fill="FFFFFF"/>
          </w:tcPr>
          <w:p w14:paraId="6533EB99" w14:textId="77777777" w:rsidR="00C06AB3" w:rsidRPr="00C06AB3" w:rsidRDefault="00C06AB3" w:rsidP="004762C3">
            <w:pPr>
              <w:spacing w:before="24" w:after="24"/>
              <w:jc w:val="right"/>
              <w:rPr>
                <w:rFonts w:ascii="Times New Roman" w:hAnsi="Times New Roman" w:cs="Times New Roman"/>
              </w:rPr>
            </w:pPr>
            <w:r w:rsidRPr="00C06AB3">
              <w:rPr>
                <w:rFonts w:ascii="Times New Roman" w:hAnsi="Times New Roman" w:cs="Times New Roman"/>
                <w:color w:val="000000"/>
                <w:sz w:val="14"/>
              </w:rPr>
              <w:t>3.35*** (1.66–6.78)</w:t>
            </w:r>
          </w:p>
        </w:tc>
        <w:tc>
          <w:tcPr>
            <w:tcW w:w="2664" w:type="dxa"/>
            <w:shd w:val="clear" w:color="auto" w:fill="FFFFFF"/>
          </w:tcPr>
          <w:p w14:paraId="13E231BD" w14:textId="77777777" w:rsidR="00C06AB3" w:rsidRPr="00C06AB3" w:rsidRDefault="00C06AB3" w:rsidP="004762C3">
            <w:pPr>
              <w:spacing w:before="24" w:after="24"/>
              <w:jc w:val="right"/>
              <w:rPr>
                <w:rFonts w:ascii="Times New Roman" w:hAnsi="Times New Roman" w:cs="Times New Roman"/>
              </w:rPr>
            </w:pPr>
            <w:r w:rsidRPr="00C06AB3">
              <w:rPr>
                <w:rFonts w:ascii="Times New Roman" w:hAnsi="Times New Roman" w:cs="Times New Roman"/>
                <w:color w:val="000000"/>
                <w:sz w:val="14"/>
              </w:rPr>
              <w:t>2.85** (1.40–5.82)</w:t>
            </w:r>
          </w:p>
        </w:tc>
      </w:tr>
      <w:tr w:rsidR="00C06AB3" w:rsidRPr="00C06AB3" w14:paraId="17AA4DDD" w14:textId="77777777" w:rsidTr="004762C3">
        <w:trPr>
          <w:jc w:val="center"/>
        </w:trPr>
        <w:tc>
          <w:tcPr>
            <w:tcW w:w="3528" w:type="dxa"/>
            <w:shd w:val="clear" w:color="auto" w:fill="FFFFFF"/>
          </w:tcPr>
          <w:p w14:paraId="3ADEE929" w14:textId="77777777" w:rsidR="00C06AB3" w:rsidRPr="00C06AB3" w:rsidRDefault="00C06AB3" w:rsidP="004762C3">
            <w:pPr>
              <w:spacing w:before="24" w:after="24"/>
              <w:ind w:left="180"/>
              <w:rPr>
                <w:rFonts w:ascii="Times New Roman" w:hAnsi="Times New Roman" w:cs="Times New Roman"/>
              </w:rPr>
            </w:pPr>
            <w:r w:rsidRPr="00C06AB3">
              <w:rPr>
                <w:rFonts w:ascii="Times New Roman" w:hAnsi="Times New Roman" w:cs="Times New Roman"/>
                <w:color w:val="000000"/>
                <w:sz w:val="14"/>
              </w:rPr>
              <w:t>Below GED</w:t>
            </w:r>
          </w:p>
        </w:tc>
        <w:tc>
          <w:tcPr>
            <w:tcW w:w="2664" w:type="dxa"/>
            <w:shd w:val="clear" w:color="auto" w:fill="FFFFFF"/>
          </w:tcPr>
          <w:p w14:paraId="14A3AA55" w14:textId="77777777" w:rsidR="00C06AB3" w:rsidRPr="00C06AB3" w:rsidRDefault="00C06AB3" w:rsidP="004762C3">
            <w:pPr>
              <w:spacing w:before="24" w:after="24"/>
              <w:jc w:val="right"/>
              <w:rPr>
                <w:rFonts w:ascii="Times New Roman" w:hAnsi="Times New Roman" w:cs="Times New Roman"/>
              </w:rPr>
            </w:pPr>
            <w:r w:rsidRPr="00C06AB3">
              <w:rPr>
                <w:rFonts w:ascii="Times New Roman" w:hAnsi="Times New Roman" w:cs="Times New Roman"/>
                <w:color w:val="000000"/>
                <w:sz w:val="14"/>
              </w:rPr>
              <w:t>1.35*** (1.18–1.53)</w:t>
            </w:r>
          </w:p>
        </w:tc>
        <w:tc>
          <w:tcPr>
            <w:tcW w:w="2664" w:type="dxa"/>
            <w:shd w:val="clear" w:color="auto" w:fill="FFFFFF"/>
          </w:tcPr>
          <w:p w14:paraId="65CA2996" w14:textId="77777777" w:rsidR="00C06AB3" w:rsidRPr="00C06AB3" w:rsidRDefault="00C06AB3" w:rsidP="004762C3">
            <w:pPr>
              <w:spacing w:before="24" w:after="24"/>
              <w:jc w:val="right"/>
              <w:rPr>
                <w:rFonts w:ascii="Times New Roman" w:hAnsi="Times New Roman" w:cs="Times New Roman"/>
              </w:rPr>
            </w:pPr>
            <w:r w:rsidRPr="00C06AB3">
              <w:rPr>
                <w:rFonts w:ascii="Times New Roman" w:hAnsi="Times New Roman" w:cs="Times New Roman"/>
                <w:color w:val="000000"/>
                <w:sz w:val="14"/>
              </w:rPr>
              <w:t>1.13 (0.98–1.30)</w:t>
            </w:r>
          </w:p>
        </w:tc>
      </w:tr>
      <w:tr w:rsidR="00C06AB3" w:rsidRPr="00C06AB3" w14:paraId="54A7B311" w14:textId="77777777" w:rsidTr="004762C3">
        <w:trPr>
          <w:jc w:val="center"/>
        </w:trPr>
        <w:tc>
          <w:tcPr>
            <w:tcW w:w="3528" w:type="dxa"/>
            <w:shd w:val="clear" w:color="auto" w:fill="FFFFFF"/>
          </w:tcPr>
          <w:p w14:paraId="7B79E01D" w14:textId="77777777" w:rsidR="00C06AB3" w:rsidRPr="00C06AB3" w:rsidRDefault="00C06AB3" w:rsidP="004762C3">
            <w:pPr>
              <w:spacing w:before="24" w:after="24"/>
              <w:ind w:left="180"/>
              <w:rPr>
                <w:rFonts w:ascii="Times New Roman" w:hAnsi="Times New Roman" w:cs="Times New Roman"/>
              </w:rPr>
            </w:pPr>
            <w:r w:rsidRPr="00C06AB3">
              <w:rPr>
                <w:rFonts w:ascii="Times New Roman" w:hAnsi="Times New Roman" w:cs="Times New Roman"/>
                <w:color w:val="000000"/>
                <w:sz w:val="14"/>
              </w:rPr>
              <w:t>GED or some college</w:t>
            </w:r>
          </w:p>
        </w:tc>
        <w:tc>
          <w:tcPr>
            <w:tcW w:w="2664" w:type="dxa"/>
            <w:shd w:val="clear" w:color="auto" w:fill="FFFFFF"/>
          </w:tcPr>
          <w:p w14:paraId="0D97A7A8" w14:textId="77777777" w:rsidR="00C06AB3" w:rsidRPr="00C06AB3" w:rsidRDefault="00C06AB3" w:rsidP="004762C3">
            <w:pPr>
              <w:spacing w:before="24" w:after="24"/>
              <w:jc w:val="right"/>
              <w:rPr>
                <w:rFonts w:ascii="Times New Roman" w:hAnsi="Times New Roman" w:cs="Times New Roman"/>
              </w:rPr>
            </w:pPr>
            <w:r w:rsidRPr="00C06AB3">
              <w:rPr>
                <w:rFonts w:ascii="Times New Roman" w:hAnsi="Times New Roman" w:cs="Times New Roman"/>
                <w:color w:val="000000"/>
                <w:sz w:val="14"/>
              </w:rPr>
              <w:t>1.11* (1.02–1.21)</w:t>
            </w:r>
          </w:p>
        </w:tc>
        <w:tc>
          <w:tcPr>
            <w:tcW w:w="2664" w:type="dxa"/>
            <w:shd w:val="clear" w:color="auto" w:fill="FFFFFF"/>
          </w:tcPr>
          <w:p w14:paraId="0E0799E6" w14:textId="77777777" w:rsidR="00C06AB3" w:rsidRPr="00C06AB3" w:rsidRDefault="00C06AB3" w:rsidP="004762C3">
            <w:pPr>
              <w:spacing w:before="24" w:after="24"/>
              <w:jc w:val="right"/>
              <w:rPr>
                <w:rFonts w:ascii="Times New Roman" w:hAnsi="Times New Roman" w:cs="Times New Roman"/>
              </w:rPr>
            </w:pPr>
            <w:r w:rsidRPr="00C06AB3">
              <w:rPr>
                <w:rFonts w:ascii="Times New Roman" w:hAnsi="Times New Roman" w:cs="Times New Roman"/>
                <w:color w:val="000000"/>
                <w:sz w:val="14"/>
              </w:rPr>
              <w:t>1.02 (0.93–1.12)</w:t>
            </w:r>
          </w:p>
        </w:tc>
      </w:tr>
      <w:tr w:rsidR="00C06AB3" w:rsidRPr="00C06AB3" w14:paraId="05D9C266" w14:textId="77777777" w:rsidTr="004762C3">
        <w:trPr>
          <w:jc w:val="center"/>
        </w:trPr>
        <w:tc>
          <w:tcPr>
            <w:tcW w:w="3528" w:type="dxa"/>
            <w:shd w:val="clear" w:color="auto" w:fill="FFFFFF"/>
          </w:tcPr>
          <w:p w14:paraId="408D7AF4" w14:textId="77777777" w:rsidR="00C06AB3" w:rsidRPr="00C06AB3" w:rsidRDefault="00C06AB3" w:rsidP="004762C3">
            <w:pPr>
              <w:spacing w:before="24" w:after="24"/>
              <w:rPr>
                <w:rFonts w:ascii="Times New Roman" w:hAnsi="Times New Roman" w:cs="Times New Roman"/>
              </w:rPr>
            </w:pPr>
            <w:r w:rsidRPr="00C06AB3">
              <w:rPr>
                <w:rFonts w:ascii="Times New Roman" w:hAnsi="Times New Roman" w:cs="Times New Roman"/>
                <w:b/>
                <w:color w:val="000000"/>
                <w:sz w:val="14"/>
              </w:rPr>
              <w:t>Employment (reference: Employed)</w:t>
            </w:r>
          </w:p>
        </w:tc>
        <w:tc>
          <w:tcPr>
            <w:tcW w:w="2664" w:type="dxa"/>
            <w:shd w:val="clear" w:color="auto" w:fill="FFFFFF"/>
          </w:tcPr>
          <w:p w14:paraId="0EB2AC13" w14:textId="77777777" w:rsidR="00C06AB3" w:rsidRPr="00C06AB3" w:rsidRDefault="00C06AB3" w:rsidP="004762C3">
            <w:pPr>
              <w:spacing w:before="24" w:after="24"/>
              <w:jc w:val="right"/>
              <w:rPr>
                <w:rFonts w:ascii="Times New Roman" w:hAnsi="Times New Roman" w:cs="Times New Roman"/>
              </w:rPr>
            </w:pPr>
          </w:p>
        </w:tc>
        <w:tc>
          <w:tcPr>
            <w:tcW w:w="2664" w:type="dxa"/>
            <w:shd w:val="clear" w:color="auto" w:fill="FFFFFF"/>
          </w:tcPr>
          <w:p w14:paraId="778008AD" w14:textId="77777777" w:rsidR="00C06AB3" w:rsidRPr="00C06AB3" w:rsidRDefault="00C06AB3" w:rsidP="004762C3">
            <w:pPr>
              <w:spacing w:before="24" w:after="24"/>
              <w:jc w:val="right"/>
              <w:rPr>
                <w:rFonts w:ascii="Times New Roman" w:hAnsi="Times New Roman" w:cs="Times New Roman"/>
              </w:rPr>
            </w:pPr>
          </w:p>
        </w:tc>
      </w:tr>
      <w:tr w:rsidR="00C06AB3" w:rsidRPr="00C06AB3" w14:paraId="7991FE6E" w14:textId="77777777" w:rsidTr="004762C3">
        <w:trPr>
          <w:jc w:val="center"/>
        </w:trPr>
        <w:tc>
          <w:tcPr>
            <w:tcW w:w="3528" w:type="dxa"/>
            <w:shd w:val="clear" w:color="auto" w:fill="FFFFFF"/>
          </w:tcPr>
          <w:p w14:paraId="0E03659A" w14:textId="77777777" w:rsidR="00C06AB3" w:rsidRPr="00C06AB3" w:rsidRDefault="00C06AB3" w:rsidP="004762C3">
            <w:pPr>
              <w:spacing w:before="24" w:after="24"/>
              <w:ind w:left="180"/>
              <w:rPr>
                <w:rFonts w:ascii="Times New Roman" w:hAnsi="Times New Roman" w:cs="Times New Roman"/>
              </w:rPr>
            </w:pPr>
            <w:r w:rsidRPr="00C06AB3">
              <w:rPr>
                <w:rFonts w:ascii="Times New Roman" w:hAnsi="Times New Roman" w:cs="Times New Roman"/>
                <w:color w:val="000000"/>
                <w:sz w:val="14"/>
              </w:rPr>
              <w:t>Unemployed</w:t>
            </w:r>
          </w:p>
        </w:tc>
        <w:tc>
          <w:tcPr>
            <w:tcW w:w="2664" w:type="dxa"/>
            <w:shd w:val="clear" w:color="auto" w:fill="FFFFFF"/>
          </w:tcPr>
          <w:p w14:paraId="335D6E4F" w14:textId="77777777" w:rsidR="00C06AB3" w:rsidRPr="00C06AB3" w:rsidRDefault="00C06AB3" w:rsidP="004762C3">
            <w:pPr>
              <w:spacing w:before="24" w:after="24"/>
              <w:jc w:val="right"/>
              <w:rPr>
                <w:rFonts w:ascii="Times New Roman" w:hAnsi="Times New Roman" w:cs="Times New Roman"/>
              </w:rPr>
            </w:pPr>
            <w:r w:rsidRPr="00C06AB3">
              <w:rPr>
                <w:rFonts w:ascii="Times New Roman" w:hAnsi="Times New Roman" w:cs="Times New Roman"/>
                <w:color w:val="000000"/>
                <w:sz w:val="14"/>
              </w:rPr>
              <w:t>1.41*** (1.28–1.56)</w:t>
            </w:r>
          </w:p>
        </w:tc>
        <w:tc>
          <w:tcPr>
            <w:tcW w:w="2664" w:type="dxa"/>
            <w:shd w:val="clear" w:color="auto" w:fill="FFFFFF"/>
          </w:tcPr>
          <w:p w14:paraId="225D8A5E" w14:textId="77777777" w:rsidR="00C06AB3" w:rsidRPr="00C06AB3" w:rsidRDefault="00C06AB3" w:rsidP="004762C3">
            <w:pPr>
              <w:spacing w:before="24" w:after="24"/>
              <w:jc w:val="right"/>
              <w:rPr>
                <w:rFonts w:ascii="Times New Roman" w:hAnsi="Times New Roman" w:cs="Times New Roman"/>
              </w:rPr>
            </w:pPr>
            <w:r w:rsidRPr="00C06AB3">
              <w:rPr>
                <w:rFonts w:ascii="Times New Roman" w:hAnsi="Times New Roman" w:cs="Times New Roman"/>
                <w:color w:val="000000"/>
                <w:sz w:val="14"/>
              </w:rPr>
              <w:t>1.23*** (1.09–1.38)</w:t>
            </w:r>
          </w:p>
        </w:tc>
      </w:tr>
      <w:tr w:rsidR="00C06AB3" w:rsidRPr="00C06AB3" w14:paraId="483F7FB4" w14:textId="77777777" w:rsidTr="004762C3">
        <w:trPr>
          <w:jc w:val="center"/>
        </w:trPr>
        <w:tc>
          <w:tcPr>
            <w:tcW w:w="3528" w:type="dxa"/>
            <w:shd w:val="clear" w:color="auto" w:fill="FFFFFF"/>
          </w:tcPr>
          <w:p w14:paraId="70DAAA55" w14:textId="77777777" w:rsidR="00C06AB3" w:rsidRPr="00C06AB3" w:rsidRDefault="00C06AB3" w:rsidP="004762C3">
            <w:pPr>
              <w:spacing w:before="24" w:after="24"/>
              <w:ind w:left="180"/>
              <w:rPr>
                <w:rFonts w:ascii="Times New Roman" w:hAnsi="Times New Roman" w:cs="Times New Roman"/>
              </w:rPr>
            </w:pPr>
            <w:r w:rsidRPr="00C06AB3">
              <w:rPr>
                <w:rFonts w:ascii="Times New Roman" w:hAnsi="Times New Roman" w:cs="Times New Roman"/>
                <w:color w:val="000000"/>
                <w:sz w:val="14"/>
              </w:rPr>
              <w:t>Student</w:t>
            </w:r>
          </w:p>
        </w:tc>
        <w:tc>
          <w:tcPr>
            <w:tcW w:w="2664" w:type="dxa"/>
            <w:shd w:val="clear" w:color="auto" w:fill="FFFFFF"/>
          </w:tcPr>
          <w:p w14:paraId="0FC58022" w14:textId="77777777" w:rsidR="00C06AB3" w:rsidRPr="00C06AB3" w:rsidRDefault="00C06AB3" w:rsidP="004762C3">
            <w:pPr>
              <w:spacing w:before="24" w:after="24"/>
              <w:jc w:val="right"/>
              <w:rPr>
                <w:rFonts w:ascii="Times New Roman" w:hAnsi="Times New Roman" w:cs="Times New Roman"/>
              </w:rPr>
            </w:pPr>
            <w:r w:rsidRPr="00C06AB3">
              <w:rPr>
                <w:rFonts w:ascii="Times New Roman" w:hAnsi="Times New Roman" w:cs="Times New Roman"/>
                <w:color w:val="000000"/>
                <w:sz w:val="14"/>
              </w:rPr>
              <w:t>1.61*** (1.24–2.09)</w:t>
            </w:r>
          </w:p>
        </w:tc>
        <w:tc>
          <w:tcPr>
            <w:tcW w:w="2664" w:type="dxa"/>
            <w:shd w:val="clear" w:color="auto" w:fill="FFFFFF"/>
          </w:tcPr>
          <w:p w14:paraId="26D15891" w14:textId="77777777" w:rsidR="00C06AB3" w:rsidRPr="00C06AB3" w:rsidRDefault="00C06AB3" w:rsidP="004762C3">
            <w:pPr>
              <w:spacing w:before="24" w:after="24"/>
              <w:jc w:val="right"/>
              <w:rPr>
                <w:rFonts w:ascii="Times New Roman" w:hAnsi="Times New Roman" w:cs="Times New Roman"/>
              </w:rPr>
            </w:pPr>
            <w:r w:rsidRPr="00C06AB3">
              <w:rPr>
                <w:rFonts w:ascii="Times New Roman" w:hAnsi="Times New Roman" w:cs="Times New Roman"/>
                <w:color w:val="000000"/>
                <w:sz w:val="14"/>
              </w:rPr>
              <w:t>1.52** (1.16–1.98)</w:t>
            </w:r>
          </w:p>
        </w:tc>
      </w:tr>
      <w:tr w:rsidR="00C06AB3" w:rsidRPr="00C06AB3" w14:paraId="72CF465D" w14:textId="77777777" w:rsidTr="004762C3">
        <w:trPr>
          <w:jc w:val="center"/>
        </w:trPr>
        <w:tc>
          <w:tcPr>
            <w:tcW w:w="3528" w:type="dxa"/>
            <w:shd w:val="clear" w:color="auto" w:fill="FFFFFF"/>
          </w:tcPr>
          <w:p w14:paraId="4712EBBD" w14:textId="77777777" w:rsidR="00C06AB3" w:rsidRPr="00C06AB3" w:rsidRDefault="00C06AB3" w:rsidP="004762C3">
            <w:pPr>
              <w:spacing w:before="24" w:after="24"/>
              <w:ind w:left="180"/>
              <w:rPr>
                <w:rFonts w:ascii="Times New Roman" w:hAnsi="Times New Roman" w:cs="Times New Roman"/>
              </w:rPr>
            </w:pPr>
            <w:r w:rsidRPr="00C06AB3">
              <w:rPr>
                <w:rFonts w:ascii="Times New Roman" w:hAnsi="Times New Roman" w:cs="Times New Roman"/>
                <w:color w:val="000000"/>
                <w:sz w:val="14"/>
              </w:rPr>
              <w:t>Retired or other</w:t>
            </w:r>
          </w:p>
        </w:tc>
        <w:tc>
          <w:tcPr>
            <w:tcW w:w="2664" w:type="dxa"/>
            <w:shd w:val="clear" w:color="auto" w:fill="FFFFFF"/>
          </w:tcPr>
          <w:p w14:paraId="3BEA9936" w14:textId="77777777" w:rsidR="00C06AB3" w:rsidRPr="00C06AB3" w:rsidRDefault="00C06AB3" w:rsidP="004762C3">
            <w:pPr>
              <w:spacing w:before="24" w:after="24"/>
              <w:jc w:val="right"/>
              <w:rPr>
                <w:rFonts w:ascii="Times New Roman" w:hAnsi="Times New Roman" w:cs="Times New Roman"/>
              </w:rPr>
            </w:pPr>
            <w:r w:rsidRPr="00C06AB3">
              <w:rPr>
                <w:rFonts w:ascii="Times New Roman" w:hAnsi="Times New Roman" w:cs="Times New Roman"/>
                <w:color w:val="000000"/>
                <w:sz w:val="14"/>
              </w:rPr>
              <w:t>1.36*** (1.22–1.51)</w:t>
            </w:r>
          </w:p>
        </w:tc>
        <w:tc>
          <w:tcPr>
            <w:tcW w:w="2664" w:type="dxa"/>
            <w:shd w:val="clear" w:color="auto" w:fill="FFFFFF"/>
          </w:tcPr>
          <w:p w14:paraId="32048782" w14:textId="77777777" w:rsidR="00C06AB3" w:rsidRPr="00C06AB3" w:rsidRDefault="00C06AB3" w:rsidP="004762C3">
            <w:pPr>
              <w:spacing w:before="24" w:after="24"/>
              <w:jc w:val="right"/>
              <w:rPr>
                <w:rFonts w:ascii="Times New Roman" w:hAnsi="Times New Roman" w:cs="Times New Roman"/>
              </w:rPr>
            </w:pPr>
            <w:r w:rsidRPr="00C06AB3">
              <w:rPr>
                <w:rFonts w:ascii="Times New Roman" w:hAnsi="Times New Roman" w:cs="Times New Roman"/>
                <w:color w:val="000000"/>
                <w:sz w:val="14"/>
              </w:rPr>
              <w:t>1.26*** (1.12–1.42)</w:t>
            </w:r>
          </w:p>
        </w:tc>
      </w:tr>
      <w:tr w:rsidR="00C06AB3" w:rsidRPr="00C06AB3" w14:paraId="7AAE6DE6" w14:textId="77777777" w:rsidTr="004762C3">
        <w:trPr>
          <w:jc w:val="center"/>
        </w:trPr>
        <w:tc>
          <w:tcPr>
            <w:tcW w:w="3528" w:type="dxa"/>
            <w:shd w:val="clear" w:color="auto" w:fill="FFFFFF"/>
          </w:tcPr>
          <w:p w14:paraId="14CB4A36" w14:textId="77777777" w:rsidR="00C06AB3" w:rsidRPr="00C06AB3" w:rsidRDefault="00C06AB3" w:rsidP="004762C3">
            <w:pPr>
              <w:spacing w:before="24" w:after="24"/>
              <w:rPr>
                <w:rFonts w:ascii="Times New Roman" w:hAnsi="Times New Roman" w:cs="Times New Roman"/>
              </w:rPr>
            </w:pPr>
            <w:r w:rsidRPr="00C06AB3">
              <w:rPr>
                <w:rFonts w:ascii="Times New Roman" w:hAnsi="Times New Roman" w:cs="Times New Roman"/>
                <w:b/>
                <w:color w:val="000000"/>
                <w:sz w:val="14"/>
              </w:rPr>
              <w:t>Housing tenure (reference: Own home)</w:t>
            </w:r>
          </w:p>
        </w:tc>
        <w:tc>
          <w:tcPr>
            <w:tcW w:w="2664" w:type="dxa"/>
            <w:shd w:val="clear" w:color="auto" w:fill="FFFFFF"/>
          </w:tcPr>
          <w:p w14:paraId="55EAA6CC" w14:textId="77777777" w:rsidR="00C06AB3" w:rsidRPr="00C06AB3" w:rsidRDefault="00C06AB3" w:rsidP="004762C3">
            <w:pPr>
              <w:spacing w:before="24" w:after="24"/>
              <w:jc w:val="right"/>
              <w:rPr>
                <w:rFonts w:ascii="Times New Roman" w:hAnsi="Times New Roman" w:cs="Times New Roman"/>
              </w:rPr>
            </w:pPr>
          </w:p>
        </w:tc>
        <w:tc>
          <w:tcPr>
            <w:tcW w:w="2664" w:type="dxa"/>
            <w:shd w:val="clear" w:color="auto" w:fill="FFFFFF"/>
          </w:tcPr>
          <w:p w14:paraId="260DCE42" w14:textId="77777777" w:rsidR="00C06AB3" w:rsidRPr="00C06AB3" w:rsidRDefault="00C06AB3" w:rsidP="004762C3">
            <w:pPr>
              <w:spacing w:before="24" w:after="24"/>
              <w:jc w:val="right"/>
              <w:rPr>
                <w:rFonts w:ascii="Times New Roman" w:hAnsi="Times New Roman" w:cs="Times New Roman"/>
              </w:rPr>
            </w:pPr>
          </w:p>
        </w:tc>
      </w:tr>
      <w:tr w:rsidR="00C06AB3" w:rsidRPr="00C06AB3" w14:paraId="670A629D" w14:textId="77777777" w:rsidTr="004762C3">
        <w:trPr>
          <w:jc w:val="center"/>
        </w:trPr>
        <w:tc>
          <w:tcPr>
            <w:tcW w:w="3528" w:type="dxa"/>
            <w:shd w:val="clear" w:color="auto" w:fill="FFFFFF"/>
          </w:tcPr>
          <w:p w14:paraId="10BB0C0A" w14:textId="77777777" w:rsidR="00C06AB3" w:rsidRPr="00C06AB3" w:rsidRDefault="00C06AB3" w:rsidP="004762C3">
            <w:pPr>
              <w:spacing w:before="24" w:after="24"/>
              <w:ind w:left="180"/>
              <w:rPr>
                <w:rFonts w:ascii="Times New Roman" w:hAnsi="Times New Roman" w:cs="Times New Roman"/>
              </w:rPr>
            </w:pPr>
            <w:r w:rsidRPr="00C06AB3">
              <w:rPr>
                <w:rFonts w:ascii="Times New Roman" w:hAnsi="Times New Roman" w:cs="Times New Roman"/>
                <w:color w:val="000000"/>
                <w:sz w:val="14"/>
              </w:rPr>
              <w:t>Rent</w:t>
            </w:r>
          </w:p>
        </w:tc>
        <w:tc>
          <w:tcPr>
            <w:tcW w:w="2664" w:type="dxa"/>
            <w:shd w:val="clear" w:color="auto" w:fill="FFFFFF"/>
          </w:tcPr>
          <w:p w14:paraId="72C99C4B" w14:textId="77777777" w:rsidR="00C06AB3" w:rsidRPr="00C06AB3" w:rsidRDefault="00C06AB3" w:rsidP="004762C3">
            <w:pPr>
              <w:spacing w:before="24" w:after="24"/>
              <w:jc w:val="right"/>
              <w:rPr>
                <w:rFonts w:ascii="Times New Roman" w:hAnsi="Times New Roman" w:cs="Times New Roman"/>
              </w:rPr>
            </w:pPr>
            <w:r w:rsidRPr="00C06AB3">
              <w:rPr>
                <w:rFonts w:ascii="Times New Roman" w:hAnsi="Times New Roman" w:cs="Times New Roman"/>
                <w:color w:val="000000"/>
                <w:sz w:val="14"/>
              </w:rPr>
              <w:t>1.28*** (1.17–1.39)</w:t>
            </w:r>
          </w:p>
        </w:tc>
        <w:tc>
          <w:tcPr>
            <w:tcW w:w="2664" w:type="dxa"/>
            <w:shd w:val="clear" w:color="auto" w:fill="FFFFFF"/>
          </w:tcPr>
          <w:p w14:paraId="3B7DE015" w14:textId="77777777" w:rsidR="00C06AB3" w:rsidRPr="00C06AB3" w:rsidRDefault="00C06AB3" w:rsidP="004762C3">
            <w:pPr>
              <w:spacing w:before="24" w:after="24"/>
              <w:jc w:val="right"/>
              <w:rPr>
                <w:rFonts w:ascii="Times New Roman" w:hAnsi="Times New Roman" w:cs="Times New Roman"/>
              </w:rPr>
            </w:pPr>
            <w:r w:rsidRPr="00C06AB3">
              <w:rPr>
                <w:rFonts w:ascii="Times New Roman" w:hAnsi="Times New Roman" w:cs="Times New Roman"/>
                <w:color w:val="000000"/>
                <w:sz w:val="14"/>
              </w:rPr>
              <w:t>1.13* (1.03–1.25)</w:t>
            </w:r>
          </w:p>
        </w:tc>
      </w:tr>
      <w:tr w:rsidR="00C06AB3" w:rsidRPr="00C06AB3" w14:paraId="6D98DD29" w14:textId="77777777" w:rsidTr="004762C3">
        <w:trPr>
          <w:jc w:val="center"/>
        </w:trPr>
        <w:tc>
          <w:tcPr>
            <w:tcW w:w="3528" w:type="dxa"/>
            <w:shd w:val="clear" w:color="auto" w:fill="FFFFFF"/>
          </w:tcPr>
          <w:p w14:paraId="14760AD6" w14:textId="77777777" w:rsidR="00C06AB3" w:rsidRPr="00C06AB3" w:rsidRDefault="00C06AB3" w:rsidP="004762C3">
            <w:pPr>
              <w:spacing w:before="24" w:after="24"/>
              <w:ind w:left="180"/>
              <w:rPr>
                <w:rFonts w:ascii="Times New Roman" w:hAnsi="Times New Roman" w:cs="Times New Roman"/>
              </w:rPr>
            </w:pPr>
            <w:r w:rsidRPr="00C06AB3">
              <w:rPr>
                <w:rFonts w:ascii="Times New Roman" w:hAnsi="Times New Roman" w:cs="Times New Roman"/>
                <w:color w:val="000000"/>
                <w:sz w:val="14"/>
              </w:rPr>
              <w:t>Other</w:t>
            </w:r>
          </w:p>
        </w:tc>
        <w:tc>
          <w:tcPr>
            <w:tcW w:w="2664" w:type="dxa"/>
            <w:shd w:val="clear" w:color="auto" w:fill="FFFFFF"/>
          </w:tcPr>
          <w:p w14:paraId="0F8A7981" w14:textId="77777777" w:rsidR="00C06AB3" w:rsidRPr="00C06AB3" w:rsidRDefault="00C06AB3" w:rsidP="004762C3">
            <w:pPr>
              <w:spacing w:before="24" w:after="24"/>
              <w:jc w:val="right"/>
              <w:rPr>
                <w:rFonts w:ascii="Times New Roman" w:hAnsi="Times New Roman" w:cs="Times New Roman"/>
              </w:rPr>
            </w:pPr>
            <w:r w:rsidRPr="00C06AB3">
              <w:rPr>
                <w:rFonts w:ascii="Times New Roman" w:hAnsi="Times New Roman" w:cs="Times New Roman"/>
                <w:color w:val="000000"/>
                <w:sz w:val="14"/>
              </w:rPr>
              <w:t>0.99 (0.86–1.13)</w:t>
            </w:r>
          </w:p>
        </w:tc>
        <w:tc>
          <w:tcPr>
            <w:tcW w:w="2664" w:type="dxa"/>
            <w:shd w:val="clear" w:color="auto" w:fill="FFFFFF"/>
          </w:tcPr>
          <w:p w14:paraId="4E640176" w14:textId="77777777" w:rsidR="00C06AB3" w:rsidRPr="00C06AB3" w:rsidRDefault="00C06AB3" w:rsidP="004762C3">
            <w:pPr>
              <w:spacing w:before="24" w:after="24"/>
              <w:jc w:val="right"/>
              <w:rPr>
                <w:rFonts w:ascii="Times New Roman" w:hAnsi="Times New Roman" w:cs="Times New Roman"/>
              </w:rPr>
            </w:pPr>
            <w:r w:rsidRPr="00C06AB3">
              <w:rPr>
                <w:rFonts w:ascii="Times New Roman" w:hAnsi="Times New Roman" w:cs="Times New Roman"/>
                <w:color w:val="000000"/>
                <w:sz w:val="14"/>
              </w:rPr>
              <w:t>0.86* (0.74–1.00)</w:t>
            </w:r>
          </w:p>
        </w:tc>
      </w:tr>
      <w:tr w:rsidR="00C06AB3" w:rsidRPr="00C06AB3" w14:paraId="3413C267" w14:textId="77777777" w:rsidTr="004762C3">
        <w:trPr>
          <w:jc w:val="center"/>
        </w:trPr>
        <w:tc>
          <w:tcPr>
            <w:tcW w:w="3528" w:type="dxa"/>
            <w:shd w:val="clear" w:color="auto" w:fill="FFFFFF"/>
          </w:tcPr>
          <w:p w14:paraId="1C69712C" w14:textId="77777777" w:rsidR="00C06AB3" w:rsidRPr="00C06AB3" w:rsidRDefault="00C06AB3" w:rsidP="004762C3">
            <w:pPr>
              <w:spacing w:before="24" w:after="24"/>
              <w:rPr>
                <w:rFonts w:ascii="Times New Roman" w:hAnsi="Times New Roman" w:cs="Times New Roman"/>
              </w:rPr>
            </w:pPr>
            <w:r w:rsidRPr="00C06AB3">
              <w:rPr>
                <w:rFonts w:ascii="Times New Roman" w:hAnsi="Times New Roman" w:cs="Times New Roman"/>
                <w:b/>
                <w:color w:val="000000"/>
                <w:sz w:val="14"/>
              </w:rPr>
              <w:t>Housing stability (reference: Stable)</w:t>
            </w:r>
          </w:p>
        </w:tc>
        <w:tc>
          <w:tcPr>
            <w:tcW w:w="2664" w:type="dxa"/>
            <w:shd w:val="clear" w:color="auto" w:fill="FFFFFF"/>
          </w:tcPr>
          <w:p w14:paraId="14276174" w14:textId="77777777" w:rsidR="00C06AB3" w:rsidRPr="00C06AB3" w:rsidRDefault="00C06AB3" w:rsidP="004762C3">
            <w:pPr>
              <w:spacing w:before="24" w:after="24"/>
              <w:jc w:val="right"/>
              <w:rPr>
                <w:rFonts w:ascii="Times New Roman" w:hAnsi="Times New Roman" w:cs="Times New Roman"/>
              </w:rPr>
            </w:pPr>
          </w:p>
        </w:tc>
        <w:tc>
          <w:tcPr>
            <w:tcW w:w="2664" w:type="dxa"/>
            <w:shd w:val="clear" w:color="auto" w:fill="FFFFFF"/>
          </w:tcPr>
          <w:p w14:paraId="45D26905" w14:textId="77777777" w:rsidR="00C06AB3" w:rsidRPr="00C06AB3" w:rsidRDefault="00C06AB3" w:rsidP="004762C3">
            <w:pPr>
              <w:spacing w:before="24" w:after="24"/>
              <w:jc w:val="right"/>
              <w:rPr>
                <w:rFonts w:ascii="Times New Roman" w:hAnsi="Times New Roman" w:cs="Times New Roman"/>
              </w:rPr>
            </w:pPr>
          </w:p>
        </w:tc>
      </w:tr>
      <w:tr w:rsidR="00C06AB3" w:rsidRPr="00C06AB3" w14:paraId="4A957E2D" w14:textId="77777777" w:rsidTr="004762C3">
        <w:trPr>
          <w:jc w:val="center"/>
        </w:trPr>
        <w:tc>
          <w:tcPr>
            <w:tcW w:w="3528" w:type="dxa"/>
            <w:shd w:val="clear" w:color="auto" w:fill="FFFFFF"/>
          </w:tcPr>
          <w:p w14:paraId="7515BE3C" w14:textId="77777777" w:rsidR="00C06AB3" w:rsidRPr="00C06AB3" w:rsidRDefault="00C06AB3" w:rsidP="004762C3">
            <w:pPr>
              <w:spacing w:before="24" w:after="24"/>
              <w:ind w:left="180"/>
              <w:rPr>
                <w:rFonts w:ascii="Times New Roman" w:hAnsi="Times New Roman" w:cs="Times New Roman"/>
              </w:rPr>
            </w:pPr>
            <w:r w:rsidRPr="00C06AB3">
              <w:rPr>
                <w:rFonts w:ascii="Times New Roman" w:hAnsi="Times New Roman" w:cs="Times New Roman"/>
                <w:color w:val="000000"/>
                <w:sz w:val="14"/>
              </w:rPr>
              <w:t>Unstable</w:t>
            </w:r>
          </w:p>
        </w:tc>
        <w:tc>
          <w:tcPr>
            <w:tcW w:w="2664" w:type="dxa"/>
            <w:shd w:val="clear" w:color="auto" w:fill="FFFFFF"/>
          </w:tcPr>
          <w:p w14:paraId="5E2FF550" w14:textId="77777777" w:rsidR="00C06AB3" w:rsidRPr="00C06AB3" w:rsidRDefault="00C06AB3" w:rsidP="004762C3">
            <w:pPr>
              <w:spacing w:before="24" w:after="24"/>
              <w:jc w:val="right"/>
              <w:rPr>
                <w:rFonts w:ascii="Times New Roman" w:hAnsi="Times New Roman" w:cs="Times New Roman"/>
              </w:rPr>
            </w:pPr>
            <w:r w:rsidRPr="00C06AB3">
              <w:rPr>
                <w:rFonts w:ascii="Times New Roman" w:hAnsi="Times New Roman" w:cs="Times New Roman"/>
                <w:color w:val="000000"/>
                <w:sz w:val="14"/>
              </w:rPr>
              <w:t>1.01 (0.92–1.11)</w:t>
            </w:r>
          </w:p>
        </w:tc>
        <w:tc>
          <w:tcPr>
            <w:tcW w:w="2664" w:type="dxa"/>
            <w:shd w:val="clear" w:color="auto" w:fill="FFFFFF"/>
          </w:tcPr>
          <w:p w14:paraId="70E2DF18" w14:textId="77777777" w:rsidR="00C06AB3" w:rsidRPr="00C06AB3" w:rsidRDefault="00C06AB3" w:rsidP="004762C3">
            <w:pPr>
              <w:spacing w:before="24" w:after="24"/>
              <w:jc w:val="right"/>
              <w:rPr>
                <w:rFonts w:ascii="Times New Roman" w:hAnsi="Times New Roman" w:cs="Times New Roman"/>
              </w:rPr>
            </w:pPr>
            <w:r w:rsidRPr="00C06AB3">
              <w:rPr>
                <w:rFonts w:ascii="Times New Roman" w:hAnsi="Times New Roman" w:cs="Times New Roman"/>
                <w:color w:val="000000"/>
                <w:sz w:val="14"/>
              </w:rPr>
              <w:t>0.94 (0.85–1.04)</w:t>
            </w:r>
          </w:p>
        </w:tc>
      </w:tr>
      <w:tr w:rsidR="00C06AB3" w:rsidRPr="00C06AB3" w14:paraId="024690E2" w14:textId="77777777" w:rsidTr="004762C3">
        <w:trPr>
          <w:jc w:val="center"/>
        </w:trPr>
        <w:tc>
          <w:tcPr>
            <w:tcW w:w="3528" w:type="dxa"/>
            <w:shd w:val="clear" w:color="auto" w:fill="FFFFFF"/>
          </w:tcPr>
          <w:p w14:paraId="641651BF" w14:textId="77777777" w:rsidR="00C06AB3" w:rsidRPr="00C06AB3" w:rsidRDefault="00C06AB3" w:rsidP="004762C3">
            <w:pPr>
              <w:spacing w:before="24" w:after="24"/>
              <w:rPr>
                <w:rFonts w:ascii="Times New Roman" w:hAnsi="Times New Roman" w:cs="Times New Roman"/>
              </w:rPr>
            </w:pPr>
            <w:r w:rsidRPr="00C06AB3">
              <w:rPr>
                <w:rFonts w:ascii="Times New Roman" w:hAnsi="Times New Roman" w:cs="Times New Roman"/>
                <w:b/>
                <w:color w:val="000000"/>
                <w:sz w:val="14"/>
              </w:rPr>
              <w:t>Disability (reference: No)</w:t>
            </w:r>
          </w:p>
        </w:tc>
        <w:tc>
          <w:tcPr>
            <w:tcW w:w="2664" w:type="dxa"/>
            <w:shd w:val="clear" w:color="auto" w:fill="FFFFFF"/>
          </w:tcPr>
          <w:p w14:paraId="474AFE94" w14:textId="77777777" w:rsidR="00C06AB3" w:rsidRPr="00C06AB3" w:rsidRDefault="00C06AB3" w:rsidP="004762C3">
            <w:pPr>
              <w:spacing w:before="24" w:after="24"/>
              <w:jc w:val="right"/>
              <w:rPr>
                <w:rFonts w:ascii="Times New Roman" w:hAnsi="Times New Roman" w:cs="Times New Roman"/>
              </w:rPr>
            </w:pPr>
          </w:p>
        </w:tc>
        <w:tc>
          <w:tcPr>
            <w:tcW w:w="2664" w:type="dxa"/>
            <w:shd w:val="clear" w:color="auto" w:fill="FFFFFF"/>
          </w:tcPr>
          <w:p w14:paraId="231546B7" w14:textId="77777777" w:rsidR="00C06AB3" w:rsidRPr="00C06AB3" w:rsidRDefault="00C06AB3" w:rsidP="004762C3">
            <w:pPr>
              <w:spacing w:before="24" w:after="24"/>
              <w:jc w:val="right"/>
              <w:rPr>
                <w:rFonts w:ascii="Times New Roman" w:hAnsi="Times New Roman" w:cs="Times New Roman"/>
              </w:rPr>
            </w:pPr>
          </w:p>
        </w:tc>
      </w:tr>
      <w:tr w:rsidR="00C06AB3" w:rsidRPr="00C06AB3" w14:paraId="161F0E68" w14:textId="77777777" w:rsidTr="004762C3">
        <w:trPr>
          <w:jc w:val="center"/>
        </w:trPr>
        <w:tc>
          <w:tcPr>
            <w:tcW w:w="3528" w:type="dxa"/>
            <w:tcBorders>
              <w:bottom w:val="single" w:sz="8" w:space="0" w:color="333333"/>
            </w:tcBorders>
            <w:shd w:val="clear" w:color="auto" w:fill="FFFFFF"/>
          </w:tcPr>
          <w:p w14:paraId="6830DCA1" w14:textId="77777777" w:rsidR="00C06AB3" w:rsidRPr="00C06AB3" w:rsidRDefault="00C06AB3" w:rsidP="004762C3">
            <w:pPr>
              <w:spacing w:before="24" w:after="24"/>
              <w:ind w:left="180"/>
              <w:rPr>
                <w:rFonts w:ascii="Times New Roman" w:hAnsi="Times New Roman" w:cs="Times New Roman"/>
              </w:rPr>
            </w:pPr>
            <w:r w:rsidRPr="00C06AB3">
              <w:rPr>
                <w:rFonts w:ascii="Times New Roman" w:hAnsi="Times New Roman" w:cs="Times New Roman"/>
                <w:color w:val="000000"/>
                <w:sz w:val="14"/>
              </w:rPr>
              <w:t>Any disability</w:t>
            </w:r>
          </w:p>
        </w:tc>
        <w:tc>
          <w:tcPr>
            <w:tcW w:w="2664" w:type="dxa"/>
            <w:tcBorders>
              <w:bottom w:val="single" w:sz="8" w:space="0" w:color="333333"/>
            </w:tcBorders>
            <w:shd w:val="clear" w:color="auto" w:fill="FFFFFF"/>
          </w:tcPr>
          <w:p w14:paraId="358D04FA" w14:textId="77777777" w:rsidR="00C06AB3" w:rsidRPr="00C06AB3" w:rsidRDefault="00C06AB3" w:rsidP="004762C3">
            <w:pPr>
              <w:spacing w:before="24" w:after="24"/>
              <w:jc w:val="right"/>
              <w:rPr>
                <w:rFonts w:ascii="Times New Roman" w:hAnsi="Times New Roman" w:cs="Times New Roman"/>
              </w:rPr>
            </w:pPr>
            <w:r w:rsidRPr="00C06AB3">
              <w:rPr>
                <w:rFonts w:ascii="Times New Roman" w:hAnsi="Times New Roman" w:cs="Times New Roman"/>
                <w:color w:val="000000"/>
                <w:sz w:val="14"/>
              </w:rPr>
              <w:t>0.94 (0.83–1.07)</w:t>
            </w:r>
          </w:p>
        </w:tc>
        <w:tc>
          <w:tcPr>
            <w:tcW w:w="2664" w:type="dxa"/>
            <w:tcBorders>
              <w:bottom w:val="single" w:sz="8" w:space="0" w:color="333333"/>
            </w:tcBorders>
            <w:shd w:val="clear" w:color="auto" w:fill="FFFFFF"/>
          </w:tcPr>
          <w:p w14:paraId="7E04B84B" w14:textId="77777777" w:rsidR="00C06AB3" w:rsidRPr="00C06AB3" w:rsidRDefault="00C06AB3" w:rsidP="004762C3">
            <w:pPr>
              <w:spacing w:before="24" w:after="24"/>
              <w:jc w:val="right"/>
              <w:rPr>
                <w:rFonts w:ascii="Times New Roman" w:hAnsi="Times New Roman" w:cs="Times New Roman"/>
              </w:rPr>
            </w:pPr>
            <w:r w:rsidRPr="00C06AB3">
              <w:rPr>
                <w:rFonts w:ascii="Times New Roman" w:hAnsi="Times New Roman" w:cs="Times New Roman"/>
                <w:color w:val="000000"/>
                <w:sz w:val="14"/>
              </w:rPr>
              <w:t>0.86* (0.76–0.98)</w:t>
            </w:r>
          </w:p>
        </w:tc>
      </w:tr>
    </w:tbl>
    <w:p w14:paraId="40787AAE" w14:textId="77777777" w:rsidR="00C06AB3" w:rsidRPr="00C06AB3" w:rsidRDefault="00C06AB3" w:rsidP="00C06AB3">
      <w:pPr>
        <w:rPr>
          <w:rFonts w:ascii="Times New Roman" w:hAnsi="Times New Roman" w:cs="Times New Roman"/>
        </w:rPr>
      </w:pPr>
      <w:r w:rsidRPr="00C06AB3">
        <w:rPr>
          <w:rFonts w:ascii="Times New Roman" w:hAnsi="Times New Roman" w:cs="Times New Roman"/>
          <w:sz w:val="13"/>
        </w:rPr>
        <w:t xml:space="preserve">*P &lt; 0.05; **P &lt; 0.01; ***P &lt; 0.001. Abbreviations: AOR, adjusted odds ratio; CI, confidence interval; GED, General Educational Development; </w:t>
      </w:r>
      <w:proofErr w:type="spellStart"/>
      <w:r w:rsidRPr="00C06AB3">
        <w:rPr>
          <w:rFonts w:ascii="Times New Roman" w:hAnsi="Times New Roman" w:cs="Times New Roman"/>
          <w:sz w:val="13"/>
        </w:rPr>
        <w:t>SDoH</w:t>
      </w:r>
      <w:proofErr w:type="spellEnd"/>
      <w:r w:rsidRPr="00C06AB3">
        <w:rPr>
          <w:rFonts w:ascii="Times New Roman" w:hAnsi="Times New Roman" w:cs="Times New Roman"/>
          <w:sz w:val="13"/>
        </w:rPr>
        <w:t>, social determinants of health.</w:t>
      </w:r>
    </w:p>
    <w:p w14:paraId="730D4F1D" w14:textId="77777777" w:rsidR="00841284" w:rsidRPr="00C06AB3" w:rsidRDefault="00D413D7" w:rsidP="00E3018C">
      <w:pPr>
        <w:pStyle w:val="Heading2"/>
        <w:spacing w:line="360" w:lineRule="auto"/>
        <w:rPr>
          <w:rFonts w:ascii="Times New Roman" w:hAnsi="Times New Roman" w:cs="Times New Roman"/>
        </w:rPr>
      </w:pPr>
      <w:r w:rsidRPr="00C06AB3">
        <w:rPr>
          <w:rFonts w:ascii="Times New Roman" w:hAnsi="Times New Roman" w:cs="Times New Roman"/>
        </w:rPr>
        <w:t xml:space="preserve">Mutually adjusted </w:t>
      </w:r>
      <w:proofErr w:type="spellStart"/>
      <w:r w:rsidRPr="00C06AB3">
        <w:rPr>
          <w:rFonts w:ascii="Times New Roman" w:hAnsi="Times New Roman" w:cs="Times New Roman"/>
        </w:rPr>
        <w:t>SDoH</w:t>
      </w:r>
      <w:proofErr w:type="spellEnd"/>
      <w:r w:rsidRPr="00C06AB3">
        <w:rPr>
          <w:rFonts w:ascii="Times New Roman" w:hAnsi="Times New Roman" w:cs="Times New Roman"/>
        </w:rPr>
        <w:t xml:space="preserve"> associations and Black-race coefficient attenuation</w:t>
      </w:r>
    </w:p>
    <w:p w14:paraId="730D4F1F" w14:textId="23291EB6" w:rsidR="00841284" w:rsidRPr="000F6719" w:rsidRDefault="00D413D7" w:rsidP="00E3018C">
      <w:pPr>
        <w:spacing w:after="120" w:line="360" w:lineRule="auto"/>
        <w:rPr>
          <w:rFonts w:ascii="Times New Roman" w:hAnsi="Times New Roman" w:cs="Times New Roman"/>
        </w:rPr>
      </w:pPr>
      <w:r w:rsidRPr="000F6719">
        <w:rPr>
          <w:rFonts w:ascii="Times New Roman" w:eastAsia="Arial" w:hAnsi="Times New Roman" w:cs="Times New Roman"/>
        </w:rPr>
        <w:t>Under mutual adjustment (Table 3), Medicaid (1.33, 1.16-1.51), unemployment (1.23, 1.09-1.38), non-employment (1.26, 1.12-1.42), student status (1.52, 1.16-1.98), renting (1.13, 1.03-1.25), and the two lowest income strata (both 1.18) remained associated. Education below GED lost significance (1.13, 0.98-1.30), as did other or no insurance and income $25,000-34,999, indicating signal shared with income and employment rather than an independent pathway. The two upper-middle income strata instead strengthened and became significant ($100,000-149,999, 1.24, 1.06-1.46; $150,000-199,999, 1.26, 1.01-1.57), so the income pattern remains non-monotonic. Disability was inverse (0.86, 0.76-0.98) and housing tenure recorded as "other" moved from null to a borderline inverse estimate (0.86, 0.74-1.00); both should be read cautiously given 65.4% disability missingness.</w:t>
      </w:r>
      <w:r w:rsidR="000A5395" w:rsidRPr="000A5395">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00081219" w:rsidRPr="000F6719">
        <w:rPr>
          <w:rFonts w:ascii="Times New Roman" w:eastAsia="Arial" w:hAnsi="Times New Roman" w:cs="Times New Roman"/>
        </w:rPr>
      </w:r>
      <w:r w:rsidRPr="000F6719">
        <w:rPr>
          <w:rFonts w:ascii="Times New Roman" w:eastAsia="Arial" w:hAnsi="Times New Roman" w:cs="Times New Roman"/>
        </w:rPr>
      </w:r>
      <w:r w:rsidR="00337683" w:rsidRPr="000F6719">
        <w:rPr>
          <w:rFonts w:ascii="Times New Roman" w:eastAsia="Arial" w:hAnsi="Times New Roman" w:cs="Times New Roman"/>
        </w:rPr>
      </w:r>
      <w:r w:rsidRPr="000F6719">
        <w:rPr>
          <w:rFonts w:ascii="Times New Roman" w:eastAsia="Arial" w:hAnsi="Times New Roman" w:cs="Times New Roman"/>
        </w:rPr>
      </w:r>
    </w:p>
    <w:p w14:paraId="730D4F20" w14:textId="04859CA7" w:rsidR="00841284" w:rsidRPr="000F6719" w:rsidRDefault="00D413D7" w:rsidP="00E3018C">
      <w:pPr>
        <w:spacing w:after="120" w:line="360" w:lineRule="auto"/>
        <w:rPr>
          <w:rFonts w:ascii="Times New Roman" w:hAnsi="Times New Roman" w:cs="Times New Roman"/>
        </w:rPr>
      </w:pPr>
      <w:r w:rsidRPr="000F6719">
        <w:rPr>
          <w:rFonts w:ascii="Times New Roman" w:eastAsia="Arial" w:hAnsi="Times New Roman" w:cs="Times New Roman"/>
        </w:rPr>
        <w:t>Including all six domains reduced the Black-race AOR from 2.30 (2.10-2.52) to 2.00 (1.81-2.20; eTable 12a). The association narrowed but did not resolve: even after adjustment for insurance, income, education, employment, housing, and disability, Black participants had twice the odds of hospitalization compared with White participants. Individual-level socioeconomic factors, as measured by self-report, therefore capture only a fraction of the racial association, consistent with UK Biobank and integrated-care studies reporting similarly modest attenuation.[33, 34]</w:t>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roofErr w:type="gramStart"/>
      <w:r w:rsidRPr="000F6719">
        <w:rPr>
          <w:rFonts w:ascii="Times New Roman" w:eastAsia="Arial" w:hAnsi="Times New Roman" w:cs="Times New Roman"/>
        </w:rPr>
      </w:r>
      <w:proofErr w:type="gramEnd"/>
      <w:r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noProof/>
        </w:rPr>
      </w:r>
      <w:r w:rsidRPr="000F6719">
        <w:rPr>
          <w:rFonts w:ascii="Times New Roman" w:eastAsia="Arial" w:hAnsi="Times New Roman" w:cs="Times New Roman"/>
        </w:rPr>
      </w:r>
    </w:p>
    <w:p w14:paraId="730D4F21" w14:textId="77777777" w:rsidR="00841284" w:rsidRPr="000F6719" w:rsidRDefault="00D413D7" w:rsidP="00E3018C">
      <w:pPr>
        <w:spacing w:after="120" w:line="360" w:lineRule="auto"/>
        <w:rPr>
          <w:rFonts w:ascii="Times New Roman" w:hAnsi="Times New Roman" w:cs="Times New Roman"/>
        </w:rPr>
      </w:pPr>
      <w:r w:rsidRPr="000F6719">
        <w:rPr>
          <w:rFonts w:ascii="Times New Roman" w:eastAsia="Arial" w:hAnsi="Times New Roman" w:cs="Times New Roman"/>
        </w:rPr>
        <w:t>The combined profile of Medicaid coverage, household income of $10,000-24,999, and renting carried 1.78-fold higher odds than employer-insured homeowners in the reference income stratum, the product of the three mutually adjusted AORs. The equivalent product of the domain-specific AORs is 2.79, so mutual adjustment reduces the combined contrast by roughly a third. Both are within-stratum odds ratios.</w:t>
      </w:r>
    </w:p>
    <w:p w14:paraId="730D4F22" w14:textId="77777777" w:rsidR="00841284" w:rsidRPr="000F6719" w:rsidRDefault="00D413D7" w:rsidP="00E3018C">
      <w:pPr>
        <w:pStyle w:val="Heading2"/>
        <w:spacing w:line="360" w:lineRule="auto"/>
        <w:rPr>
          <w:rFonts w:ascii="Times New Roman" w:hAnsi="Times New Roman" w:cs="Times New Roman"/>
        </w:rPr>
      </w:pPr>
      <w:r w:rsidRPr="000F6719">
        <w:rPr>
          <w:rFonts w:ascii="Times New Roman" w:hAnsi="Times New Roman" w:cs="Times New Roman"/>
        </w:rPr>
        <w:t>Wave-stratified associations</w:t>
      </w:r>
    </w:p>
    <w:p w14:paraId="730D4F23" w14:textId="6E52893E" w:rsidR="00841284" w:rsidRPr="000F6719" w:rsidRDefault="00D413D7" w:rsidP="00E3018C">
      <w:pPr>
        <w:spacing w:after="120" w:line="360" w:lineRule="auto"/>
        <w:rPr>
          <w:rFonts w:ascii="Times New Roman" w:hAnsi="Times New Roman" w:cs="Times New Roman"/>
        </w:rPr>
      </w:pPr>
      <w:r w:rsidRPr="000F6719">
        <w:rPr>
          <w:rFonts w:ascii="Times New Roman" w:eastAsia="Arial" w:hAnsi="Times New Roman" w:cs="Times New Roman"/>
        </w:rPr>
        <w:t>The lower-income association persisted across waves (Figure 5a; eTable 13). Income below $10,000 carried AOR 1.49 (1.21-1.82) pre-Delta, 2.11 (1.10-4.03) during Delta, and 1.64 (1.23-2.18) during Omicron, when vaccines were available. Confidence intervals overlap across waves, so the wave estimates are not distinguishable from one another, and the design cannot test treatment-access mechanisms directly. Period-based work has reported income-related disparities persisting across variant transitions.[29]</w:t>
      </w:r>
      <w:r w:rsidR="00A831FB" w:rsidRPr="000F6719">
        <w:rPr>
          <w:rFonts w:ascii="Times New Roman" w:eastAsia="Arial" w:hAnsi="Times New Roman" w:cs="Times New Roman"/>
        </w:rPr>
      </w:r>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r w:rsidR="005239FC" w:rsidRPr="000F6719">
        <w:rPr>
          <w:rFonts w:ascii="Times New Roman" w:eastAsia="Arial" w:hAnsi="Times New Roman" w:cs="Times New Roman"/>
        </w:rPr>
      </w:r>
      <w:r w:rsidRPr="000F6719">
        <w:rPr>
          <w:rFonts w:ascii="Times New Roman" w:eastAsia="Arial" w:hAnsi="Times New Roman" w:cs="Times New Roman"/>
        </w:rPr>
      </w:r>
      <w:r w:rsidR="00D457FF"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noProof/>
        </w:rPr>
      </w:r>
      <w:r w:rsidRPr="000F6719">
        <w:rPr>
          <w:rFonts w:ascii="Times New Roman" w:eastAsia="Arial" w:hAnsi="Times New Roman" w:cs="Times New Roman"/>
        </w:rPr>
      </w:r>
    </w:p>
    <w:p w14:paraId="2BD4B248" w14:textId="4A0A2073" w:rsidR="00E42FB3" w:rsidRPr="000F6719" w:rsidRDefault="000A5D01" w:rsidP="00E3018C">
      <w:pPr>
        <w:spacing w:after="120" w:line="360" w:lineRule="auto"/>
        <w:rPr>
          <w:rFonts w:ascii="Times New Roman" w:eastAsia="Arial" w:hAnsi="Times New Roman" w:cs="Times New Roman" w:hint="eastAsia"/>
          <w:b/>
          <w:bCs/>
        </w:rPr>
      </w:pPr>
      <w:r>
        <w:rPr>
          <w:rFonts w:ascii="Times New Roman" w:eastAsia="Arial" w:hAnsi="Times New Roman" w:cs="Times New Roman" w:hint="eastAsia"/>
          <w:b/>
          <w:bCs/>
          <w:noProof/>
        </w:rPr>
        <w:lastRenderedPageBreak/>
        <w:drawing>
          <wp:inline distT="0" distB="0" distL="0" distR="0" wp14:anchorId="018BAF2D" wp14:editId="016251B7">
            <wp:extent cx="5943600" cy="4754880"/>
            <wp:effectExtent l="0" t="0" r="0" b="0"/>
            <wp:docPr id="59152268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522689" name="Picture 59152268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4CDF6E07" w14:textId="77777777" w:rsidR="00555E61" w:rsidRPr="000F6719" w:rsidRDefault="00555E61" w:rsidP="00E3018C">
      <w:pPr>
        <w:spacing w:after="120" w:line="360" w:lineRule="auto"/>
        <w:rPr>
          <w:rFonts w:ascii="Times New Roman" w:hAnsi="Times New Roman" w:cs="Times New Roman"/>
        </w:rPr>
      </w:pPr>
    </w:p>
    <w:p w14:paraId="730D4F25" w14:textId="127B5BF2" w:rsidR="00841284" w:rsidRPr="000F6719" w:rsidRDefault="00131340" w:rsidP="00E3018C">
      <w:pPr>
        <w:spacing w:after="120" w:line="360" w:lineRule="auto"/>
        <w:rPr>
          <w:rFonts w:ascii="Times New Roman" w:hAnsi="Times New Roman" w:cs="Times New Roman"/>
        </w:rPr>
      </w:pPr>
      <w:r w:rsidRPr="000F6719">
        <w:rPr>
          <w:rFonts w:ascii="Times New Roman" w:eastAsia="Arial" w:hAnsi="Times New Roman" w:cs="Times New Roman"/>
        </w:rPr>
        <w:t>The Black-race association was large pre-Delta (AOR 3.00, 2.56-3.51), essentially unchanged during Delta (2.98, 1.79-4.96), and narrowed to 1.65 (1.34-2.03) during Omicron (Figure 5b), consistent with the convergence of racial hospitalization rates in national surveillance.[4, 5] It remained statistically significant in all three waves. Coefficient attenuation by socioeconomic factors was 11.5% pre-Delta (3.00 to 2.64), 29.1% during Delta (2.98 to 2.17), and 30.1% during Omicron (1.65 to 1.42; eTable 12b). Most of the change occurred between pre-Delta and Delta rather than progressively, and the wide Delta interval leaves the three values statistically indistinguishable; no formal test compared them. Medicaid was significant in all three waves in domain-specific models, but its joint estimate was not significant in either Delta (1.64, 0.78-3.45) or Omicron (1.13, 0.84-1.53), consistent with overlap between the Medicaid, income, and housing signals (eTable 12c). Within-wave models retain only strata whose control index dates also fall in that wave, so the three models rest on 1,913, 301, and 1,105 strata rather than 2,087, 644, and 1,333 cases; Delta estimates should be read with that in mind.</w:t>
      </w:r>
      <w:r w:rsidR="00555E61"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00AC2EEF" w:rsidRPr="000F6719">
        <w:rPr>
          <w:rFonts w:ascii="Times New Roman" w:eastAsia="Arial" w:hAnsi="Times New Roman" w:cs="Times New Roman"/>
          <w:noProof/>
        </w:rPr>
      </w:r>
      <w:r w:rsidRPr="000F6719">
        <w:rPr>
          <w:rFonts w:ascii="Times New Roman" w:eastAsia="Arial" w:hAnsi="Times New Roman" w:cs="Times New Roman"/>
        </w:rPr>
      </w:r>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r w:rsidR="00D12EE0" w:rsidRPr="000F6719">
        <w:rPr>
          <w:rFonts w:ascii="Times New Roman" w:eastAsia="Arial" w:hAnsi="Times New Roman" w:cs="Times New Roman"/>
        </w:rPr>
      </w:r>
      <w:r w:rsidRPr="000F6719">
        <w:rPr>
          <w:rFonts w:ascii="Times New Roman" w:eastAsia="Arial" w:hAnsi="Times New Roman" w:cs="Times New Roman"/>
        </w:rPr>
      </w:r>
      <w:r w:rsidR="00555E61" w:rsidRPr="000F6719">
        <w:rPr>
          <w:rFonts w:ascii="Times New Roman" w:eastAsia="Arial" w:hAnsi="Times New Roman" w:cs="Times New Roman"/>
        </w:rPr>
      </w:r>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
    <w:p w14:paraId="730D4F26" w14:textId="77777777" w:rsidR="00841284" w:rsidRPr="000F6719" w:rsidRDefault="00D413D7" w:rsidP="00E3018C">
      <w:pPr>
        <w:pStyle w:val="Heading2"/>
        <w:spacing w:line="360" w:lineRule="auto"/>
        <w:rPr>
          <w:rFonts w:ascii="Times New Roman" w:hAnsi="Times New Roman" w:cs="Times New Roman"/>
        </w:rPr>
      </w:pPr>
      <w:r w:rsidRPr="000F6719">
        <w:rPr>
          <w:rFonts w:ascii="Times New Roman" w:hAnsi="Times New Roman" w:cs="Times New Roman"/>
        </w:rPr>
        <w:t>Sensitivity analyses</w:t>
      </w:r>
    </w:p>
    <w:p w14:paraId="730D4F27" w14:textId="5CF5361F" w:rsidR="00841284" w:rsidRPr="000F6719" w:rsidRDefault="00D413D7" w:rsidP="00E3018C">
      <w:pPr>
        <w:spacing w:after="120" w:line="360" w:lineRule="auto"/>
        <w:rPr>
          <w:rFonts w:ascii="Times New Roman" w:hAnsi="Times New Roman" w:cs="Times New Roman"/>
        </w:rPr>
      </w:pPr>
      <w:r w:rsidRPr="000F6719">
        <w:rPr>
          <w:rFonts w:ascii="Times New Roman" w:eastAsia="Arial" w:hAnsi="Times New Roman" w:cs="Times New Roman"/>
        </w:rPr>
        <w:t>Five sensitivity analyses supported the stability of the joint estimates (eTable 15). Restricting to inpatient-only cases, excluding controls with acute-care utilization, removing vaccination, and collapsing income to three levels (&lt;$35,000, 1.16, 1.04-1.30) preserved all key associations. Restricting to pre-infection surveys (86.4% of the cohort) preserved direction throughout, but the income and renter estimates lost significance; their intervals widened only slightly while the point estimates moved toward the null (1.18 to 1.13 and 1.13 to 1.09), so the change reflects attenuation rather than the smaller sample alone.</w:t>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
    <w:p w14:paraId="730D4F28" w14:textId="338477C1" w:rsidR="00841284" w:rsidRPr="000F6719" w:rsidRDefault="000A696E" w:rsidP="00E3018C">
      <w:pPr>
        <w:pStyle w:val="Heading2"/>
        <w:spacing w:line="360" w:lineRule="auto"/>
        <w:rPr>
          <w:rFonts w:ascii="Times New Roman" w:hAnsi="Times New Roman" w:cs="Times New Roman"/>
        </w:rPr>
      </w:pPr>
      <w:r w:rsidRPr="000F6719">
        <w:rPr>
          <w:rFonts w:ascii="Times New Roman" w:hAnsi="Times New Roman" w:cs="Times New Roman"/>
        </w:rPr>
        <w:t>Cross-cohort clinical-model comparison</w:t>
      </w:r>
    </w:p>
    <w:p w14:paraId="730D4F29" w14:textId="270EBAE6" w:rsidR="00841284" w:rsidRPr="000F6719" w:rsidRDefault="00A865D0" w:rsidP="00E3018C">
      <w:pPr>
        <w:spacing w:after="120" w:line="360" w:lineRule="auto"/>
        <w:rPr>
          <w:rFonts w:ascii="Times New Roman" w:hAnsi="Times New Roman" w:cs="Times New Roman"/>
        </w:rPr>
      </w:pPr>
      <w:r w:rsidRPr="000F6719">
        <w:rPr>
          <w:rFonts w:ascii="Times New Roman" w:eastAsia="Arial" w:hAnsi="Times New Roman" w:cs="Times New Roman"/>
        </w:rPr>
        <w:t>In MarketScan (693,682 matched observations; 139,468 cases; Table 1), female sex, recorded vaccination, and the age gradient were directionally concordant with All of Us, and comorbidity associations were generally larger (eTable 10). Five of 25 comparable estimates were directionally discordant: Omicron wave (All of Us 1.04, 0.96-1.13; MarketScan 0.47, 0.47-0.48), cerebrovascular disease, diabetes with complications, malignancy, and AIDS. The Omicron discordance is the largest and likely reflects the age and coverage differences between a commercially insured population and All of Us; the AIDS difference reflects the strict two-step All of Us phenotype (eTable 14). Concordance here means agreement in the direction of the point estimate irrespective of significance, which is a weak criterion.</w:t>
      </w:r>
      <w:r w:rsidRPr="000F6719">
        <w:rPr>
          <w:rFonts w:ascii="Times New Roman" w:eastAsia="Arial" w:hAnsi="Times New Roman" w:cs="Times New Roman"/>
        </w:rPr>
      </w:r>
      <w:r w:rsidR="00020FD3" w:rsidRPr="000F6719">
        <w:rPr>
          <w:rFonts w:ascii="Times New Roman" w:eastAsia="Arial" w:hAnsi="Times New Roman" w:cs="Times New Roman"/>
        </w:rPr>
      </w:r>
      <w:proofErr w:type="spellStart"/>
      <w:r w:rsidR="00020FD3" w:rsidRPr="000F6719">
        <w:rPr>
          <w:rFonts w:ascii="Times New Roman" w:eastAsia="Arial" w:hAnsi="Times New Roman" w:cs="Times New Roman"/>
        </w:rPr>
      </w:r>
      <w:proofErr w:type="spellEnd"/>
      <w:r w:rsidR="00020FD3" w:rsidRPr="000F6719">
        <w:rPr>
          <w:rFonts w:ascii="Times New Roman" w:eastAsia="Arial" w:hAnsi="Times New Roman" w:cs="Times New Roman"/>
        </w:rPr>
      </w:r>
      <w:proofErr w:type="spellStart"/>
      <w:r w:rsidR="00020FD3" w:rsidRPr="000F6719">
        <w:rPr>
          <w:rFonts w:ascii="Times New Roman" w:eastAsia="Arial" w:hAnsi="Times New Roman" w:cs="Times New Roman"/>
        </w:rPr>
      </w:r>
      <w:proofErr w:type="spellEnd"/>
      <w:r w:rsidR="00020FD3" w:rsidRPr="000F6719">
        <w:rPr>
          <w:rFonts w:ascii="Times New Roman" w:eastAsia="Arial" w:hAnsi="Times New Roman" w:cs="Times New Roman"/>
        </w:rPr>
      </w:r>
      <w:r w:rsidR="00020FD3" w:rsidRPr="000F6719">
        <w:rPr>
          <w:rFonts w:ascii="Times New Roman" w:eastAsia="Arial" w:hAnsi="Times New Roman" w:cs="Times New Roman"/>
        </w:rPr>
      </w:r>
      <w:proofErr w:type="spellStart"/>
      <w:r w:rsidR="00020FD3" w:rsidRPr="000F6719">
        <w:rPr>
          <w:rFonts w:ascii="Times New Roman" w:eastAsia="Arial" w:hAnsi="Times New Roman" w:cs="Times New Roman"/>
        </w:rPr>
      </w:r>
      <w:proofErr w:type="spellEnd"/>
      <w:r w:rsidR="00020FD3" w:rsidRPr="000F6719">
        <w:rPr>
          <w:rFonts w:ascii="Times New Roman" w:eastAsia="Arial" w:hAnsi="Times New Roman" w:cs="Times New Roman"/>
        </w:rPr>
      </w:r>
    </w:p>
    <w:p w14:paraId="730D4F2A" w14:textId="77777777" w:rsidR="00841284" w:rsidRPr="000F6719" w:rsidRDefault="00841284" w:rsidP="00E3018C">
      <w:pPr>
        <w:spacing w:line="360" w:lineRule="auto"/>
        <w:rPr>
          <w:rFonts w:ascii="Times New Roman" w:hAnsi="Times New Roman" w:cs="Times New Roman"/>
        </w:rPr>
      </w:pPr>
    </w:p>
    <w:p w14:paraId="730D4F2B" w14:textId="77777777" w:rsidR="00841284" w:rsidRPr="000F6719" w:rsidRDefault="00D413D7" w:rsidP="00E3018C">
      <w:pPr>
        <w:pStyle w:val="Heading1"/>
        <w:spacing w:line="360" w:lineRule="auto"/>
        <w:rPr>
          <w:rFonts w:ascii="Times New Roman" w:hAnsi="Times New Roman" w:cs="Times New Roman"/>
        </w:rPr>
      </w:pPr>
      <w:r w:rsidRPr="000F6719">
        <w:rPr>
          <w:rFonts w:ascii="Times New Roman" w:hAnsi="Times New Roman" w:cs="Times New Roman"/>
        </w:rPr>
        <w:t>DISCUSSION</w:t>
      </w:r>
    </w:p>
    <w:p w14:paraId="6F519E55" w14:textId="25858844" w:rsidR="00585117" w:rsidRPr="000F6719" w:rsidRDefault="008A2FA1" w:rsidP="00E3018C">
      <w:pPr>
        <w:spacing w:after="120" w:line="360" w:lineRule="auto"/>
        <w:rPr>
          <w:rFonts w:ascii="Times New Roman" w:eastAsia="Arial" w:hAnsi="Times New Roman" w:cs="Times New Roman"/>
        </w:rPr>
      </w:pPr>
      <w:r w:rsidRPr="000F6719">
        <w:rPr>
          <w:rFonts w:ascii="Times New Roman" w:eastAsia="Arial" w:hAnsi="Times New Roman" w:cs="Times New Roman"/>
        </w:rPr>
        <w:t>Prior work in these data sources identified individual risk factors. Choi et al. found an income gradient in All of Us and no education association, and did not test employment or housing.[11] In N3C, Bennett et al. found Black race and obesity independently associated with clinical severity,[35] and Vaidya et al. found individual-level SDoH associations using EHR-coded fields.[16] We reproduce the low-income association and the residual Black-race association, and additionally identify independent employment, insurance, and housing associations that the few-variable and sparsely coded approaches did not surface.</w:t>
      </w:r>
      <w:r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noProof/>
        </w:rPr>
      </w:r>
      <w:r w:rsidRPr="000F6719">
        <w:rPr>
          <w:rFonts w:ascii="Times New Roman" w:eastAsia="Arial" w:hAnsi="Times New Roman" w:cs="Times New Roman"/>
        </w:rPr>
      </w:r>
      <w:r w:rsidR="0028415F" w:rsidRPr="000F6719">
        <w:rPr>
          <w:rFonts w:ascii="Times New Roman" w:eastAsia="Arial" w:hAnsi="Times New Roman" w:cs="Times New Roman"/>
        </w:rPr>
      </w:r>
      <w:r w:rsidR="00585117" w:rsidRPr="000F6719">
        <w:rPr>
          <w:rFonts w:ascii="Times New Roman" w:eastAsia="Arial" w:hAnsi="Times New Roman" w:cs="Times New Roman"/>
        </w:rPr>
      </w:r>
      <w:r w:rsidR="009B5553"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B5553" w:rsidRPr="000F6719">
        <w:rPr>
          <w:rFonts w:ascii="Times New Roman" w:eastAsia="Arial" w:hAnsi="Times New Roman" w:cs="Times New Roman"/>
        </w:rPr>
      </w:r>
      <w:r w:rsidR="009A7915" w:rsidRPr="000F6719">
        <w:rPr>
          <w:rFonts w:ascii="Times New Roman" w:eastAsia="Arial" w:hAnsi="Times New Roman" w:cs="Times New Roman"/>
          <w:noProof/>
        </w:rPr>
      </w:r>
      <w:r w:rsidR="009B5553" w:rsidRPr="000F6719">
        <w:rPr>
          <w:rFonts w:ascii="Times New Roman" w:eastAsia="Arial" w:hAnsi="Times New Roman" w:cs="Times New Roman"/>
        </w:rPr>
      </w:r>
      <w:r w:rsidR="00585117" w:rsidRPr="000F6719">
        <w:rPr>
          <w:rFonts w:ascii="Times New Roman" w:eastAsia="Arial" w:hAnsi="Times New Roman" w:cs="Times New Roman"/>
        </w:rPr>
      </w:r>
      <w:proofErr w:type="spellStart"/>
      <w:r w:rsidR="00585117" w:rsidRPr="000F6719">
        <w:rPr>
          <w:rFonts w:ascii="Times New Roman" w:eastAsia="Arial" w:hAnsi="Times New Roman" w:cs="Times New Roman"/>
        </w:rPr>
      </w:r>
      <w:proofErr w:type="spellEnd"/>
      <w:r w:rsidR="00585117" w:rsidRPr="000F6719">
        <w:rPr>
          <w:rFonts w:ascii="Times New Roman" w:eastAsia="Arial" w:hAnsi="Times New Roman" w:cs="Times New Roman"/>
        </w:rPr>
      </w:r>
      <w:r w:rsidR="00585117"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585117" w:rsidRPr="000F6719">
        <w:rPr>
          <w:rFonts w:ascii="Times New Roman" w:eastAsia="Arial" w:hAnsi="Times New Roman" w:cs="Times New Roman"/>
        </w:rPr>
      </w:r>
      <w:r w:rsidR="009A7915" w:rsidRPr="000F6719">
        <w:rPr>
          <w:rFonts w:ascii="Times New Roman" w:eastAsia="Arial" w:hAnsi="Times New Roman" w:cs="Times New Roman"/>
          <w:noProof/>
        </w:rPr>
      </w:r>
      <w:r w:rsidR="00585117" w:rsidRPr="000F6719">
        <w:rPr>
          <w:rFonts w:ascii="Times New Roman" w:eastAsia="Arial" w:hAnsi="Times New Roman" w:cs="Times New Roman"/>
        </w:rPr>
      </w:r>
      <w:r w:rsidR="00585117" w:rsidRPr="000F6719">
        <w:rPr>
          <w:rFonts w:ascii="Times New Roman" w:eastAsia="Arial" w:hAnsi="Times New Roman" w:cs="Times New Roman"/>
        </w:rPr>
      </w:r>
    </w:p>
    <w:p w14:paraId="730D4F2C" w14:textId="53F135E0" w:rsidR="00841284" w:rsidRPr="000F6719" w:rsidRDefault="0053094D" w:rsidP="00E3018C">
      <w:pPr>
        <w:spacing w:after="120" w:line="360" w:lineRule="auto"/>
        <w:rPr>
          <w:rFonts w:ascii="Times New Roman" w:eastAsia="Arial" w:hAnsi="Times New Roman" w:cs="Times New Roman"/>
        </w:rPr>
      </w:pPr>
      <w:r w:rsidRPr="000F6719">
        <w:rPr>
          <w:rFonts w:ascii="Times New Roman" w:eastAsia="Arial" w:hAnsi="Times New Roman" w:cs="Times New Roman"/>
        </w:rPr>
        <w:t>Our joint model extends these findings in three ways. First, it separates domain-specific signals that composite indices and few-variable models cannot isolate: Choi et al.'s three-variable design did not include employment or housing,[11] and Gupta et al.'s composite All of Us deprivation index collapses insurance, income, employment, and housing into one score.[36] Second, encounter-density matching mitigates informative presence bias.[17] Third, wave-stratified analyses show the income association persisting while the racial association narrowed. Our contribution is identifying which domains remain independently associated after mutual adjustment, and which lose significance once overlapping domains are included (Figure 4). The two models answer complementary questions: the domain-specific estimate is the total association a domain carries, the quantity a single-item screen would capture, while the joint estimate is what remains after overlapping domains are removed. Neither supersedes the other.</w:t>
      </w:r>
      <w:r w:rsidR="006815E7" w:rsidRPr="000F6719">
        <w:rPr>
          <w:rFonts w:ascii="Times New Roman" w:eastAsia="Arial" w:hAnsi="Times New Roman" w:cs="Times New Roman"/>
        </w:rPr>
      </w:r>
      <w:r w:rsidR="006815E7" w:rsidRPr="000F6719">
        <w:rPr>
          <w:rFonts w:ascii="Times New Roman" w:eastAsia="Arial" w:hAnsi="Times New Roman" w:cs="Times New Roman"/>
        </w:rPr>
      </w:r>
      <w:r w:rsidR="006815E7" w:rsidRPr="000F6719">
        <w:rPr>
          <w:rFonts w:ascii="Times New Roman" w:eastAsia="Arial" w:hAnsi="Times New Roman" w:cs="Times New Roman"/>
        </w:rPr>
      </w:r>
      <w:r w:rsidR="006815E7" w:rsidRPr="000F6719">
        <w:rPr>
          <w:rFonts w:ascii="Times New Roman" w:eastAsia="Arial" w:hAnsi="Times New Roman" w:cs="Times New Roman"/>
        </w:rPr>
      </w:r>
      <w:r w:rsidR="006815E7" w:rsidRPr="000F6719">
        <w:rPr>
          <w:rFonts w:ascii="Times New Roman" w:eastAsia="Arial" w:hAnsi="Times New Roman" w:cs="Times New Roman"/>
        </w:rPr>
      </w:r>
      <w:r w:rsidR="006815E7" w:rsidRPr="000F6719">
        <w:rPr>
          <w:rFonts w:ascii="Times New Roman" w:eastAsia="Arial" w:hAnsi="Times New Roman" w:cs="Times New Roman"/>
        </w:rPr>
      </w:r>
      <w:r w:rsidR="006815E7" w:rsidRPr="000F6719">
        <w:rPr>
          <w:rFonts w:ascii="Times New Roman" w:eastAsia="Arial" w:hAnsi="Times New Roman" w:cs="Times New Roman"/>
        </w:rPr>
      </w:r>
      <w:r w:rsidR="006815E7" w:rsidRPr="000F6719">
        <w:rPr>
          <w:rFonts w:ascii="Times New Roman" w:eastAsia="Arial" w:hAnsi="Times New Roman" w:cs="Times New Roman"/>
          <w:noProof/>
          <w:vertAlign w:val="superscript"/>
        </w:rPr>
      </w:r>
      <w:r w:rsidR="006815E7" w:rsidRPr="000F6719">
        <w:rPr>
          <w:rFonts w:ascii="Times New Roman" w:eastAsia="Arial" w:hAnsi="Times New Roman" w:cs="Times New Roman"/>
        </w:rPr>
      </w:r>
      <w:r w:rsidRPr="000F6719">
        <w:rPr>
          <w:rFonts w:ascii="Times New Roman" w:eastAsia="Arial" w:hAnsi="Times New Roman" w:cs="Times New Roman"/>
        </w:rPr>
      </w:r>
      <w:r w:rsidR="00184B89" w:rsidRPr="000F6719">
        <w:rPr>
          <w:rFonts w:ascii="Times New Roman" w:eastAsia="Arial" w:hAnsi="Times New Roman" w:cs="Times New Roman"/>
        </w:rPr>
      </w:r>
      <w:r w:rsidR="009A7915" w:rsidRPr="000F6719">
        <w:rPr>
          <w:rFonts w:ascii="Times New Roman" w:eastAsia="Arial" w:hAnsi="Times New Roman" w:cs="Times New Roman"/>
        </w:rPr>
      </w:r>
      <w:r w:rsidR="00184B89" w:rsidRPr="000F6719">
        <w:rPr>
          <w:rFonts w:ascii="Times New Roman" w:eastAsia="Arial" w:hAnsi="Times New Roman" w:cs="Times New Roman"/>
        </w:rPr>
      </w:r>
      <w:r w:rsidR="009A7915" w:rsidRPr="000F6719">
        <w:rPr>
          <w:rFonts w:ascii="Times New Roman" w:eastAsia="Arial" w:hAnsi="Times New Roman" w:cs="Times New Roman"/>
          <w:noProof/>
        </w:rPr>
      </w:r>
      <w:r w:rsidR="00184B89" w:rsidRPr="000F6719">
        <w:rPr>
          <w:rFonts w:ascii="Times New Roman" w:eastAsia="Arial" w:hAnsi="Times New Roman" w:cs="Times New Roman"/>
        </w:rPr>
      </w:r>
      <w:r w:rsidRPr="000F6719">
        <w:rPr>
          <w:rFonts w:ascii="Times New Roman" w:eastAsia="Arial" w:hAnsi="Times New Roman" w:cs="Times New Roman"/>
        </w:rPr>
      </w:r>
      <w:r w:rsidR="00D413D7" w:rsidRPr="000F6719">
        <w:rPr>
          <w:rFonts w:ascii="Times New Roman" w:eastAsia="Arial" w:hAnsi="Times New Roman" w:cs="Times New Roman"/>
        </w:rPr>
      </w:r>
      <w:r w:rsidR="009A7915" w:rsidRPr="000F6719">
        <w:rPr>
          <w:rFonts w:ascii="Times New Roman" w:eastAsia="Arial" w:hAnsi="Times New Roman" w:cs="Times New Roman"/>
        </w:rPr>
      </w:r>
      <w:r w:rsidR="00D413D7" w:rsidRPr="000F6719">
        <w:rPr>
          <w:rFonts w:ascii="Times New Roman" w:eastAsia="Arial" w:hAnsi="Times New Roman" w:cs="Times New Roman"/>
        </w:rPr>
      </w:r>
      <w:r w:rsidR="009A7915" w:rsidRPr="000F6719">
        <w:rPr>
          <w:rFonts w:ascii="Times New Roman" w:eastAsia="Arial" w:hAnsi="Times New Roman" w:cs="Times New Roman"/>
          <w:noProof/>
        </w:rPr>
      </w:r>
      <w:r w:rsidR="00D413D7" w:rsidRPr="000F6719">
        <w:rPr>
          <w:rFonts w:ascii="Times New Roman" w:eastAsia="Arial" w:hAnsi="Times New Roman" w:cs="Times New Roman"/>
        </w:rPr>
      </w:r>
      <w:r w:rsidR="00D413D7" w:rsidRPr="000F6719">
        <w:rPr>
          <w:rFonts w:ascii="Times New Roman" w:eastAsia="Arial" w:hAnsi="Times New Roman" w:cs="Times New Roman"/>
        </w:rPr>
      </w:r>
      <w:r w:rsidR="00EC1949" w:rsidRPr="000F6719">
        <w:rPr>
          <w:rFonts w:ascii="Times New Roman" w:eastAsia="Arial" w:hAnsi="Times New Roman" w:cs="Times New Roman"/>
        </w:rPr>
      </w:r>
      <w:proofErr w:type="spellStart"/>
      <w:r w:rsidR="00EC1949" w:rsidRPr="000F6719">
        <w:rPr>
          <w:rFonts w:ascii="Times New Roman" w:eastAsia="Arial" w:hAnsi="Times New Roman" w:cs="Times New Roman"/>
        </w:rPr>
      </w:r>
      <w:proofErr w:type="spellEnd"/>
      <w:r w:rsidR="00EC1949" w:rsidRPr="000F6719">
        <w:rPr>
          <w:rFonts w:ascii="Times New Roman" w:eastAsia="Arial" w:hAnsi="Times New Roman" w:cs="Times New Roman"/>
        </w:rPr>
      </w:r>
      <w:r w:rsidR="00D413D7" w:rsidRPr="000F6719">
        <w:rPr>
          <w:rFonts w:ascii="Times New Roman" w:eastAsia="Arial" w:hAnsi="Times New Roman" w:cs="Times New Roman"/>
          <w:color w:val="000000" w:themeColor="text1"/>
        </w:rPr>
      </w:r>
      <w:r w:rsidR="00D413D7" w:rsidRPr="000F6719">
        <w:rPr>
          <w:rFonts w:ascii="Times New Roman" w:eastAsia="Arial" w:hAnsi="Times New Roman" w:cs="Times New Roman"/>
          <w:color w:val="000000" w:themeColor="text1"/>
        </w:rPr>
      </w:r>
      <w:r w:rsidR="009A7915" w:rsidRPr="000F6719">
        <w:rPr>
          <w:rFonts w:ascii="Times New Roman" w:eastAsia="Arial" w:hAnsi="Times New Roman" w:cs="Times New Roman"/>
          <w:color w:val="000000" w:themeColor="text1"/>
        </w:rPr>
      </w:r>
      <w:r w:rsidR="00D413D7" w:rsidRPr="000F6719">
        <w:rPr>
          <w:rFonts w:ascii="Times New Roman" w:eastAsia="Arial" w:hAnsi="Times New Roman" w:cs="Times New Roman"/>
          <w:color w:val="000000" w:themeColor="text1"/>
        </w:rPr>
      </w:r>
      <w:r w:rsidR="009A7915" w:rsidRPr="000F6719">
        <w:rPr>
          <w:rFonts w:ascii="Times New Roman" w:eastAsia="Arial" w:hAnsi="Times New Roman" w:cs="Times New Roman"/>
          <w:noProof/>
          <w:color w:val="000000" w:themeColor="text1"/>
        </w:rPr>
      </w:r>
      <w:r w:rsidR="00D413D7" w:rsidRPr="000F6719">
        <w:rPr>
          <w:rFonts w:ascii="Times New Roman" w:eastAsia="Arial" w:hAnsi="Times New Roman" w:cs="Times New Roman"/>
          <w:color w:val="000000" w:themeColor="text1"/>
        </w:rPr>
      </w:r>
      <w:r w:rsidR="00D413D7" w:rsidRPr="000F6719">
        <w:rPr>
          <w:rFonts w:ascii="Times New Roman" w:eastAsia="Arial" w:hAnsi="Times New Roman" w:cs="Times New Roman"/>
          <w:color w:val="000000" w:themeColor="text1"/>
        </w:rPr>
      </w:r>
      <w:r w:rsidR="00EC1949" w:rsidRPr="000F6719">
        <w:rPr>
          <w:rFonts w:ascii="Times New Roman" w:eastAsia="Arial" w:hAnsi="Times New Roman" w:cs="Times New Roman"/>
          <w:color w:val="000000" w:themeColor="text1"/>
        </w:rPr>
      </w:r>
      <w:r w:rsidR="00D413D7" w:rsidRPr="000F6719">
        <w:rPr>
          <w:rFonts w:ascii="Times New Roman" w:eastAsia="Arial" w:hAnsi="Times New Roman" w:cs="Times New Roman"/>
        </w:rPr>
      </w:r>
      <w:r w:rsidR="0016340F" w:rsidRPr="000F6719">
        <w:rPr>
          <w:rFonts w:ascii="Times New Roman" w:eastAsia="Arial" w:hAnsi="Times New Roman" w:cs="Times New Roman"/>
        </w:rPr>
      </w:r>
      <w:r w:rsidR="0016340F" w:rsidRPr="000F6719">
        <w:rPr>
          <w:rFonts w:ascii="Times New Roman" w:eastAsia="Arial" w:hAnsi="Times New Roman" w:cs="Times New Roman"/>
        </w:rPr>
      </w:r>
    </w:p>
    <w:p w14:paraId="730D4F2D" w14:textId="77777777" w:rsidR="00841284" w:rsidRPr="000F6719" w:rsidRDefault="00D413D7" w:rsidP="00E3018C">
      <w:pPr>
        <w:pStyle w:val="Heading2"/>
        <w:spacing w:line="360" w:lineRule="auto"/>
        <w:rPr>
          <w:rFonts w:ascii="Times New Roman" w:hAnsi="Times New Roman" w:cs="Times New Roman"/>
        </w:rPr>
      </w:pPr>
      <w:r w:rsidRPr="000F6719">
        <w:rPr>
          <w:rFonts w:ascii="Times New Roman" w:hAnsi="Times New Roman" w:cs="Times New Roman"/>
        </w:rPr>
        <w:t>What persists and what attenuates</w:t>
      </w:r>
    </w:p>
    <w:p w14:paraId="730D4F2E" w14:textId="1925CA6E" w:rsidR="00841284" w:rsidRPr="000F6719" w:rsidRDefault="00D413D7" w:rsidP="00E3018C">
      <w:pPr>
        <w:spacing w:after="120" w:line="360" w:lineRule="auto"/>
        <w:rPr>
          <w:rFonts w:ascii="Times New Roman" w:hAnsi="Times New Roman" w:cs="Times New Roman"/>
        </w:rPr>
      </w:pPr>
      <w:r w:rsidRPr="000F6719">
        <w:rPr>
          <w:rFonts w:ascii="Times New Roman" w:eastAsia="Arial" w:hAnsi="Times New Roman" w:cs="Times New Roman"/>
        </w:rPr>
        <w:t>In the joint model, Medicaid coverage, unemployment, renting, and the two lowest income strata retained independent associations. The Medicaid finding is consistent with cohort evidence that insurance type is associated with COVID-19 hospitalization beyond underlying health conditions,[38] and insurance likely functions as both a poverty marker and an access-barrier marker; separating those requires designs beyond what case-control data can provide.[39] The renter association is consistent with housing tenure tracking crowding, shared facilities, and reduced ability to isolate, and with the state-level increases in COVID-19 incidence observed after eviction moratoria expired.[40] Education below GED attenuated to 1.13 (0.98-1.30) once economic variables entered, matching Choi et al.'s null education finding.[11]</w:t>
      </w:r>
      <w:r w:rsidRPr="000F6719">
        <w:rPr>
          <w:rFonts w:ascii="Times New Roman" w:eastAsia="Arial" w:hAnsi="Times New Roman" w:cs="Times New Roman"/>
        </w:rPr>
      </w:r>
      <w:r w:rsidR="009A7915"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noProof/>
        </w:rPr>
      </w:r>
      <w:r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noProof/>
        </w:rPr>
      </w:r>
      <w:r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noProof/>
        </w:rPr>
      </w:r>
      <w:r w:rsidRPr="000F6719">
        <w:rPr>
          <w:rFonts w:ascii="Times New Roman" w:eastAsia="Arial" w:hAnsi="Times New Roman" w:cs="Times New Roman"/>
        </w:rPr>
      </w:r>
    </w:p>
    <w:p w14:paraId="730D4F30" w14:textId="77777777" w:rsidR="00841284" w:rsidRPr="000F6719" w:rsidRDefault="00D413D7" w:rsidP="00E3018C">
      <w:pPr>
        <w:pStyle w:val="Heading2"/>
        <w:spacing w:line="360" w:lineRule="auto"/>
        <w:rPr>
          <w:rFonts w:ascii="Times New Roman" w:hAnsi="Times New Roman" w:cs="Times New Roman"/>
        </w:rPr>
      </w:pPr>
      <w:r w:rsidRPr="000F6719">
        <w:rPr>
          <w:rFonts w:ascii="Times New Roman" w:hAnsi="Times New Roman" w:cs="Times New Roman"/>
        </w:rPr>
        <w:t xml:space="preserve">The Black-race association: what </w:t>
      </w:r>
      <w:proofErr w:type="spellStart"/>
      <w:r w:rsidRPr="000F6719">
        <w:rPr>
          <w:rFonts w:ascii="Times New Roman" w:hAnsi="Times New Roman" w:cs="Times New Roman"/>
        </w:rPr>
        <w:t>SDoH</w:t>
      </w:r>
      <w:proofErr w:type="spellEnd"/>
      <w:r w:rsidRPr="000F6719">
        <w:rPr>
          <w:rFonts w:ascii="Times New Roman" w:hAnsi="Times New Roman" w:cs="Times New Roman"/>
        </w:rPr>
        <w:t xml:space="preserve"> adjustment does and does not capture</w:t>
      </w:r>
    </w:p>
    <w:p w14:paraId="730D4F31" w14:textId="3FD391B4" w:rsidR="00841284" w:rsidRPr="000F6719" w:rsidRDefault="00D413D7" w:rsidP="00E3018C">
      <w:pPr>
        <w:spacing w:after="120" w:line="360" w:lineRule="auto"/>
        <w:rPr>
          <w:rFonts w:ascii="Times New Roman" w:hAnsi="Times New Roman" w:cs="Times New Roman"/>
        </w:rPr>
      </w:pPr>
      <w:r w:rsidRPr="000F6719">
        <w:rPr>
          <w:rFonts w:ascii="Times New Roman" w:eastAsia="Arial" w:hAnsi="Times New Roman" w:cs="Times New Roman"/>
        </w:rPr>
        <w:t>After adjustment for six individual-level social domains, Black participants retained twice the odds of hospitalization (AOR 2.00, 1.81-2.20). Interpreting a residual race coefficient requires care: the socioeconomic variables adjusted for are themselves shaped by structural disadvantage, and residual confounding from imperfectly measured socioeconomic position tends to bias such coefficients toward appearing independent.[41, 42] Because the odds ratio is non-collapsible, part of the observed change on adjustment may reflect scale properties rather than confounding or mediation, so the attenuation estimates indicate direction and approximate magnitude rather than precise explained fractions.[43]</w:t>
      </w:r>
      <w:r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noProof/>
        </w:rPr>
      </w:r>
      <w:r w:rsidRPr="000F6719">
        <w:rPr>
          <w:rFonts w:ascii="Times New Roman" w:eastAsia="Arial" w:hAnsi="Times New Roman" w:cs="Times New Roman"/>
        </w:rPr>
      </w:r>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noProof/>
        </w:rPr>
      </w:r>
      <w:r w:rsidRPr="000F6719">
        <w:rPr>
          <w:rFonts w:ascii="Times New Roman" w:eastAsia="Arial" w:hAnsi="Times New Roman" w:cs="Times New Roman"/>
        </w:rPr>
      </w:r>
      <w:r w:rsidR="002C59E0" w:rsidRPr="000F6719">
        <w:rPr>
          <w:rFonts w:ascii="Times New Roman" w:hAnsi="Times New Roman" w:cs="Times New Roman"/>
        </w:rPr>
      </w:r>
      <w:r w:rsidR="00060C8F" w:rsidRPr="000F6719">
        <w:rPr>
          <w:rFonts w:ascii="Times New Roman" w:eastAsia="Arial" w:hAnsi="Times New Roman" w:cs="Times New Roman"/>
        </w:rPr>
      </w:r>
      <w:r w:rsidR="007B0CAE" w:rsidRPr="000F6719">
        <w:rPr>
          <w:rFonts w:ascii="Times New Roman" w:eastAsia="Arial" w:hAnsi="Times New Roman" w:cs="Times New Roman"/>
        </w:rPr>
      </w:r>
      <w:r w:rsidR="00300397"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300397" w:rsidRPr="000F6719">
        <w:rPr>
          <w:rFonts w:ascii="Times New Roman" w:eastAsia="Arial" w:hAnsi="Times New Roman" w:cs="Times New Roman"/>
        </w:rPr>
      </w:r>
      <w:r w:rsidR="009A7915" w:rsidRPr="000F6719">
        <w:rPr>
          <w:rFonts w:ascii="Times New Roman" w:eastAsia="Arial" w:hAnsi="Times New Roman" w:cs="Times New Roman"/>
          <w:noProof/>
        </w:rPr>
      </w:r>
      <w:r w:rsidR="00300397" w:rsidRPr="000F6719">
        <w:rPr>
          <w:rFonts w:ascii="Times New Roman" w:eastAsia="Arial" w:hAnsi="Times New Roman" w:cs="Times New Roman"/>
        </w:rPr>
      </w:r>
      <w:r w:rsidR="00060C8F" w:rsidRPr="000F6719">
        <w:rPr>
          <w:rFonts w:ascii="Times New Roman" w:eastAsia="Arial" w:hAnsi="Times New Roman" w:cs="Times New Roman"/>
        </w:rPr>
      </w:r>
      <w:r w:rsidR="002C59E0" w:rsidRPr="000F6719">
        <w:rPr>
          <w:rFonts w:ascii="Times New Roman" w:eastAsia="Arial" w:hAnsi="Times New Roman" w:cs="Times New Roman"/>
        </w:rPr>
      </w:r>
      <w:r w:rsidR="002C59E0" w:rsidRPr="000F6719">
        <w:rPr>
          <w:rFonts w:ascii="Times New Roman" w:eastAsia="Arial" w:hAnsi="Times New Roman" w:cs="Times New Roman"/>
        </w:rPr>
      </w:r>
      <w:r w:rsidR="00D92D40"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D92D40" w:rsidRPr="000F6719">
        <w:rPr>
          <w:rFonts w:ascii="Times New Roman" w:eastAsia="Arial" w:hAnsi="Times New Roman" w:cs="Times New Roman"/>
        </w:rPr>
      </w:r>
      <w:r w:rsidR="009A7915" w:rsidRPr="000F6719">
        <w:rPr>
          <w:rFonts w:ascii="Times New Roman" w:eastAsia="Arial" w:hAnsi="Times New Roman" w:cs="Times New Roman"/>
          <w:noProof/>
        </w:rPr>
      </w:r>
      <w:r w:rsidR="00D92D40" w:rsidRPr="000F6719">
        <w:rPr>
          <w:rFonts w:ascii="Times New Roman" w:eastAsia="Arial" w:hAnsi="Times New Roman" w:cs="Times New Roman"/>
        </w:rPr>
      </w:r>
    </w:p>
    <w:p w14:paraId="730D4F32" w14:textId="72E10FB4" w:rsidR="00841284" w:rsidRPr="000F6719" w:rsidRDefault="00D413D7" w:rsidP="00E3018C">
      <w:pPr>
        <w:spacing w:after="120" w:line="360" w:lineRule="auto"/>
        <w:rPr>
          <w:rFonts w:ascii="Times New Roman" w:hAnsi="Times New Roman" w:cs="Times New Roman"/>
        </w:rPr>
      </w:pPr>
      <w:r w:rsidRPr="000F6719">
        <w:rPr>
          <w:rFonts w:ascii="Times New Roman" w:eastAsia="Arial" w:hAnsi="Times New Roman" w:cs="Times New Roman"/>
        </w:rPr>
        <w:t>This overall attenuation masks a temporal shift. The Black-race AOR was unchanged from pre-Delta (3.00) to Delta (2.98) and then narrowed to 1.65 during Omicron, while attenuation by individual SDoH was 11.5%, 29.1%, and 30.1% across the three waves, rising once rather than progressively. Early in the pandemic, structural factors beyond the reach of individual surveys, such as residential segregation, essential-worker exposure, and differential testing access, may have contributed more to the racial gap. As those exposures equalized, the residual association became more sensitive to socioeconomic adjustment. The wide Delta interval and the absence of a formal test across waves make this a hypothesis rather than a demonstrated trend.</w:t>
      </w:r>
      <w:r w:rsidR="00E830A6"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00AC2EEF" w:rsidRPr="000F6719">
        <w:rPr>
          <w:rFonts w:ascii="Times New Roman" w:eastAsia="Arial" w:hAnsi="Times New Roman" w:cs="Times New Roman"/>
          <w:noProof/>
          <w:vertAlign w:val="superscript"/>
        </w:rPr>
      </w:r>
      <w:r w:rsidRPr="000F6719">
        <w:rPr>
          <w:rFonts w:ascii="Times New Roman" w:eastAsia="Arial" w:hAnsi="Times New Roman" w:cs="Times New Roman"/>
        </w:rPr>
      </w:r>
      <w:r w:rsidRPr="000F6719">
        <w:rPr>
          <w:rFonts w:ascii="Times New Roman" w:eastAsia="Arial" w:hAnsi="Times New Roman" w:cs="Times New Roman"/>
        </w:rPr>
      </w:r>
      <w:r w:rsidR="00DB2FA2" w:rsidRPr="000F6719">
        <w:rPr>
          <w:rFonts w:ascii="Times New Roman" w:eastAsia="Arial" w:hAnsi="Times New Roman" w:cs="Times New Roman"/>
        </w:rPr>
      </w:r>
      <w:proofErr w:type="spellStart"/>
      <w:r w:rsidR="00DB2FA2" w:rsidRPr="000F6719">
        <w:rPr>
          <w:rFonts w:ascii="Times New Roman" w:eastAsia="Arial" w:hAnsi="Times New Roman" w:cs="Times New Roman"/>
        </w:rPr>
      </w:r>
      <w:proofErr w:type="spellEnd"/>
      <w:r w:rsidR="00DB2FA2" w:rsidRPr="000F6719">
        <w:rPr>
          <w:rFonts w:ascii="Times New Roman" w:eastAsia="Arial" w:hAnsi="Times New Roman" w:cs="Times New Roman"/>
        </w:rPr>
      </w:r>
      <w:r w:rsidR="00DB2FA2" w:rsidRPr="000F6719">
        <w:rPr>
          <w:rFonts w:ascii="Times New Roman" w:eastAsia="Arial" w:hAnsi="Times New Roman" w:cs="Times New Roman"/>
        </w:rPr>
      </w:r>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
    <w:p w14:paraId="730D4F33" w14:textId="77777777" w:rsidR="00841284" w:rsidRPr="000F6719" w:rsidRDefault="00D413D7" w:rsidP="00E3018C">
      <w:pPr>
        <w:pStyle w:val="Heading2"/>
        <w:spacing w:line="360" w:lineRule="auto"/>
        <w:rPr>
          <w:rFonts w:ascii="Times New Roman" w:hAnsi="Times New Roman" w:cs="Times New Roman"/>
        </w:rPr>
      </w:pPr>
      <w:r w:rsidRPr="000F6719">
        <w:rPr>
          <w:rFonts w:ascii="Times New Roman" w:hAnsi="Times New Roman" w:cs="Times New Roman"/>
        </w:rPr>
        <w:t>Income persistence through Omicron and clinical implications</w:t>
      </w:r>
    </w:p>
    <w:p w14:paraId="730D4F34" w14:textId="77BF4AA2" w:rsidR="00841284" w:rsidRPr="000F6719" w:rsidRDefault="00D413D7" w:rsidP="00E3018C">
      <w:pPr>
        <w:spacing w:after="120" w:line="360" w:lineRule="auto"/>
        <w:rPr>
          <w:rFonts w:ascii="Times New Roman" w:hAnsi="Times New Roman" w:cs="Times New Roman"/>
        </w:rPr>
      </w:pPr>
      <w:r w:rsidRPr="000F6719">
        <w:rPr>
          <w:rFonts w:ascii="Times New Roman" w:eastAsia="Arial" w:hAnsi="Times New Roman" w:cs="Times New Roman"/>
        </w:rPr>
        <w:t>During Omicron, participants with household income below $10,000 still had 1.64-fold higher hospitalization odds despite available vaccines. In an 11.2-million-person Ontario cohort, income inequalities in COVID-19 death likewise persisted, and inequality in vaccination coverage accounted for 56.9% (95% CI 22.5-91.3) of the income inequality in later-wave deaths,[30] so countermeasure availability did not translate into equitable uptake. The Medicaid association, by contrast, was not significant in the joint model in either Delta or Omicron once income and housing entered, suggesting insurance type was less of an independent predictor than the economic conditions it tracks. Barriers to testing, prescriptions, paid sick leave, and isolation space may contribute to the residual income association, though the design cannot test access mechanisms directly.</w:t>
      </w:r>
      <w:r w:rsidRPr="000F6719">
        <w:rPr>
          <w:rFonts w:ascii="Times New Roman" w:eastAsia="Arial" w:hAnsi="Times New Roman" w:cs="Times New Roman"/>
        </w:rPr>
      </w:r>
      <w:r w:rsidR="009A7915"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noProof/>
          <w:vertAlign w:val="superscript"/>
        </w:rPr>
      </w:r>
      <w:r w:rsidRPr="000F6719">
        <w:rPr>
          <w:rFonts w:ascii="Times New Roman" w:eastAsia="Arial" w:hAnsi="Times New Roman" w:cs="Times New Roman"/>
        </w:rPr>
      </w:r>
      <w:r w:rsidRPr="000F6719">
        <w:rPr>
          <w:rFonts w:ascii="Times New Roman" w:eastAsia="Arial" w:hAnsi="Times New Roman" w:cs="Times New Roman"/>
        </w:rPr>
      </w:r>
    </w:p>
    <w:p w14:paraId="730D4F35" w14:textId="09605246" w:rsidR="00841284" w:rsidRPr="000F6719" w:rsidRDefault="00D413D7" w:rsidP="00E3018C">
      <w:pPr>
        <w:spacing w:after="120" w:line="360" w:lineRule="auto"/>
        <w:rPr>
          <w:rFonts w:ascii="Times New Roman" w:hAnsi="Times New Roman" w:cs="Times New Roman"/>
        </w:rPr>
      </w:pPr>
      <w:r w:rsidRPr="000F6719">
        <w:rPr>
          <w:rFonts w:ascii="Times New Roman" w:eastAsia="Arial" w:hAnsi="Times New Roman" w:cs="Times New Roman"/>
        </w:rPr>
        <w:t>These domains identify groups who could benefit from targeted outreach during surge periods. Insurance and income can be collected through screening or intake workflows, and the barriers they mark apply to any respiratory pathogen capable of generating surge-level hospitalizations.[3] Because the domains overlap, their combined association is smaller than the domain-specific estimates suggest: the combined profile carried 1.78-fold higher odds against 2.79 from the domain-specific estimates.</w:t>
      </w:r>
      <w:r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00AC2EEF" w:rsidRPr="000F6719">
        <w:rPr>
          <w:rFonts w:ascii="Times New Roman" w:eastAsia="Arial" w:hAnsi="Times New Roman" w:cs="Times New Roman"/>
          <w:noProof/>
        </w:rPr>
      </w:r>
      <w:r w:rsidRPr="000F6719">
        <w:rPr>
          <w:rFonts w:ascii="Times New Roman" w:eastAsia="Arial" w:hAnsi="Times New Roman" w:cs="Times New Roman"/>
        </w:rPr>
      </w:r>
      <w:r w:rsidRPr="000F6719">
        <w:rPr>
          <w:rFonts w:ascii="Times New Roman" w:eastAsia="Arial" w:hAnsi="Times New Roman" w:cs="Times New Roman"/>
        </w:rPr>
      </w:r>
      <w:r w:rsidR="00E82085" w:rsidRPr="000F6719">
        <w:rPr>
          <w:rFonts w:ascii="Times New Roman" w:eastAsia="Arial" w:hAnsi="Times New Roman" w:cs="Times New Roman"/>
        </w:rPr>
      </w:r>
      <w:r w:rsidRPr="000F6719">
        <w:rPr>
          <w:rFonts w:ascii="Times New Roman" w:eastAsia="Arial" w:hAnsi="Times New Roman" w:cs="Times New Roman"/>
        </w:rPr>
      </w:r>
    </w:p>
    <w:p w14:paraId="730D4F36" w14:textId="77777777" w:rsidR="00841284" w:rsidRPr="000F6719" w:rsidRDefault="00D413D7" w:rsidP="00E3018C">
      <w:pPr>
        <w:pStyle w:val="Heading2"/>
        <w:spacing w:line="360" w:lineRule="auto"/>
        <w:rPr>
          <w:rFonts w:ascii="Times New Roman" w:hAnsi="Times New Roman" w:cs="Times New Roman"/>
        </w:rPr>
      </w:pPr>
      <w:r w:rsidRPr="000F6719">
        <w:rPr>
          <w:rFonts w:ascii="Times New Roman" w:hAnsi="Times New Roman" w:cs="Times New Roman"/>
        </w:rPr>
        <w:lastRenderedPageBreak/>
        <w:t>The measurement case: why survey-linked EHR matters</w:t>
      </w:r>
    </w:p>
    <w:p w14:paraId="730D4F37" w14:textId="565BF496" w:rsidR="00841284" w:rsidRPr="000F6719" w:rsidRDefault="006E4F17" w:rsidP="00E3018C">
      <w:pPr>
        <w:spacing w:after="120" w:line="360" w:lineRule="auto"/>
        <w:rPr>
          <w:rFonts w:ascii="Times New Roman" w:hAnsi="Times New Roman" w:cs="Times New Roman"/>
        </w:rPr>
      </w:pPr>
      <w:r w:rsidRPr="000F6719">
        <w:rPr>
          <w:rFonts w:ascii="Times New Roman" w:eastAsia="Arial" w:hAnsi="Times New Roman" w:cs="Times New Roman"/>
        </w:rPr>
        <w:t>The All of Us survey enabled analysis of socioeconomic risk at a level of detail unavailable in routine structured EHR data. Patient surveys detect socioeconomic risk in 8-41% of patients, against 0-2% in EHR-coded fields.[15] Across 2.7 billion US healthcare encounters, SDoH Z-code documentation ranged from 0.5% to 2.4%,[44] and only 24.4% of US hospitals screened for all five common social needs in 2017-2018.[45] Two results depend directly on that difference. The below-GED education association attenuates from 1.35 to 1.13 once income and employment enter the same model, and the wave-specific race attenuation requires all six domains measured in the same participants within each wave. Neither is recoverable from social risk documented in fewer than 2% of encounters.</w:t>
      </w:r>
      <w:r w:rsidR="00D413D7" w:rsidRPr="000F6719">
        <w:rPr>
          <w:rFonts w:ascii="Times New Roman" w:eastAsia="Arial" w:hAnsi="Times New Roman" w:cs="Times New Roman"/>
        </w:rPr>
      </w:r>
      <w:r w:rsidRPr="000F6719">
        <w:rPr>
          <w:rFonts w:ascii="Times New Roman" w:eastAsia="Arial" w:hAnsi="Times New Roman" w:cs="Times New Roman"/>
        </w:rPr>
      </w:r>
      <w:r w:rsidR="00D413D7" w:rsidRPr="000F6719">
        <w:rPr>
          <w:rFonts w:ascii="Times New Roman" w:eastAsia="Arial" w:hAnsi="Times New Roman" w:cs="Times New Roman"/>
        </w:rPr>
      </w:r>
      <w:r w:rsidR="007A6135" w:rsidRPr="000F6719">
        <w:rPr>
          <w:rFonts w:ascii="Times New Roman" w:eastAsia="Arial" w:hAnsi="Times New Roman" w:cs="Times New Roman"/>
        </w:rPr>
      </w:r>
      <w:r w:rsidR="00D413D7" w:rsidRPr="000F6719">
        <w:rPr>
          <w:rFonts w:ascii="Times New Roman" w:eastAsia="Arial" w:hAnsi="Times New Roman" w:cs="Times New Roman"/>
        </w:rPr>
      </w:r>
      <w:r w:rsidR="004B1EB1" w:rsidRPr="000F6719">
        <w:rPr>
          <w:rFonts w:ascii="Times New Roman" w:eastAsia="Arial" w:hAnsi="Times New Roman" w:cs="Times New Roman"/>
        </w:rPr>
      </w:r>
      <w:r w:rsidR="00D413D7" w:rsidRPr="000F6719">
        <w:rPr>
          <w:rFonts w:ascii="Times New Roman" w:eastAsia="Arial" w:hAnsi="Times New Roman" w:cs="Times New Roman"/>
        </w:rPr>
      </w:r>
      <w:r w:rsidR="002352EB" w:rsidRPr="000F6719">
        <w:rPr>
          <w:rFonts w:ascii="Times New Roman" w:eastAsia="Arial" w:hAnsi="Times New Roman" w:cs="Times New Roman"/>
        </w:rPr>
      </w:r>
      <w:r w:rsidR="00D413D7" w:rsidRPr="000F6719">
        <w:rPr>
          <w:rFonts w:ascii="Times New Roman" w:eastAsia="Arial" w:hAnsi="Times New Roman" w:cs="Times New Roman"/>
        </w:rPr>
      </w:r>
      <w:r w:rsidR="00DB5A3C" w:rsidRPr="000F6719">
        <w:rPr>
          <w:rFonts w:ascii="Times New Roman" w:eastAsia="Arial" w:hAnsi="Times New Roman" w:cs="Times New Roman"/>
        </w:rPr>
      </w:r>
      <w:r w:rsidR="00D413D7" w:rsidRPr="000F6719">
        <w:rPr>
          <w:rFonts w:ascii="Times New Roman" w:eastAsia="Arial" w:hAnsi="Times New Roman" w:cs="Times New Roman"/>
        </w:rPr>
      </w:r>
      <w:r w:rsidR="005E36A1" w:rsidRPr="000F6719">
        <w:rPr>
          <w:rFonts w:ascii="Times New Roman" w:eastAsia="Arial" w:hAnsi="Times New Roman" w:cs="Times New Roman"/>
        </w:rPr>
      </w:r>
      <w:r w:rsidR="00D413D7" w:rsidRPr="000F6719">
        <w:rPr>
          <w:rFonts w:ascii="Times New Roman" w:eastAsia="Arial" w:hAnsi="Times New Roman" w:cs="Times New Roman"/>
        </w:rPr>
      </w:r>
      <w:r w:rsidR="00D413D7"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D413D7" w:rsidRPr="000F6719">
        <w:rPr>
          <w:rFonts w:ascii="Times New Roman" w:eastAsia="Arial" w:hAnsi="Times New Roman" w:cs="Times New Roman"/>
        </w:rPr>
      </w:r>
      <w:r w:rsidR="009A7915" w:rsidRPr="000F6719">
        <w:rPr>
          <w:rFonts w:ascii="Times New Roman" w:eastAsia="Arial" w:hAnsi="Times New Roman" w:cs="Times New Roman"/>
          <w:noProof/>
        </w:rPr>
      </w:r>
      <w:r w:rsidR="00D413D7" w:rsidRPr="000F6719">
        <w:rPr>
          <w:rFonts w:ascii="Times New Roman" w:eastAsia="Arial" w:hAnsi="Times New Roman" w:cs="Times New Roman"/>
        </w:rPr>
      </w:r>
      <w:r w:rsidR="00D413D7" w:rsidRPr="000F6719">
        <w:rPr>
          <w:rFonts w:ascii="Times New Roman" w:eastAsia="Arial" w:hAnsi="Times New Roman" w:cs="Times New Roman"/>
        </w:rPr>
      </w:r>
      <w:proofErr w:type="spellStart"/>
      <w:r w:rsidR="00D413D7" w:rsidRPr="000F6719">
        <w:rPr>
          <w:rFonts w:ascii="Times New Roman" w:eastAsia="Arial" w:hAnsi="Times New Roman" w:cs="Times New Roman"/>
        </w:rPr>
      </w:r>
      <w:proofErr w:type="spellEnd"/>
      <w:r w:rsidR="00D413D7" w:rsidRPr="000F6719">
        <w:rPr>
          <w:rFonts w:ascii="Times New Roman" w:eastAsia="Arial" w:hAnsi="Times New Roman" w:cs="Times New Roman"/>
        </w:rPr>
      </w:r>
      <w:r w:rsidR="00D413D7"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D413D7" w:rsidRPr="000F6719">
        <w:rPr>
          <w:rFonts w:ascii="Times New Roman" w:eastAsia="Arial" w:hAnsi="Times New Roman" w:cs="Times New Roman"/>
        </w:rPr>
      </w:r>
      <w:r w:rsidR="009A7915" w:rsidRPr="000F6719">
        <w:rPr>
          <w:rFonts w:ascii="Times New Roman" w:eastAsia="Arial" w:hAnsi="Times New Roman" w:cs="Times New Roman"/>
          <w:noProof/>
        </w:rPr>
      </w:r>
      <w:r w:rsidR="00D413D7" w:rsidRPr="000F6719">
        <w:rPr>
          <w:rFonts w:ascii="Times New Roman" w:eastAsia="Arial" w:hAnsi="Times New Roman" w:cs="Times New Roman"/>
        </w:rPr>
      </w:r>
      <w:r w:rsidR="00D413D7" w:rsidRPr="000F6719">
        <w:rPr>
          <w:rFonts w:ascii="Times New Roman" w:eastAsia="Arial" w:hAnsi="Times New Roman" w:cs="Times New Roman"/>
        </w:rPr>
      </w:r>
      <w:r w:rsidR="00D413D7"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D413D7" w:rsidRPr="000F6719">
        <w:rPr>
          <w:rFonts w:ascii="Times New Roman" w:eastAsia="Arial" w:hAnsi="Times New Roman" w:cs="Times New Roman"/>
        </w:rPr>
      </w:r>
      <w:r w:rsidR="009A7915" w:rsidRPr="000F6719">
        <w:rPr>
          <w:rFonts w:ascii="Times New Roman" w:eastAsia="Arial" w:hAnsi="Times New Roman" w:cs="Times New Roman"/>
          <w:noProof/>
        </w:rPr>
      </w:r>
      <w:r w:rsidR="00D413D7" w:rsidRPr="000F6719">
        <w:rPr>
          <w:rFonts w:ascii="Times New Roman" w:eastAsia="Arial" w:hAnsi="Times New Roman" w:cs="Times New Roman"/>
        </w:rPr>
      </w:r>
      <w:r w:rsidR="00D413D7" w:rsidRPr="000F6719">
        <w:rPr>
          <w:rFonts w:ascii="Times New Roman" w:eastAsia="Arial" w:hAnsi="Times New Roman" w:cs="Times New Roman"/>
        </w:rPr>
      </w:r>
      <w:r w:rsidR="00403B03" w:rsidRPr="000F6719">
        <w:rPr>
          <w:rFonts w:ascii="Times New Roman" w:eastAsia="Arial" w:hAnsi="Times New Roman" w:cs="Times New Roman"/>
        </w:rPr>
      </w:r>
      <w:r w:rsidR="00D413D7" w:rsidRPr="000F6719">
        <w:rPr>
          <w:rFonts w:ascii="Times New Roman" w:eastAsia="Arial" w:hAnsi="Times New Roman" w:cs="Times New Roman"/>
        </w:rPr>
      </w:r>
      <w:r w:rsidR="00D413D7" w:rsidRPr="000F6719">
        <w:rPr>
          <w:rFonts w:ascii="Times New Roman" w:eastAsia="Arial" w:hAnsi="Times New Roman" w:cs="Times New Roman"/>
        </w:rPr>
      </w:r>
      <w:r w:rsidR="009A7915" w:rsidRPr="000F6719">
        <w:rPr>
          <w:rFonts w:ascii="Times New Roman" w:eastAsia="Arial" w:hAnsi="Times New Roman" w:cs="Times New Roman"/>
        </w:rPr>
      </w:r>
      <w:r w:rsidR="00D413D7" w:rsidRPr="000F6719">
        <w:rPr>
          <w:rFonts w:ascii="Times New Roman" w:eastAsia="Arial" w:hAnsi="Times New Roman" w:cs="Times New Roman"/>
        </w:rPr>
      </w:r>
      <w:r w:rsidR="009A7915" w:rsidRPr="000F6719">
        <w:rPr>
          <w:rFonts w:ascii="Times New Roman" w:eastAsia="Arial" w:hAnsi="Times New Roman" w:cs="Times New Roman"/>
          <w:noProof/>
        </w:rPr>
      </w:r>
      <w:r w:rsidR="00D413D7" w:rsidRPr="000F6719">
        <w:rPr>
          <w:rFonts w:ascii="Times New Roman" w:eastAsia="Arial" w:hAnsi="Times New Roman" w:cs="Times New Roman"/>
        </w:rPr>
      </w:r>
      <w:r w:rsidR="00D413D7" w:rsidRPr="000F6719">
        <w:rPr>
          <w:rFonts w:ascii="Times New Roman" w:eastAsia="Arial" w:hAnsi="Times New Roman" w:cs="Times New Roman"/>
        </w:rPr>
      </w:r>
      <w:r w:rsidR="00D84DAC" w:rsidRPr="000F6719">
        <w:rPr>
          <w:rFonts w:ascii="Times New Roman" w:eastAsia="Arial" w:hAnsi="Times New Roman" w:cs="Times New Roman"/>
        </w:rPr>
      </w:r>
      <w:r w:rsidR="00867117" w:rsidRPr="00867117">
        <w:rPr>
          <w:rFonts w:ascii="Times New Roman" w:eastAsia="Arial" w:hAnsi="Times New Roman" w:cs="Times New Roman"/>
        </w:rPr>
      </w:r>
      <w:r w:rsidR="000E75F0" w:rsidRPr="000E75F0">
        <w:rPr>
          <w:rFonts w:ascii="Times New Roman" w:eastAsia="Arial" w:hAnsi="Times New Roman" w:cs="Times New Roman"/>
        </w:rPr>
      </w:r>
      <w:r w:rsidR="000E75F0">
        <w:rPr>
          <w:rFonts w:ascii="Times New Roman" w:eastAsia="Arial" w:hAnsi="Times New Roman" w:cs="Times New Roman" w:hint="eastAsia"/>
        </w:rPr>
      </w:r>
      <w:r w:rsidR="00867117" w:rsidRPr="00867117">
        <w:rPr>
          <w:rFonts w:ascii="Times New Roman" w:eastAsia="Arial" w:hAnsi="Times New Roman" w:cs="Times New Roman"/>
        </w:rPr>
      </w:r>
    </w:p>
    <w:p w14:paraId="730D4F38" w14:textId="71E04481" w:rsidR="00841284" w:rsidRPr="000F6719" w:rsidRDefault="000A696E" w:rsidP="00E3018C">
      <w:pPr>
        <w:pStyle w:val="Heading2"/>
        <w:spacing w:line="360" w:lineRule="auto"/>
        <w:rPr>
          <w:rFonts w:ascii="Times New Roman" w:hAnsi="Times New Roman" w:cs="Times New Roman"/>
        </w:rPr>
      </w:pPr>
      <w:r w:rsidRPr="000F6719">
        <w:rPr>
          <w:rFonts w:ascii="Times New Roman" w:hAnsi="Times New Roman" w:cs="Times New Roman"/>
        </w:rPr>
        <w:t>Cross-cohort comparison</w:t>
      </w:r>
    </w:p>
    <w:p w14:paraId="730D4F39" w14:textId="6C08ACCE" w:rsidR="00841284" w:rsidRPr="000F6719" w:rsidRDefault="007C163B" w:rsidP="00E3018C">
      <w:pPr>
        <w:spacing w:after="120" w:line="360" w:lineRule="auto"/>
        <w:rPr>
          <w:rFonts w:ascii="Times New Roman" w:hAnsi="Times New Roman" w:cs="Times New Roman"/>
        </w:rPr>
      </w:pPr>
      <w:r w:rsidRPr="000F6719">
        <w:rPr>
          <w:rFonts w:ascii="Times New Roman" w:eastAsia="Arial" w:hAnsi="Times New Roman" w:cs="Times New Roman"/>
        </w:rPr>
        <w:t>The MarketScan analysis is a descriptive cross-cohort comparison of clinical and demographic covariates, not external validation of the SDoH findings; formal transportability assumptions were not evaluated.[32] Sex and vaccination effects were directionally concordant, and renal and cardiac risk factors replicated in direction with larger effect sizes, likely reflecting cohort composition and the encounter-density matching strategy. Evaluating SDoH associations across populations requires individual-level social measures, which commercial claims do not provide.</w:t>
      </w:r>
      <w:r w:rsidR="00D413D7" w:rsidRPr="000F6719">
        <w:rPr>
          <w:rFonts w:ascii="Times New Roman" w:eastAsia="Arial" w:hAnsi="Times New Roman" w:cs="Times New Roman"/>
        </w:rPr>
      </w:r>
      <w:r w:rsidR="00D413D7" w:rsidRPr="000F6719">
        <w:rPr>
          <w:rFonts w:ascii="Times New Roman" w:eastAsia="Arial" w:hAnsi="Times New Roman" w:cs="Times New Roman"/>
        </w:rPr>
      </w:r>
      <w:r w:rsidR="009A7915" w:rsidRPr="000F6719">
        <w:rPr>
          <w:rFonts w:ascii="Times New Roman" w:eastAsia="Arial" w:hAnsi="Times New Roman" w:cs="Times New Roman"/>
        </w:rPr>
      </w:r>
      <w:r w:rsidR="00D413D7" w:rsidRPr="000F6719">
        <w:rPr>
          <w:rFonts w:ascii="Times New Roman" w:eastAsia="Arial" w:hAnsi="Times New Roman" w:cs="Times New Roman"/>
        </w:rPr>
      </w:r>
      <w:r w:rsidR="009A7915" w:rsidRPr="000F6719">
        <w:rPr>
          <w:rFonts w:ascii="Times New Roman" w:eastAsia="Arial" w:hAnsi="Times New Roman" w:cs="Times New Roman"/>
          <w:noProof/>
          <w:vertAlign w:val="superscript"/>
        </w:rPr>
      </w:r>
      <w:r w:rsidR="00D413D7" w:rsidRPr="000F6719">
        <w:rPr>
          <w:rFonts w:ascii="Times New Roman" w:eastAsia="Arial" w:hAnsi="Times New Roman" w:cs="Times New Roman"/>
        </w:rPr>
      </w:r>
      <w:r w:rsidR="00D413D7" w:rsidRPr="000F6719">
        <w:rPr>
          <w:rFonts w:ascii="Times New Roman" w:eastAsia="Arial" w:hAnsi="Times New Roman" w:cs="Times New Roman"/>
        </w:rPr>
      </w:r>
      <w:proofErr w:type="spellStart"/>
      <w:r w:rsidR="00D413D7" w:rsidRPr="000F6719">
        <w:rPr>
          <w:rFonts w:ascii="Times New Roman" w:eastAsia="Arial" w:hAnsi="Times New Roman" w:cs="Times New Roman"/>
        </w:rPr>
      </w:r>
      <w:proofErr w:type="spellEnd"/>
      <w:r w:rsidR="00D413D7" w:rsidRPr="000F6719">
        <w:rPr>
          <w:rFonts w:ascii="Times New Roman" w:eastAsia="Arial" w:hAnsi="Times New Roman" w:cs="Times New Roman"/>
        </w:rPr>
      </w:r>
      <w:proofErr w:type="spellStart"/>
      <w:r w:rsidR="00D413D7" w:rsidRPr="000F6719">
        <w:rPr>
          <w:rFonts w:ascii="Times New Roman" w:eastAsia="Arial" w:hAnsi="Times New Roman" w:cs="Times New Roman"/>
        </w:rPr>
      </w:r>
      <w:proofErr w:type="spellEnd"/>
      <w:r w:rsidR="00D413D7" w:rsidRPr="000F6719">
        <w:rPr>
          <w:rFonts w:ascii="Times New Roman" w:eastAsia="Arial" w:hAnsi="Times New Roman" w:cs="Times New Roman"/>
        </w:rPr>
      </w:r>
    </w:p>
    <w:p w14:paraId="730D4F3A" w14:textId="77777777" w:rsidR="00841284" w:rsidRPr="000F6719" w:rsidRDefault="00D413D7" w:rsidP="00E3018C">
      <w:pPr>
        <w:pStyle w:val="Heading2"/>
        <w:spacing w:line="360" w:lineRule="auto"/>
        <w:rPr>
          <w:rFonts w:ascii="Times New Roman" w:hAnsi="Times New Roman" w:cs="Times New Roman"/>
        </w:rPr>
      </w:pPr>
      <w:r w:rsidRPr="000F6719">
        <w:rPr>
          <w:rFonts w:ascii="Times New Roman" w:hAnsi="Times New Roman" w:cs="Times New Roman"/>
        </w:rPr>
        <w:t>Strengths</w:t>
      </w:r>
    </w:p>
    <w:p w14:paraId="730D4F3B" w14:textId="23A98EB5" w:rsidR="00841284" w:rsidRPr="000F6719" w:rsidRDefault="00D413D7" w:rsidP="00E3018C">
      <w:pPr>
        <w:spacing w:after="120" w:line="360" w:lineRule="auto"/>
        <w:rPr>
          <w:rFonts w:ascii="Times New Roman" w:hAnsi="Times New Roman" w:cs="Times New Roman"/>
        </w:rPr>
      </w:pPr>
      <w:r w:rsidRPr="000F6719">
        <w:rPr>
          <w:rFonts w:ascii="Times New Roman" w:eastAsia="Arial" w:hAnsi="Times New Roman" w:cs="Times New Roman"/>
        </w:rPr>
        <w:t>This study combines six survey-derived individual-level domains, a propensity-matched encounter-density design, and both domain-specific and joint models in a cohort enriched for underrepresented populations.[19, 20] Wave-stratified analyses show that income associations persisted while the racial association narrowed.</w:t>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noProof/>
        </w:rPr>
      </w:r>
      <w:r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noProof/>
        </w:rPr>
      </w:r>
      <w:r w:rsidRPr="000F6719">
        <w:rPr>
          <w:rFonts w:ascii="Times New Roman" w:eastAsia="Arial" w:hAnsi="Times New Roman" w:cs="Times New Roman"/>
        </w:rPr>
      </w:r>
      <w:r w:rsidRPr="000F6719">
        <w:rPr>
          <w:rFonts w:ascii="Times New Roman" w:eastAsia="Arial" w:hAnsi="Times New Roman" w:cs="Times New Roman"/>
        </w:rPr>
      </w:r>
    </w:p>
    <w:p w14:paraId="730D4F3C" w14:textId="77777777" w:rsidR="00841284" w:rsidRPr="000F6719" w:rsidRDefault="00D413D7" w:rsidP="00E3018C">
      <w:pPr>
        <w:pStyle w:val="Heading2"/>
        <w:spacing w:line="360" w:lineRule="auto"/>
        <w:rPr>
          <w:rFonts w:ascii="Times New Roman" w:hAnsi="Times New Roman" w:cs="Times New Roman"/>
        </w:rPr>
      </w:pPr>
      <w:r w:rsidRPr="000F6719">
        <w:rPr>
          <w:rFonts w:ascii="Times New Roman" w:hAnsi="Times New Roman" w:cs="Times New Roman"/>
        </w:rPr>
        <w:t>Limitations</w:t>
      </w:r>
    </w:p>
    <w:p w14:paraId="730D4F3D" w14:textId="1B1F1C12" w:rsidR="00841284" w:rsidRPr="000F6719" w:rsidRDefault="00D413D7" w:rsidP="00E3018C">
      <w:pPr>
        <w:spacing w:after="120" w:line="360" w:lineRule="auto"/>
        <w:rPr>
          <w:rFonts w:ascii="Times New Roman" w:hAnsi="Times New Roman" w:cs="Times New Roman"/>
        </w:rPr>
      </w:pPr>
      <w:r w:rsidRPr="000F6719">
        <w:rPr>
          <w:rFonts w:ascii="Times New Roman" w:eastAsia="Arial" w:hAnsi="Times New Roman" w:cs="Times New Roman"/>
        </w:rPr>
        <w:t>All of Us is a volunteer cohort with higher health literacy and digital access than the general population,[46] and it oversampled populations underrepresented in biomedical research, which strengthens power for minority subgroup analyses but limits generalizability. The disability domain was least complete because the ACS-6 items were added to the survey on November 10, 2020, so earlier respondents have no response unless they later completed them. Vaccination capture was incomplete and many index dates preceded vaccine availability. SDoH were measured a median of 692 days before infection, so pandemic-era changes in income or employment are not captured, and income missingness was differential (26.7% of cases vs 19.8% of controls) with the missing category itself carrying elevated odds. Our hospitalization rate (16.2%) exceeds the 2.6% Choi et al. report in the same data source; they restricted to primary inpatient encounters in 2021-2023, so most of the gap reflects the outcome definition rather than the cohort. Matching on encounter density reduces but may not eliminate informative presence bias,[17] the inverse pulmonary and liver associations likely reflect residual confounding rather than protection, and the strict phenotype may not fully separate COVID-related admissions from admissions with incidental positivity. Because diagnosis count may lie on the SDoH-to-hospitalization causal pathway, our estimates are conservative within-stratum associations rather than total causal effects. The Omicron joint model returned a convergence warning for one covariate, although the Black-race coefficient was stable across restarts. Because matching used replacement, the effective control sample size (6,952) is smaller than the 15,856 control observations, so nominal precision overstates the information available.</w:t>
      </w:r>
      <w:r w:rsidRPr="000F6719">
        <w:rPr>
          <w:rFonts w:ascii="Times New Roman" w:eastAsia="Arial" w:hAnsi="Times New Roman" w:cs="Times New Roman"/>
        </w:rPr>
      </w:r>
      <w:r w:rsidR="009A7915"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noProof/>
        </w:rPr>
      </w:r>
      <w:r w:rsidRPr="000F6719">
        <w:rPr>
          <w:rFonts w:ascii="Times New Roman" w:eastAsia="Arial" w:hAnsi="Times New Roman" w:cs="Times New Roman"/>
        </w:rPr>
      </w:r>
      <w:r w:rsidRPr="000F6719">
        <w:rPr>
          <w:rFonts w:ascii="Times New Roman" w:eastAsia="Arial" w:hAnsi="Times New Roman" w:cs="Times New Roman"/>
        </w:rPr>
      </w:r>
      <w:r w:rsidR="005C48C4" w:rsidRPr="000F6719">
        <w:rPr>
          <w:rFonts w:ascii="Times New Roman" w:eastAsia="Arial" w:hAnsi="Times New Roman" w:cs="Times New Roman"/>
        </w:rPr>
      </w:r>
      <w:r w:rsidR="00B53896" w:rsidRPr="000F6719">
        <w:rPr>
          <w:rFonts w:ascii="Times New Roman" w:eastAsia="Arial" w:hAnsi="Times New Roman" w:cs="Times New Roman"/>
        </w:rPr>
      </w:r>
      <w:r w:rsidR="00DD5758" w:rsidRPr="000F6719">
        <w:rPr>
          <w:rFonts w:ascii="Times New Roman" w:eastAsia="Arial" w:hAnsi="Times New Roman" w:cs="Times New Roman"/>
        </w:rPr>
      </w:r>
      <w:r w:rsidR="00FF2D68" w:rsidRPr="000F6719">
        <w:rPr>
          <w:rFonts w:ascii="Times New Roman" w:eastAsia="Arial" w:hAnsi="Times New Roman" w:cs="Times New Roman"/>
        </w:rPr>
      </w:r>
      <w:r w:rsidR="00B36011"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r w:rsidR="00C363DA" w:rsidRPr="000F6719">
        <w:rPr>
          <w:rFonts w:ascii="Times New Roman" w:eastAsia="Arial" w:hAnsi="Times New Roman" w:cs="Times New Roman"/>
        </w:rPr>
      </w:r>
      <w:r w:rsidRPr="000F6719">
        <w:rPr>
          <w:rFonts w:ascii="Times New Roman" w:eastAsia="Arial" w:hAnsi="Times New Roman" w:cs="Times New Roman"/>
        </w:rPr>
      </w:r>
      <w:r w:rsidR="00367B43" w:rsidRPr="000F6719">
        <w:rPr>
          <w:rFonts w:ascii="Times New Roman" w:eastAsia="Arial" w:hAnsi="Times New Roman" w:cs="Times New Roman"/>
        </w:rPr>
      </w:r>
      <w:r w:rsidR="00367B43" w:rsidRPr="000F6719" w:rsidDel="00367B43">
        <w:rPr>
          <w:rFonts w:ascii="Times New Roman" w:eastAsia="Arial" w:hAnsi="Times New Roman" w:cs="Times New Roman"/>
        </w:rPr>
      </w:r>
      <w:r w:rsidRPr="000F6719">
        <w:rPr>
          <w:rFonts w:ascii="Times New Roman" w:eastAsia="Arial" w:hAnsi="Times New Roman" w:cs="Times New Roman"/>
        </w:rPr>
      </w:r>
      <w:r w:rsidR="00E12C11" w:rsidRPr="000F6719">
        <w:rPr>
          <w:rFonts w:ascii="Times New Roman" w:eastAsia="Arial" w:hAnsi="Times New Roman" w:cs="Times New Roman"/>
        </w:rPr>
      </w:r>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r w:rsidR="008607DE" w:rsidRPr="000F6719">
        <w:rPr>
          <w:rFonts w:ascii="Times New Roman" w:eastAsia="Arial" w:hAnsi="Times New Roman" w:cs="Times New Roman"/>
        </w:rPr>
      </w:r>
      <w:proofErr w:type="spellStart"/>
      <w:r w:rsidR="008607DE" w:rsidRPr="000F6719">
        <w:rPr>
          <w:rFonts w:ascii="Times New Roman" w:eastAsia="Arial" w:hAnsi="Times New Roman" w:cs="Times New Roman"/>
        </w:rPr>
      </w:r>
      <w:proofErr w:type="spellEnd"/>
      <w:r w:rsidR="008607DE"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noProof/>
        </w:rPr>
      </w:r>
      <w:r w:rsidRPr="000F6719">
        <w:rPr>
          <w:rFonts w:ascii="Times New Roman" w:eastAsia="Arial" w:hAnsi="Times New Roman" w:cs="Times New Roman"/>
        </w:rPr>
      </w:r>
      <w:r w:rsidRPr="000F6719">
        <w:rPr>
          <w:rFonts w:ascii="Times New Roman" w:eastAsia="Arial" w:hAnsi="Times New Roman" w:cs="Times New Roman"/>
        </w:rPr>
      </w:r>
      <w:r w:rsidR="008607DE" w:rsidRPr="000F6719">
        <w:rPr>
          <w:rFonts w:ascii="Times New Roman" w:eastAsia="Arial" w:hAnsi="Times New Roman" w:cs="Times New Roman"/>
        </w:rPr>
      </w:r>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
    <w:p w14:paraId="730D4F3E" w14:textId="77777777" w:rsidR="00841284" w:rsidRPr="000F6719" w:rsidRDefault="00841284" w:rsidP="00E3018C">
      <w:pPr>
        <w:spacing w:line="360" w:lineRule="auto"/>
        <w:rPr>
          <w:rFonts w:ascii="Times New Roman" w:hAnsi="Times New Roman" w:cs="Times New Roman"/>
        </w:rPr>
      </w:pPr>
    </w:p>
    <w:p w14:paraId="730D4F3F" w14:textId="77777777" w:rsidR="00841284" w:rsidRPr="000F6719" w:rsidRDefault="00D413D7" w:rsidP="00E3018C">
      <w:pPr>
        <w:pStyle w:val="Heading1"/>
        <w:spacing w:line="360" w:lineRule="auto"/>
        <w:rPr>
          <w:rFonts w:ascii="Times New Roman" w:hAnsi="Times New Roman" w:cs="Times New Roman"/>
        </w:rPr>
      </w:pPr>
      <w:r w:rsidRPr="000F6719">
        <w:rPr>
          <w:rFonts w:ascii="Times New Roman" w:hAnsi="Times New Roman" w:cs="Times New Roman"/>
        </w:rPr>
        <w:t>CONCLUSIONS</w:t>
      </w:r>
    </w:p>
    <w:p w14:paraId="730D4F40" w14:textId="18F01D61" w:rsidR="00841284" w:rsidRPr="000F6719" w:rsidRDefault="00D413D7" w:rsidP="00E3018C">
      <w:pPr>
        <w:spacing w:after="120" w:line="360" w:lineRule="auto"/>
        <w:rPr>
          <w:rFonts w:ascii="Times New Roman" w:hAnsi="Times New Roman" w:cs="Times New Roman"/>
        </w:rPr>
      </w:pPr>
      <w:r w:rsidRPr="000F6719">
        <w:rPr>
          <w:rFonts w:ascii="Times New Roman" w:eastAsia="Arial" w:hAnsi="Times New Roman" w:cs="Times New Roman"/>
        </w:rPr>
        <w:t>In this matched All of Us cohort, Medicaid coverage, unemployment, renting, and the two lowest income strata were independently associated with COVID-19 hospitalization after clinical adjustment; two upper-middle income strata were also elevated, so the income association was not monotonic. The Black-race association narrowed by the Omicron period while SDoH-associated coefficient attenuation rose between the pre-Delta and Delta waves, although the waves were not compared formally. Income associations persisted through Omicron despite available vaccines. These findings identify screenable social risk dimensions for respiratory-surge preparedness.</w:t>
      </w:r>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
    <w:p w14:paraId="730D4F41" w14:textId="77777777" w:rsidR="00841284" w:rsidRPr="000F6719" w:rsidRDefault="00841284" w:rsidP="00E3018C">
      <w:pPr>
        <w:spacing w:line="360" w:lineRule="auto"/>
        <w:rPr>
          <w:rFonts w:ascii="Times New Roman" w:hAnsi="Times New Roman" w:cs="Times New Roman"/>
        </w:rPr>
      </w:pPr>
    </w:p>
    <w:p w14:paraId="730D4F42" w14:textId="77777777" w:rsidR="00841284" w:rsidRPr="000F6719" w:rsidRDefault="00D413D7" w:rsidP="00E3018C">
      <w:pPr>
        <w:pStyle w:val="Heading1"/>
        <w:spacing w:line="360" w:lineRule="auto"/>
        <w:rPr>
          <w:rFonts w:ascii="Times New Roman" w:hAnsi="Times New Roman" w:cs="Times New Roman"/>
        </w:rPr>
      </w:pPr>
      <w:r w:rsidRPr="000F6719">
        <w:rPr>
          <w:rFonts w:ascii="Times New Roman" w:hAnsi="Times New Roman" w:cs="Times New Roman"/>
        </w:rPr>
        <w:t>ACKNOWLEDGMENTS</w:t>
      </w:r>
    </w:p>
    <w:p w14:paraId="730D4F43" w14:textId="77777777" w:rsidR="00841284" w:rsidRPr="000F6719" w:rsidRDefault="00D413D7" w:rsidP="00E3018C">
      <w:pPr>
        <w:spacing w:after="120" w:line="360" w:lineRule="auto"/>
        <w:rPr>
          <w:rFonts w:ascii="Times New Roman" w:hAnsi="Times New Roman" w:cs="Times New Roman"/>
        </w:rPr>
      </w:pPr>
      <w:r w:rsidRPr="000F6719">
        <w:rPr>
          <w:rFonts w:ascii="Times New Roman" w:eastAsia="Arial" w:hAnsi="Times New Roman" w:cs="Times New Roman"/>
          <w:highlight w:val="yellow"/>
        </w:rPr>
        <w:t>The All of Us Research Program was supported by the National Institutes of Health, Office of the Director: Regional Medical Centers: 1 OT2 OD026549; 1 OT2 OD026554; 1 OT2 OD026557; 1 OT2 OD026556; 1 OT2 OD026550; 1 OT2 OD026552; 1 OT2 OD026553; 1 OT2 OD026548; 1 OT2 OD026551; 1 OT2 OD026555; IAA #: AOD 16037; Federally Qualified Health Centers: HHSN 263201600085U; Data and Research Center: 5 U2C OD023196; Biobank: 1 U24 OD023121; The Participant Center: U24 OD023176; Participant Technology Systems Center: 1 U24 OD023163; Communications and Engagement: 3 OT2 OD023205; 3 OT2 OD023206; and Community Partners: 1 OT2 OD025277; 3 OT2 OD025315; 1 OT2 OD025337; 1 OT2 OD025276. The All of Us Research Program would not be possible without the partnership of its participants.</w:t>
      </w:r>
    </w:p>
    <w:p w14:paraId="730D4F44" w14:textId="77777777" w:rsidR="00841284" w:rsidRPr="000F6719" w:rsidRDefault="00841284" w:rsidP="00E3018C">
      <w:pPr>
        <w:spacing w:line="360" w:lineRule="auto"/>
        <w:rPr>
          <w:rFonts w:ascii="Times New Roman" w:hAnsi="Times New Roman" w:cs="Times New Roman"/>
        </w:rPr>
      </w:pPr>
    </w:p>
    <w:p w14:paraId="730D4F45" w14:textId="77777777" w:rsidR="00841284" w:rsidRPr="000F6719" w:rsidRDefault="00D413D7" w:rsidP="00E3018C">
      <w:pPr>
        <w:pStyle w:val="Heading1"/>
        <w:spacing w:line="360" w:lineRule="auto"/>
        <w:rPr>
          <w:rFonts w:ascii="Times New Roman" w:hAnsi="Times New Roman" w:cs="Times New Roman"/>
        </w:rPr>
      </w:pPr>
      <w:r w:rsidRPr="000F6719">
        <w:rPr>
          <w:rFonts w:ascii="Times New Roman" w:hAnsi="Times New Roman" w:cs="Times New Roman"/>
        </w:rPr>
        <w:t>AUTHOR CONTRIBUTIONS</w:t>
      </w:r>
    </w:p>
    <w:p w14:paraId="730D4F46" w14:textId="77777777" w:rsidR="00841284" w:rsidRPr="000F6719" w:rsidRDefault="00D413D7" w:rsidP="00E3018C">
      <w:pPr>
        <w:spacing w:after="120" w:line="360" w:lineRule="auto"/>
        <w:rPr>
          <w:rFonts w:ascii="Times New Roman" w:hAnsi="Times New Roman" w:cs="Times New Roman"/>
        </w:rPr>
      </w:pPr>
      <w:r w:rsidRPr="000F6719">
        <w:rPr>
          <w:rFonts w:ascii="Times New Roman" w:eastAsia="Arial" w:hAnsi="Times New Roman" w:cs="Times New Roman"/>
          <w:highlight w:val="yellow"/>
        </w:rPr>
        <w:t xml:space="preserve">Haining Wang: conceptualization, methodology, formal analysis, investigation, data curation, software, validation, visualization, writing – original draft, writing – review and editing. Yihan Zhang: data curation, writing – review and editing. Chenxi Xiong: data curation, writing – review and editing. Zhao Zhang: writing – review and editing. </w:t>
      </w:r>
      <w:proofErr w:type="spellStart"/>
      <w:r w:rsidRPr="000F6719">
        <w:rPr>
          <w:rFonts w:ascii="Times New Roman" w:eastAsia="Arial" w:hAnsi="Times New Roman" w:cs="Times New Roman"/>
          <w:highlight w:val="yellow"/>
        </w:rPr>
        <w:t>Jiangqiong</w:t>
      </w:r>
      <w:proofErr w:type="spellEnd"/>
      <w:r w:rsidRPr="000F6719">
        <w:rPr>
          <w:rFonts w:ascii="Times New Roman" w:eastAsia="Arial" w:hAnsi="Times New Roman" w:cs="Times New Roman"/>
          <w:highlight w:val="yellow"/>
        </w:rPr>
        <w:t xml:space="preserve"> Li: writing – review and editing. Hengyi Fu: conceptualization, writing – review and editing. Xiaojun Yuan: conceptualization, writing – review and editing. </w:t>
      </w:r>
      <w:proofErr w:type="spellStart"/>
      <w:r w:rsidRPr="000F6719">
        <w:rPr>
          <w:rFonts w:ascii="Times New Roman" w:eastAsia="Arial" w:hAnsi="Times New Roman" w:cs="Times New Roman"/>
          <w:highlight w:val="yellow"/>
        </w:rPr>
        <w:t>Xiaochun</w:t>
      </w:r>
      <w:proofErr w:type="spellEnd"/>
      <w:r w:rsidRPr="000F6719">
        <w:rPr>
          <w:rFonts w:ascii="Times New Roman" w:eastAsia="Arial" w:hAnsi="Times New Roman" w:cs="Times New Roman"/>
          <w:highlight w:val="yellow"/>
        </w:rPr>
        <w:t xml:space="preserve"> Li: methodology, writing – review and editing. Jing Su: conceptualization, methodology, supervision, funding acquisition, validation, writing – review and editing.</w:t>
      </w:r>
    </w:p>
    <w:p w14:paraId="730D4F47" w14:textId="77777777" w:rsidR="00841284" w:rsidRPr="000F6719" w:rsidRDefault="00841284" w:rsidP="00E3018C">
      <w:pPr>
        <w:spacing w:line="360" w:lineRule="auto"/>
        <w:rPr>
          <w:rFonts w:ascii="Times New Roman" w:hAnsi="Times New Roman" w:cs="Times New Roman"/>
        </w:rPr>
      </w:pPr>
    </w:p>
    <w:p w14:paraId="730D4F48" w14:textId="77777777" w:rsidR="00841284" w:rsidRPr="000F6719" w:rsidRDefault="00D413D7" w:rsidP="00E3018C">
      <w:pPr>
        <w:pStyle w:val="Heading1"/>
        <w:spacing w:line="360" w:lineRule="auto"/>
        <w:rPr>
          <w:rFonts w:ascii="Times New Roman" w:hAnsi="Times New Roman" w:cs="Times New Roman"/>
        </w:rPr>
      </w:pPr>
      <w:r w:rsidRPr="000F6719">
        <w:rPr>
          <w:rFonts w:ascii="Times New Roman" w:hAnsi="Times New Roman" w:cs="Times New Roman"/>
        </w:rPr>
        <w:t>FUNDING</w:t>
      </w:r>
    </w:p>
    <w:p w14:paraId="730D4F49" w14:textId="77777777" w:rsidR="00841284" w:rsidRPr="000F6719" w:rsidRDefault="00D413D7" w:rsidP="00E3018C">
      <w:pPr>
        <w:spacing w:after="120" w:line="360" w:lineRule="auto"/>
        <w:rPr>
          <w:rFonts w:ascii="Times New Roman" w:hAnsi="Times New Roman" w:cs="Times New Roman"/>
        </w:rPr>
      </w:pPr>
      <w:r w:rsidRPr="000F6719">
        <w:rPr>
          <w:rFonts w:ascii="Times New Roman" w:eastAsia="Arial" w:hAnsi="Times New Roman" w:cs="Times New Roman"/>
          <w:highlight w:val="yellow"/>
        </w:rPr>
        <w:t>This work was supported partially by the National Library of Medicine of the National Institutes of Health (R01LM013771). It was also supported by the Indiana University Precision Health Initiative and the Indiana University Melvin and Bren Simon Comprehensive Cancer Center Support Grant from the National Cancer Institute (P30CA082709). The content is solely the responsibility of the authors and does not necessarily represent the official views of the sponsors.</w:t>
      </w:r>
    </w:p>
    <w:p w14:paraId="730D4F4A" w14:textId="77777777" w:rsidR="00841284" w:rsidRPr="000F6719" w:rsidRDefault="00841284" w:rsidP="00E3018C">
      <w:pPr>
        <w:spacing w:line="360" w:lineRule="auto"/>
        <w:rPr>
          <w:rFonts w:ascii="Times New Roman" w:hAnsi="Times New Roman" w:cs="Times New Roman"/>
        </w:rPr>
      </w:pPr>
    </w:p>
    <w:p w14:paraId="730D4F4B" w14:textId="77777777" w:rsidR="00841284" w:rsidRPr="000F6719" w:rsidRDefault="00D413D7" w:rsidP="00E3018C">
      <w:pPr>
        <w:pStyle w:val="Heading1"/>
        <w:spacing w:line="360" w:lineRule="auto"/>
        <w:rPr>
          <w:rFonts w:ascii="Times New Roman" w:hAnsi="Times New Roman" w:cs="Times New Roman"/>
        </w:rPr>
      </w:pPr>
      <w:r w:rsidRPr="000F6719">
        <w:rPr>
          <w:rFonts w:ascii="Times New Roman" w:hAnsi="Times New Roman" w:cs="Times New Roman"/>
        </w:rPr>
        <w:t>CONFLICTS OF INTEREST</w:t>
      </w:r>
    </w:p>
    <w:p w14:paraId="730D4F4C" w14:textId="77777777" w:rsidR="00841284" w:rsidRPr="000F6719" w:rsidRDefault="00D413D7" w:rsidP="00E3018C">
      <w:pPr>
        <w:spacing w:after="120" w:line="360" w:lineRule="auto"/>
        <w:rPr>
          <w:rFonts w:ascii="Times New Roman" w:hAnsi="Times New Roman" w:cs="Times New Roman"/>
        </w:rPr>
      </w:pPr>
      <w:r w:rsidRPr="000F6719">
        <w:rPr>
          <w:rFonts w:ascii="Times New Roman" w:eastAsia="Arial" w:hAnsi="Times New Roman" w:cs="Times New Roman"/>
        </w:rPr>
        <w:t>The authors have no conflict of interest to disclose.</w:t>
      </w:r>
    </w:p>
    <w:p w14:paraId="730D4F4D" w14:textId="77777777" w:rsidR="00841284" w:rsidRPr="000F6719" w:rsidRDefault="00841284" w:rsidP="00E3018C">
      <w:pPr>
        <w:spacing w:line="360" w:lineRule="auto"/>
        <w:rPr>
          <w:rFonts w:ascii="Times New Roman" w:hAnsi="Times New Roman" w:cs="Times New Roman"/>
        </w:rPr>
      </w:pPr>
    </w:p>
    <w:p w14:paraId="730D4F4E" w14:textId="77777777" w:rsidR="00841284" w:rsidRPr="000F6719" w:rsidRDefault="00D413D7" w:rsidP="00E3018C">
      <w:pPr>
        <w:pStyle w:val="Heading1"/>
        <w:spacing w:line="360" w:lineRule="auto"/>
        <w:rPr>
          <w:rFonts w:ascii="Times New Roman" w:hAnsi="Times New Roman" w:cs="Times New Roman"/>
        </w:rPr>
      </w:pPr>
      <w:r w:rsidRPr="000F6719">
        <w:rPr>
          <w:rFonts w:ascii="Times New Roman" w:hAnsi="Times New Roman" w:cs="Times New Roman"/>
        </w:rPr>
        <w:t>DATA AVAILABILITY</w:t>
      </w:r>
    </w:p>
    <w:p w14:paraId="730D4F4F" w14:textId="45F69CA3" w:rsidR="00841284" w:rsidRPr="000F6719" w:rsidRDefault="00D413D7" w:rsidP="00E3018C">
      <w:pPr>
        <w:spacing w:after="120" w:line="360" w:lineRule="auto"/>
        <w:rPr>
          <w:rFonts w:ascii="Times New Roman" w:eastAsia="Arial" w:hAnsi="Times New Roman" w:cs="Times New Roman"/>
        </w:rPr>
      </w:pPr>
      <w:r w:rsidRPr="000F6719">
        <w:rPr>
          <w:rFonts w:ascii="Times New Roman" w:eastAsia="Arial" w:hAnsi="Times New Roman" w:cs="Times New Roman"/>
        </w:rPr>
        <w:t xml:space="preserve">All data and codes are available at All of Us Research Workbench for users authorized to access All of Us Controlled Tier Data v7. MarketScan data are available under license from </w:t>
      </w:r>
      <w:proofErr w:type="spellStart"/>
      <w:r w:rsidRPr="000F6719">
        <w:rPr>
          <w:rFonts w:ascii="Times New Roman" w:eastAsia="Arial" w:hAnsi="Times New Roman" w:cs="Times New Roman"/>
        </w:rPr>
        <w:t>Merative</w:t>
      </w:r>
      <w:proofErr w:type="spellEnd"/>
      <w:r w:rsidRPr="000F6719">
        <w:rPr>
          <w:rFonts w:ascii="Times New Roman" w:eastAsia="Arial" w:hAnsi="Times New Roman" w:cs="Times New Roman"/>
        </w:rPr>
        <w:t xml:space="preserve">. Codes for reproducing the analysis are available at </w:t>
      </w:r>
      <w:hyperlink r:id="rId13" w:history="1">
        <w:r w:rsidRPr="000F6719">
          <w:rPr>
            <w:rStyle w:val="Hyperlink"/>
            <w:rFonts w:ascii="Times New Roman" w:eastAsia="Arial" w:hAnsi="Times New Roman" w:cs="Times New Roman"/>
          </w:rPr>
          <w:t>https://github.com/Su-informatics-lab/aou_covid</w:t>
        </w:r>
      </w:hyperlink>
      <w:r w:rsidRPr="000F6719">
        <w:rPr>
          <w:rFonts w:ascii="Times New Roman" w:eastAsia="Arial" w:hAnsi="Times New Roman" w:cs="Times New Roman"/>
        </w:rPr>
        <w:t>.</w:t>
      </w:r>
    </w:p>
    <w:p w14:paraId="53839B95" w14:textId="44E131A1" w:rsidR="00C4769D" w:rsidRPr="000F6719" w:rsidRDefault="00C4769D" w:rsidP="00E3018C">
      <w:pPr>
        <w:spacing w:after="120" w:line="360" w:lineRule="auto"/>
        <w:rPr>
          <w:rFonts w:ascii="Times New Roman" w:hAnsi="Times New Roman" w:cs="Times New Roman"/>
        </w:rPr>
      </w:pPr>
    </w:p>
    <w:p w14:paraId="0E39C04A" w14:textId="77777777" w:rsidR="00C4769D" w:rsidRPr="000F6719" w:rsidRDefault="00C4769D" w:rsidP="00E3018C">
      <w:pPr>
        <w:spacing w:line="360" w:lineRule="auto"/>
        <w:rPr>
          <w:rFonts w:ascii="Times New Roman" w:hAnsi="Times New Roman" w:cs="Times New Roman"/>
        </w:rPr>
      </w:pPr>
      <w:r w:rsidRPr="000F6719">
        <w:rPr>
          <w:rFonts w:ascii="Times New Roman" w:hAnsi="Times New Roman" w:cs="Times New Roman"/>
        </w:rPr>
        <w:br w:type="page"/>
      </w:r>
    </w:p>
    <w:p w14:paraId="2834D353" w14:textId="77777777" w:rsidR="00C4769D" w:rsidRPr="000F6719" w:rsidRDefault="00C4769D" w:rsidP="00E3018C">
      <w:pPr>
        <w:pStyle w:val="Heading1"/>
        <w:spacing w:line="360" w:lineRule="auto"/>
        <w:rPr>
          <w:rFonts w:ascii="Times New Roman" w:hAnsi="Times New Roman" w:cs="Times New Roman"/>
        </w:rPr>
      </w:pPr>
      <w:r w:rsidRPr="000F6719">
        <w:rPr>
          <w:rFonts w:ascii="Times New Roman" w:hAnsi="Times New Roman" w:cs="Times New Roman"/>
        </w:rPr>
        <w:lastRenderedPageBreak/>
        <w:t>REFERENCES</w:t>
      </w:r>
    </w:p>
    <w:p w14:paraId="5B77304C" w14:textId="77777777" w:rsidR="009A7915" w:rsidRPr="000F6719" w:rsidRDefault="00D6314F" w:rsidP="009A7915">
      <w:pPr>
        <w:pStyle w:val="EndNoteBibliography"/>
        <w:ind w:left="720" w:hanging="720"/>
        <w:rPr>
          <w:rFonts w:ascii="Times New Roman" w:hAnsi="Times New Roman" w:cs="Times New Roman"/>
          <w:noProof/>
        </w:rPr>
      </w:pPr>
      <w:r w:rsidRPr="000F6719">
        <w:rPr>
          <w:rFonts w:ascii="Times New Roman" w:eastAsia="Arial" w:hAnsi="Times New Roman" w:cs="Times New Roman"/>
        </w:rPr>
        <w:t>1. World Health Organization. Social determinants of health: progress of the World report on social determinants of health equity. Report by the Director-General. Document EB154/21. Geneva: World Health Organization, 2023.</w:t>
      </w:r>
      <w:r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hAnsi="Times New Roman" w:cs="Times New Roman"/>
          <w:noProof/>
        </w:rPr>
      </w:r>
    </w:p>
    <w:p w14:paraId="057F631A"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2. Global Preparedness Monitoring Board. A Fragile State of Preparedness: 2023 Report on the State of the World's Preparedness. Geneva: World Health Organization, 2023.</w:t>
      </w:r>
    </w:p>
    <w:p w14:paraId="3294DBBF"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3. Hoven H, Dragano N, Angerer P, et al. Striving for Health Equity: The Importance of Social Determinants of Health and Ethical Considerations in Pandemic Preparedness Planning. Int J Public Health 2022;</w:t>
      </w:r>
      <w:r w:rsidRPr="000F6719">
        <w:rPr>
          <w:rFonts w:ascii="Times New Roman" w:hAnsi="Times New Roman" w:cs="Times New Roman"/>
          <w:b/>
          <w:noProof/>
        </w:rPr>
        <w:t>67</w:t>
      </w:r>
      <w:r w:rsidRPr="000F6719">
        <w:rPr>
          <w:rFonts w:ascii="Times New Roman" w:hAnsi="Times New Roman" w:cs="Times New Roman"/>
          <w:noProof/>
        </w:rPr>
        <w:t>:1604542 doi: 10.3389/ijph.2022.1604542 [published Online First: 20220405].</w:t>
      </w:r>
    </w:p>
    <w:p w14:paraId="1E0BB896"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4. Acosta AM, Garg S, Pham H, et al. Racial and Ethnic Disparities in Rates of COVID-19-Associated Hospitalization, Intensive Care Unit Admission, and In-Hospital Death in the United States From March 2020 to February 2021. JAMA Netw Open 2021;</w:t>
      </w:r>
      <w:r w:rsidRPr="000F6719">
        <w:rPr>
          <w:rFonts w:ascii="Times New Roman" w:hAnsi="Times New Roman" w:cs="Times New Roman"/>
          <w:b/>
          <w:noProof/>
        </w:rPr>
        <w:t>4</w:t>
      </w:r>
      <w:r w:rsidRPr="000F6719">
        <w:rPr>
          <w:rFonts w:ascii="Times New Roman" w:hAnsi="Times New Roman" w:cs="Times New Roman"/>
          <w:noProof/>
        </w:rPr>
        <w:t>(10):e2130479 doi: 10.1001/jamanetworkopen.2021.30479 [published Online First: 20211001].</w:t>
      </w:r>
    </w:p>
    <w:p w14:paraId="7F4B947F"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5. Romano SD, Blackstock AJ, Taylor EV, et al. Trends in Racial and Ethnic Disparities in COVID-19 Hospitalizations, by Region - United States, March-December 2020. MMWR Morb Mortal Wkly Rep 2021;</w:t>
      </w:r>
      <w:r w:rsidRPr="000F6719">
        <w:rPr>
          <w:rFonts w:ascii="Times New Roman" w:hAnsi="Times New Roman" w:cs="Times New Roman"/>
          <w:b/>
          <w:noProof/>
        </w:rPr>
        <w:t>70</w:t>
      </w:r>
      <w:r w:rsidRPr="000F6719">
        <w:rPr>
          <w:rFonts w:ascii="Times New Roman" w:hAnsi="Times New Roman" w:cs="Times New Roman"/>
          <w:noProof/>
        </w:rPr>
        <w:t>(15):560–65 doi: 10.15585/mmwr.mm7015e2 [published Online First: 20210416].</w:t>
      </w:r>
    </w:p>
    <w:p w14:paraId="77B21A72"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6. Mude W, Oguoma VM, Nyanhanda T, Mwanri L, Njue C. Racial disparities in COVID-19 pandemic cases, hospitalisations, and deaths: A systematic review and meta-analysis. J Glob Health 2021;</w:t>
      </w:r>
      <w:r w:rsidRPr="000F6719">
        <w:rPr>
          <w:rFonts w:ascii="Times New Roman" w:hAnsi="Times New Roman" w:cs="Times New Roman"/>
          <w:b/>
          <w:noProof/>
        </w:rPr>
        <w:t>11</w:t>
      </w:r>
      <w:r w:rsidRPr="000F6719">
        <w:rPr>
          <w:rFonts w:ascii="Times New Roman" w:hAnsi="Times New Roman" w:cs="Times New Roman"/>
          <w:noProof/>
        </w:rPr>
        <w:t>:05015 doi: 10.7189/jogh.11.05015 [published Online First: 20210626].</w:t>
      </w:r>
    </w:p>
    <w:p w14:paraId="647E14CB"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7. Karmakar M, Lantz PM, Tipirneni R. Association of Social and Demographic Factors With COVID-19 Incidence and Death Rates in the US. JAMA Netw Open 2021;</w:t>
      </w:r>
      <w:r w:rsidRPr="000F6719">
        <w:rPr>
          <w:rFonts w:ascii="Times New Roman" w:hAnsi="Times New Roman" w:cs="Times New Roman"/>
          <w:b/>
          <w:noProof/>
        </w:rPr>
        <w:t>4</w:t>
      </w:r>
      <w:r w:rsidRPr="000F6719">
        <w:rPr>
          <w:rFonts w:ascii="Times New Roman" w:hAnsi="Times New Roman" w:cs="Times New Roman"/>
          <w:noProof/>
        </w:rPr>
        <w:t>(1):e2036462 doi: 10.1001/jamanetworkopen.2020.36462 [published Online First: 20210104].</w:t>
      </w:r>
    </w:p>
    <w:p w14:paraId="340EA7A3"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8. Goyal P, Schenck E, Wu Y, et al. Influence of social deprivation index on in-hospital outcomes of COVID-19. Sci Rep 2023;</w:t>
      </w:r>
      <w:r w:rsidRPr="000F6719">
        <w:rPr>
          <w:rFonts w:ascii="Times New Roman" w:hAnsi="Times New Roman" w:cs="Times New Roman"/>
          <w:b/>
          <w:noProof/>
        </w:rPr>
        <w:t>13</w:t>
      </w:r>
      <w:r w:rsidRPr="000F6719">
        <w:rPr>
          <w:rFonts w:ascii="Times New Roman" w:hAnsi="Times New Roman" w:cs="Times New Roman"/>
          <w:noProof/>
        </w:rPr>
        <w:t>(1):1746 doi: 10.1038/s41598-023-28362-0 [published Online First: 20230131].</w:t>
      </w:r>
    </w:p>
    <w:p w14:paraId="075E98A8"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9. Brown EM, Franklin SM, Ryan JL, et al. Assessing Area-Level Deprivation as a Proxy for Individual-Level Social Risks. Am J Prev Med 2023;</w:t>
      </w:r>
      <w:r w:rsidRPr="000F6719">
        <w:rPr>
          <w:rFonts w:ascii="Times New Roman" w:hAnsi="Times New Roman" w:cs="Times New Roman"/>
          <w:b/>
          <w:noProof/>
        </w:rPr>
        <w:t>65</w:t>
      </w:r>
      <w:r w:rsidRPr="000F6719">
        <w:rPr>
          <w:rFonts w:ascii="Times New Roman" w:hAnsi="Times New Roman" w:cs="Times New Roman"/>
          <w:noProof/>
        </w:rPr>
        <w:t>(6):1163–71 doi: 10.1016/j.amepre.2023.06.006 [published Online First: 20230610].</w:t>
      </w:r>
    </w:p>
    <w:p w14:paraId="2ED14BE4"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10. Bensken WP, McGrath BM, Gold R, Cottrell EK. Area-level social determinants of health and individual-level social risks: Assessing predictive ability and biases in social risk screening. J Clin Transl Sci 2023;</w:t>
      </w:r>
      <w:r w:rsidRPr="000F6719">
        <w:rPr>
          <w:rFonts w:ascii="Times New Roman" w:hAnsi="Times New Roman" w:cs="Times New Roman"/>
          <w:b/>
          <w:noProof/>
        </w:rPr>
        <w:t>7</w:t>
      </w:r>
      <w:r w:rsidRPr="000F6719">
        <w:rPr>
          <w:rFonts w:ascii="Times New Roman" w:hAnsi="Times New Roman" w:cs="Times New Roman"/>
          <w:noProof/>
        </w:rPr>
        <w:t>(1):e257 doi: 10.1017/cts.2023.680 [published Online First: 20231110].</w:t>
      </w:r>
    </w:p>
    <w:p w14:paraId="14B5E2C4"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11. Choi A, Craver A, Luo J, Yang Y, Aschebrook-Kilfoy B. Socioeconomic status and risk of COVID-19 hospitalization in the All of Us Research Program. Front Public Health 2025;</w:t>
      </w:r>
      <w:r w:rsidRPr="000F6719">
        <w:rPr>
          <w:rFonts w:ascii="Times New Roman" w:hAnsi="Times New Roman" w:cs="Times New Roman"/>
          <w:b/>
          <w:noProof/>
        </w:rPr>
        <w:t>13</w:t>
      </w:r>
      <w:r w:rsidRPr="000F6719">
        <w:rPr>
          <w:rFonts w:ascii="Times New Roman" w:hAnsi="Times New Roman" w:cs="Times New Roman"/>
          <w:noProof/>
        </w:rPr>
        <w:t>:1690430 doi: 10.3389/fpubh.2025.1690430 [published Online First: 20251210].</w:t>
      </w:r>
    </w:p>
    <w:p w14:paraId="6588E6A4"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12. Sharafeldin N, Bates B, Song Q, et al. Outcomes of COVID-19 in Patients With Cancer: Report From the National COVID Cohort Collaborative (N3C). J Clin Oncol 2021;</w:t>
      </w:r>
      <w:r w:rsidRPr="000F6719">
        <w:rPr>
          <w:rFonts w:ascii="Times New Roman" w:hAnsi="Times New Roman" w:cs="Times New Roman"/>
          <w:b/>
          <w:noProof/>
        </w:rPr>
        <w:t>39</w:t>
      </w:r>
      <w:r w:rsidRPr="000F6719">
        <w:rPr>
          <w:rFonts w:ascii="Times New Roman" w:hAnsi="Times New Roman" w:cs="Times New Roman"/>
          <w:noProof/>
        </w:rPr>
        <w:t>(20):2232–46 doi: 10.1200/jco.21.01074 [published Online First: 20210604].</w:t>
      </w:r>
    </w:p>
    <w:p w14:paraId="27EF71A3"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 xml:space="preserve">13. Song Q, Bates B, Shao YR, et al. Risk and Outcome of Breakthrough COVID-19 Infections in Vaccinated Patients With Cancer: Real-World Evidence From the National COVID </w:t>
      </w:r>
      <w:r w:rsidRPr="000F6719">
        <w:rPr>
          <w:rFonts w:ascii="Times New Roman" w:hAnsi="Times New Roman" w:cs="Times New Roman"/>
          <w:noProof/>
        </w:rPr>
        <w:lastRenderedPageBreak/>
        <w:t>Cohort Collaborative. J Clin Oncol 2022;</w:t>
      </w:r>
      <w:r w:rsidRPr="000F6719">
        <w:rPr>
          <w:rFonts w:ascii="Times New Roman" w:hAnsi="Times New Roman" w:cs="Times New Roman"/>
          <w:b/>
          <w:noProof/>
        </w:rPr>
        <w:t>40</w:t>
      </w:r>
      <w:r w:rsidRPr="000F6719">
        <w:rPr>
          <w:rFonts w:ascii="Times New Roman" w:hAnsi="Times New Roman" w:cs="Times New Roman"/>
          <w:noProof/>
        </w:rPr>
        <w:t>(13):1414–27 doi: 10.1200/jco.21.02419 [published Online First: 20220314].</w:t>
      </w:r>
    </w:p>
    <w:p w14:paraId="2FBD1E7A"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14. Aswani MS, Do LA, Shafer PR. Use Of Social Determinants Of Health Z Codes Was Sparse, 2016-22. Health Aff (Millwood) 2025;</w:t>
      </w:r>
      <w:r w:rsidRPr="000F6719">
        <w:rPr>
          <w:rFonts w:ascii="Times New Roman" w:hAnsi="Times New Roman" w:cs="Times New Roman"/>
          <w:b/>
          <w:noProof/>
        </w:rPr>
        <w:t>44</w:t>
      </w:r>
      <w:r w:rsidRPr="000F6719">
        <w:rPr>
          <w:rFonts w:ascii="Times New Roman" w:hAnsi="Times New Roman" w:cs="Times New Roman"/>
          <w:noProof/>
        </w:rPr>
        <w:t>(5):631–35 doi: 10.1377/hlthaff.2024.01033.</w:t>
      </w:r>
    </w:p>
    <w:p w14:paraId="6B0ED607"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15. Iott BE, Rivas S, Gottlieb LM, Adler-Milstein J, Pantell MS. Structured and unstructured social risk factor documentation in the electronic health record underestimates patients' self-reported risks. J Am Med Inform Assoc 2024;</w:t>
      </w:r>
      <w:r w:rsidRPr="000F6719">
        <w:rPr>
          <w:rFonts w:ascii="Times New Roman" w:hAnsi="Times New Roman" w:cs="Times New Roman"/>
          <w:b/>
          <w:noProof/>
        </w:rPr>
        <w:t>31</w:t>
      </w:r>
      <w:r w:rsidRPr="000F6719">
        <w:rPr>
          <w:rFonts w:ascii="Times New Roman" w:hAnsi="Times New Roman" w:cs="Times New Roman"/>
          <w:noProof/>
        </w:rPr>
        <w:t>(3):714–19 doi: 10.1093/jamia/ocad261.</w:t>
      </w:r>
    </w:p>
    <w:p w14:paraId="1DDB8DB3"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16. Vaidya D, Wilkins KJ, Hurwitz E, et al. Assessing associations between individual-level social determinants of health and COVID-19 hospitalizations: Investigating racial/ethnic disparities among people living with human immunodeficiency virus (HIV) in the U.S. National COVID Cohort Collaborative (N3C). J Clin Transl Sci 2024;</w:t>
      </w:r>
      <w:r w:rsidRPr="000F6719">
        <w:rPr>
          <w:rFonts w:ascii="Times New Roman" w:hAnsi="Times New Roman" w:cs="Times New Roman"/>
          <w:b/>
          <w:noProof/>
        </w:rPr>
        <w:t>8</w:t>
      </w:r>
      <w:r w:rsidRPr="000F6719">
        <w:rPr>
          <w:rFonts w:ascii="Times New Roman" w:hAnsi="Times New Roman" w:cs="Times New Roman"/>
          <w:noProof/>
        </w:rPr>
        <w:t>(1):e107 doi: 10.1017/cts.2024.550 [published Online First: 20240521].</w:t>
      </w:r>
    </w:p>
    <w:p w14:paraId="16DF6FBB"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17. McGee G, Haneuse S, Coull BA, Weisskopf MG, Rotem RS. On the Nature of Informative Presence Bias in Analyses of Electronic Health Records. Epidemiology 2022;</w:t>
      </w:r>
      <w:r w:rsidRPr="000F6719">
        <w:rPr>
          <w:rFonts w:ascii="Times New Roman" w:hAnsi="Times New Roman" w:cs="Times New Roman"/>
          <w:b/>
          <w:noProof/>
        </w:rPr>
        <w:t>33</w:t>
      </w:r>
      <w:r w:rsidRPr="000F6719">
        <w:rPr>
          <w:rFonts w:ascii="Times New Roman" w:hAnsi="Times New Roman" w:cs="Times New Roman"/>
          <w:noProof/>
        </w:rPr>
        <w:t>(1):105–13 doi: 10.1097/ede.0000000000001432.</w:t>
      </w:r>
    </w:p>
    <w:p w14:paraId="23FC9BF5"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18. Gatz AE, Xiong C, Chen Y, et al. Health disparities in the risk of severe acidosis: real-world evidence from the All of Us cohort. J Am Med Inform Assoc 2024;</w:t>
      </w:r>
      <w:r w:rsidRPr="000F6719">
        <w:rPr>
          <w:rFonts w:ascii="Times New Roman" w:hAnsi="Times New Roman" w:cs="Times New Roman"/>
          <w:b/>
          <w:noProof/>
        </w:rPr>
        <w:t>31</w:t>
      </w:r>
      <w:r w:rsidRPr="000F6719">
        <w:rPr>
          <w:rFonts w:ascii="Times New Roman" w:hAnsi="Times New Roman" w:cs="Times New Roman"/>
          <w:noProof/>
        </w:rPr>
        <w:t>(12):2932–39 doi: 10.1093/jamia/ocae256.</w:t>
      </w:r>
    </w:p>
    <w:p w14:paraId="4B9AA29D"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19. Denny JC, Rutter JL, Goldstein DB, et al. The "All of Us" Research Program. N Engl J Med 2019;</w:t>
      </w:r>
      <w:r w:rsidRPr="000F6719">
        <w:rPr>
          <w:rFonts w:ascii="Times New Roman" w:hAnsi="Times New Roman" w:cs="Times New Roman"/>
          <w:b/>
          <w:noProof/>
        </w:rPr>
        <w:t>381</w:t>
      </w:r>
      <w:r w:rsidRPr="000F6719">
        <w:rPr>
          <w:rFonts w:ascii="Times New Roman" w:hAnsi="Times New Roman" w:cs="Times New Roman"/>
          <w:noProof/>
        </w:rPr>
        <w:t>(7):668–76 doi: 10.1056/NEJMsr1809937.</w:t>
      </w:r>
    </w:p>
    <w:p w14:paraId="7828B37D"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20. Mapes BM, Foster CS, Kusnoor SV, et al. Diversity and inclusion for the All of Us research program: A scoping review. PLoS One 2020;</w:t>
      </w:r>
      <w:r w:rsidRPr="000F6719">
        <w:rPr>
          <w:rFonts w:ascii="Times New Roman" w:hAnsi="Times New Roman" w:cs="Times New Roman"/>
          <w:b/>
          <w:noProof/>
        </w:rPr>
        <w:t>15</w:t>
      </w:r>
      <w:r w:rsidRPr="000F6719">
        <w:rPr>
          <w:rFonts w:ascii="Times New Roman" w:hAnsi="Times New Roman" w:cs="Times New Roman"/>
          <w:noProof/>
        </w:rPr>
        <w:t>(7):e0234962 doi: 10.1371/journal.pone.0234962 [published Online First: 20200701].</w:t>
      </w:r>
    </w:p>
    <w:p w14:paraId="717135A3"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21. Tesfaye S, Cronin RM, Lopez-Class M, et al. Measuring social determinants of health in the All of Us Research Program. Sci Rep 2024;</w:t>
      </w:r>
      <w:r w:rsidRPr="000F6719">
        <w:rPr>
          <w:rFonts w:ascii="Times New Roman" w:hAnsi="Times New Roman" w:cs="Times New Roman"/>
          <w:b/>
          <w:noProof/>
        </w:rPr>
        <w:t>14</w:t>
      </w:r>
      <w:r w:rsidRPr="000F6719">
        <w:rPr>
          <w:rFonts w:ascii="Times New Roman" w:hAnsi="Times New Roman" w:cs="Times New Roman"/>
          <w:noProof/>
        </w:rPr>
        <w:t>(1):8815 doi: 10.1038/s41598-024-57410-6 [published Online First: 20240416].</w:t>
      </w:r>
    </w:p>
    <w:p w14:paraId="33327B4C"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22. Ho D, Imai K, King G, Stuart EA. MatchIt: Nonparametric Preprocessing for Parametric Causal Inference. Journal of Statistical Software 2011;</w:t>
      </w:r>
      <w:r w:rsidRPr="000F6719">
        <w:rPr>
          <w:rFonts w:ascii="Times New Roman" w:hAnsi="Times New Roman" w:cs="Times New Roman"/>
          <w:b/>
          <w:noProof/>
        </w:rPr>
        <w:t>42</w:t>
      </w:r>
      <w:r w:rsidRPr="000F6719">
        <w:rPr>
          <w:rFonts w:ascii="Times New Roman" w:hAnsi="Times New Roman" w:cs="Times New Roman"/>
          <w:noProof/>
        </w:rPr>
        <w:t>(8):1 – 28 doi: 10.18637/jss.v042.i08.</w:t>
      </w:r>
    </w:p>
    <w:p w14:paraId="33327B4C"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23. Austin PC. Optimal caliper widths for propensity-score matching when estimating differences in means and differences in proportions in observational studies. Pharm Stat 2011;10(2):150–61 doi: 10.1002/pst.433.</w:t>
      </w:r>
      <w:r w:rsidRPr="000F6719">
        <w:rPr>
          <w:rFonts w:ascii="Times New Roman" w:hAnsi="Times New Roman" w:cs="Times New Roman"/>
          <w:b/>
          <w:noProof/>
        </w:rPr>
      </w:r>
      <w:r w:rsidRPr="000F6719">
        <w:rPr>
          <w:rFonts w:ascii="Times New Roman" w:hAnsi="Times New Roman" w:cs="Times New Roman"/>
          <w:noProof/>
        </w:rPr>
      </w:r>
    </w:p>
    <w:p w14:paraId="6A79717C"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24. Goldstein BA, Bhavsar NA, Phelan M, Pencina MJ. Controlling for Informed Presence Bias Due to the Number of Health Encounters in an Electronic Health Record. Am J Epidemiol 2016;</w:t>
      </w:r>
      <w:r w:rsidRPr="000F6719">
        <w:rPr>
          <w:rFonts w:ascii="Times New Roman" w:hAnsi="Times New Roman" w:cs="Times New Roman"/>
          <w:b/>
          <w:noProof/>
        </w:rPr>
        <w:t>184</w:t>
      </w:r>
      <w:r w:rsidRPr="000F6719">
        <w:rPr>
          <w:rFonts w:ascii="Times New Roman" w:hAnsi="Times New Roman" w:cs="Times New Roman"/>
          <w:noProof/>
        </w:rPr>
        <w:t>(11):847–55 doi: 10.1093/aje/kww112 [published Online First: 20161116].</w:t>
      </w:r>
    </w:p>
    <w:p w14:paraId="7C1058B6"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25. Harton J, Mitra N, Hubbard RA. Informative presence bias in analyses of electronic health records-derived data: a cautionary note. J Am Med Inform Assoc 2022;</w:t>
      </w:r>
      <w:r w:rsidRPr="000F6719">
        <w:rPr>
          <w:rFonts w:ascii="Times New Roman" w:hAnsi="Times New Roman" w:cs="Times New Roman"/>
          <w:b/>
          <w:noProof/>
        </w:rPr>
        <w:t>29</w:t>
      </w:r>
      <w:r w:rsidRPr="000F6719">
        <w:rPr>
          <w:rFonts w:ascii="Times New Roman" w:hAnsi="Times New Roman" w:cs="Times New Roman"/>
          <w:noProof/>
        </w:rPr>
        <w:t>(7):1191–99 doi: 10.1093/jamia/ocac050.</w:t>
      </w:r>
    </w:p>
    <w:p w14:paraId="12FA57D6"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26. Centers for Disease Control and Prevention. COVID-19-Associated Hospitalization Surveillance Network (COVID-NET). Atlanta, GA: CDC. https://www.cdc.gov/covid/php/covid-net/index.html (accessed 1 Sep 2026).</w:t>
      </w:r>
    </w:p>
    <w:p w14:paraId="54D0A2CE"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27. Glasheen WP, Cordier T, Gumpina R, Haugh G, Davis J, Renda A. Charlson Comorbidity Index: ICD-9 Update and ICD-10 Translation. Am Health Drug Benefits 2019;</w:t>
      </w:r>
      <w:r w:rsidRPr="000F6719">
        <w:rPr>
          <w:rFonts w:ascii="Times New Roman" w:hAnsi="Times New Roman" w:cs="Times New Roman"/>
          <w:b/>
          <w:noProof/>
        </w:rPr>
        <w:t>12</w:t>
      </w:r>
      <w:r w:rsidRPr="000F6719">
        <w:rPr>
          <w:rFonts w:ascii="Times New Roman" w:hAnsi="Times New Roman" w:cs="Times New Roman"/>
          <w:noProof/>
        </w:rPr>
        <w:t>(4):188–97.</w:t>
      </w:r>
    </w:p>
    <w:p w14:paraId="7BE0BC6F"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28. Austin PC, Cafri G. Variance estimation when using propensity-score matching with replacement with survival or time-to-event outcomes. Stat Med 2020;</w:t>
      </w:r>
      <w:r w:rsidRPr="000F6719">
        <w:rPr>
          <w:rFonts w:ascii="Times New Roman" w:hAnsi="Times New Roman" w:cs="Times New Roman"/>
          <w:b/>
          <w:noProof/>
        </w:rPr>
        <w:t>39</w:t>
      </w:r>
      <w:r w:rsidRPr="000F6719">
        <w:rPr>
          <w:rFonts w:ascii="Times New Roman" w:hAnsi="Times New Roman" w:cs="Times New Roman"/>
          <w:noProof/>
        </w:rPr>
        <w:t>(11):1623–40 doi: 10.1002/sim.8502 [published Online First: 20200228].</w:t>
      </w:r>
    </w:p>
    <w:p w14:paraId="5992D43E"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29. Harrigan SP, Fibke CD, Velásquez García HA, et al. The mediating role of SARS-CoV-2 variants between income and hospitalization due to COVID-19: a period-based mediation analysis. Am J Epidemiol 2025;</w:t>
      </w:r>
      <w:r w:rsidRPr="000F6719">
        <w:rPr>
          <w:rFonts w:ascii="Times New Roman" w:hAnsi="Times New Roman" w:cs="Times New Roman"/>
          <w:b/>
          <w:noProof/>
        </w:rPr>
        <w:t>194</w:t>
      </w:r>
      <w:r w:rsidRPr="000F6719">
        <w:rPr>
          <w:rFonts w:ascii="Times New Roman" w:hAnsi="Times New Roman" w:cs="Times New Roman"/>
          <w:noProof/>
        </w:rPr>
        <w:t>(5):1352–61 doi: 10.1093/aje/kwae266.</w:t>
      </w:r>
    </w:p>
    <w:p w14:paraId="59AC1FF5"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30. Wang L, Swayze S, Bodner K, et al. Social inequalities in COVID-19 death by area-level income in 11.2 million people in Ontario, Canada: patterns over time and the mediating role of vaccination. American Journal of Epidemiology 2026;</w:t>
      </w:r>
      <w:r w:rsidRPr="000F6719">
        <w:rPr>
          <w:rFonts w:ascii="Times New Roman" w:hAnsi="Times New Roman" w:cs="Times New Roman"/>
          <w:b/>
          <w:noProof/>
        </w:rPr>
        <w:t>195</w:t>
      </w:r>
      <w:r w:rsidRPr="000F6719">
        <w:rPr>
          <w:rFonts w:ascii="Times New Roman" w:hAnsi="Times New Roman" w:cs="Times New Roman"/>
          <w:noProof/>
        </w:rPr>
        <w:t>(2):379–90 doi: 10.1093/aje/kwaf051.</w:t>
      </w:r>
    </w:p>
    <w:p w14:paraId="6232092B"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31. Maldonado G, Greenland S. Simulation study of confounder-selection strategies. Am J Epidemiol 1993;</w:t>
      </w:r>
      <w:r w:rsidRPr="000F6719">
        <w:rPr>
          <w:rFonts w:ascii="Times New Roman" w:hAnsi="Times New Roman" w:cs="Times New Roman"/>
          <w:b/>
          <w:noProof/>
        </w:rPr>
        <w:t>138</w:t>
      </w:r>
      <w:r w:rsidRPr="000F6719">
        <w:rPr>
          <w:rFonts w:ascii="Times New Roman" w:hAnsi="Times New Roman" w:cs="Times New Roman"/>
          <w:noProof/>
        </w:rPr>
        <w:t>(11):923–36 doi: 10.1093/oxfordjournals.aje.a116813.</w:t>
      </w:r>
    </w:p>
    <w:p w14:paraId="1460D4CB"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32. Degtiar I, Rose S. A Review of Generalizability and Transportability. Annual Review of Statistics and Its Application 2023;</w:t>
      </w:r>
      <w:r w:rsidRPr="000F6719">
        <w:rPr>
          <w:rFonts w:ascii="Times New Roman" w:hAnsi="Times New Roman" w:cs="Times New Roman"/>
          <w:b/>
          <w:noProof/>
        </w:rPr>
        <w:t>10</w:t>
      </w:r>
      <w:r w:rsidRPr="000F6719">
        <w:rPr>
          <w:rFonts w:ascii="Times New Roman" w:hAnsi="Times New Roman" w:cs="Times New Roman"/>
          <w:noProof/>
        </w:rPr>
        <w:t>:501–24 doi: 10.1146/annurev-statistics-042522-103837.</w:t>
      </w:r>
    </w:p>
    <w:p w14:paraId="73646582"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33. Patel AP, Paranjpe MD, Kathiresan NP, Rivas MA, Khera AV. Race, socioeconomic deprivation, and hospitalization for COVID-19 in English participants of a national biobank. Int J Equity Health 2020;</w:t>
      </w:r>
      <w:r w:rsidRPr="000F6719">
        <w:rPr>
          <w:rFonts w:ascii="Times New Roman" w:hAnsi="Times New Roman" w:cs="Times New Roman"/>
          <w:b/>
          <w:noProof/>
        </w:rPr>
        <w:t>19</w:t>
      </w:r>
      <w:r w:rsidRPr="000F6719">
        <w:rPr>
          <w:rFonts w:ascii="Times New Roman" w:hAnsi="Times New Roman" w:cs="Times New Roman"/>
          <w:noProof/>
        </w:rPr>
        <w:t>(1):114 doi: 10.1186/s12939-020-01227-y [published Online First: 20200706].</w:t>
      </w:r>
    </w:p>
    <w:p w14:paraId="054EC51B"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34. Harding JL, Doucet N, Patel SA, et al. The Association Between Black vs. White Race and 30-Day Hospitalization Among People Diagnosed with COVID-19 Within an Integrated Care Setting: a Cohort Study. J Racial Ethn Health Disparities 2025;</w:t>
      </w:r>
      <w:r w:rsidRPr="000F6719">
        <w:rPr>
          <w:rFonts w:ascii="Times New Roman" w:hAnsi="Times New Roman" w:cs="Times New Roman"/>
          <w:b/>
          <w:noProof/>
        </w:rPr>
        <w:t>12</w:t>
      </w:r>
      <w:r w:rsidRPr="000F6719">
        <w:rPr>
          <w:rFonts w:ascii="Times New Roman" w:hAnsi="Times New Roman" w:cs="Times New Roman"/>
          <w:noProof/>
        </w:rPr>
        <w:t>(1):543–53 doi: 10.1007/s40615-023-01894-x [published Online First: 20231218].</w:t>
      </w:r>
    </w:p>
    <w:p w14:paraId="71782E5A"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35. Bennett TD, Moffitt RA, Hajagos JG, et al. Clinical Characterization and Prediction of Clinical Severity of SARS-CoV-2 Infection Among US Adults Using Data From the US National COVID Cohort Collaborative. JAMA Netw Open 2021;</w:t>
      </w:r>
      <w:r w:rsidRPr="000F6719">
        <w:rPr>
          <w:rFonts w:ascii="Times New Roman" w:hAnsi="Times New Roman" w:cs="Times New Roman"/>
          <w:b/>
          <w:noProof/>
        </w:rPr>
        <w:t>4</w:t>
      </w:r>
      <w:r w:rsidRPr="000F6719">
        <w:rPr>
          <w:rFonts w:ascii="Times New Roman" w:hAnsi="Times New Roman" w:cs="Times New Roman"/>
          <w:noProof/>
        </w:rPr>
        <w:t>(7):e2116901 doi: 10.1001/jamanetworkopen.2021.16901 [published Online First: 20210701].</w:t>
      </w:r>
    </w:p>
    <w:p w14:paraId="303A242E"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36. Gupta S, Lam V, Jordan IK, Mariño-Ramírez L. A composite socioeconomic deprivation index from All of Us survey data: associations with health outcomes and disparities. medRxiv 2024 doi: 10.1101/2024.10.04.24314904.</w:t>
      </w:r>
    </w:p>
    <w:p w14:paraId="29635363"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37. Ardekani A, Fereidooni R, Heydari ST, Ghahramani S, Shahabi S, Bagheri Lankarani K. The association of patient-reported social determinants of health and hospitalization rate: A scoping review. Health Sci Rep 2023;</w:t>
      </w:r>
      <w:r w:rsidRPr="000F6719">
        <w:rPr>
          <w:rFonts w:ascii="Times New Roman" w:hAnsi="Times New Roman" w:cs="Times New Roman"/>
          <w:b/>
          <w:noProof/>
        </w:rPr>
        <w:t>6</w:t>
      </w:r>
      <w:r w:rsidRPr="000F6719">
        <w:rPr>
          <w:rFonts w:ascii="Times New Roman" w:hAnsi="Times New Roman" w:cs="Times New Roman"/>
          <w:noProof/>
        </w:rPr>
        <w:t>(2):e1124 doi: 10.1002/hsr2.1124 [published Online First: 20230222].</w:t>
      </w:r>
    </w:p>
    <w:p w14:paraId="24B5FF01"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38. McConnell KH, Hajat A, Sack C, Mooney SJ, Khosropour CM. Associations Between Insurance, Race and Ethnicity, and COVID-19 Hospitalization, Beyond Underlying Health Conditions: A Retrospective Cohort Study. AJPM Focus 2023;</w:t>
      </w:r>
      <w:r w:rsidRPr="000F6719">
        <w:rPr>
          <w:rFonts w:ascii="Times New Roman" w:hAnsi="Times New Roman" w:cs="Times New Roman"/>
          <w:b/>
          <w:noProof/>
        </w:rPr>
        <w:t>2</w:t>
      </w:r>
      <w:r w:rsidRPr="000F6719">
        <w:rPr>
          <w:rFonts w:ascii="Times New Roman" w:hAnsi="Times New Roman" w:cs="Times New Roman"/>
          <w:noProof/>
        </w:rPr>
        <w:t>(3):100120 doi: 10.1016/j.focus.2023.100120 [published Online First: 20230612].</w:t>
      </w:r>
    </w:p>
    <w:p w14:paraId="164D459B"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39. Figueroa JF, Khorrami P, Bhanja A, Orav EJ, Epstein AM, Sommers BD. COVID-19-Related Insurance Coverage Changes and Disparities in Access to Care Among Low-Income US Adults in 4 Southern States. JAMA Health Forum 2021;</w:t>
      </w:r>
      <w:r w:rsidRPr="000F6719">
        <w:rPr>
          <w:rFonts w:ascii="Times New Roman" w:hAnsi="Times New Roman" w:cs="Times New Roman"/>
          <w:b/>
          <w:noProof/>
        </w:rPr>
        <w:t>2</w:t>
      </w:r>
      <w:r w:rsidRPr="000F6719">
        <w:rPr>
          <w:rFonts w:ascii="Times New Roman" w:hAnsi="Times New Roman" w:cs="Times New Roman"/>
          <w:noProof/>
        </w:rPr>
        <w:t>(8):e212007 doi: 10.1001/jamahealthforum.2021.2007 [published Online First: 20210813].</w:t>
      </w:r>
    </w:p>
    <w:p w14:paraId="5CB6652F"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40. Leifheit KM, Linton SL, Raifman J, et al. Expiring Eviction Moratoriums and COVID-19 Incidence and Mortality. Am J Epidemiol 2021;</w:t>
      </w:r>
      <w:r w:rsidRPr="000F6719">
        <w:rPr>
          <w:rFonts w:ascii="Times New Roman" w:hAnsi="Times New Roman" w:cs="Times New Roman"/>
          <w:b/>
          <w:noProof/>
        </w:rPr>
        <w:t>190</w:t>
      </w:r>
      <w:r w:rsidRPr="000F6719">
        <w:rPr>
          <w:rFonts w:ascii="Times New Roman" w:hAnsi="Times New Roman" w:cs="Times New Roman"/>
          <w:noProof/>
        </w:rPr>
        <w:t>(12):2503–10 doi: 10.1093/aje/kwab196.</w:t>
      </w:r>
    </w:p>
    <w:p w14:paraId="3DEB5BFC"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41. VanderWeele TJ, Robinson WR. On the causal interpretation of race in regressions adjusting for confounding and mediating variables. Epidemiology 2014;</w:t>
      </w:r>
      <w:r w:rsidRPr="000F6719">
        <w:rPr>
          <w:rFonts w:ascii="Times New Roman" w:hAnsi="Times New Roman" w:cs="Times New Roman"/>
          <w:b/>
          <w:noProof/>
        </w:rPr>
        <w:t>25</w:t>
      </w:r>
      <w:r w:rsidRPr="000F6719">
        <w:rPr>
          <w:rFonts w:ascii="Times New Roman" w:hAnsi="Times New Roman" w:cs="Times New Roman"/>
          <w:noProof/>
        </w:rPr>
        <w:t>(4):473–84 doi: 10.1097/ede.0000000000000105.</w:t>
      </w:r>
    </w:p>
    <w:p w14:paraId="5B170A6D"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42. Kaufman JS, Cooper RS, McGee DL. Socioeconomic status and health in blacks and whites: the problem of residual confounding and the resiliency of race. Epidemiology 1997;</w:t>
      </w:r>
      <w:r w:rsidRPr="000F6719">
        <w:rPr>
          <w:rFonts w:ascii="Times New Roman" w:hAnsi="Times New Roman" w:cs="Times New Roman"/>
          <w:b/>
          <w:noProof/>
        </w:rPr>
        <w:t>8</w:t>
      </w:r>
      <w:r w:rsidRPr="000F6719">
        <w:rPr>
          <w:rFonts w:ascii="Times New Roman" w:hAnsi="Times New Roman" w:cs="Times New Roman"/>
          <w:noProof/>
        </w:rPr>
        <w:t>(6):621–8.</w:t>
      </w:r>
    </w:p>
    <w:p w14:paraId="4B5D96FE"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43. Pang M, Kaufman JS, Platt RW. Studying noncollapsibility of the odds ratio with marginal structural and logistic regression models. Stat Methods Med Res 2016;25(5):1925–37 doi: 10.1177/0962280213505804.</w:t>
      </w:r>
      <w:r w:rsidRPr="000F6719">
        <w:rPr>
          <w:rFonts w:ascii="Times New Roman" w:hAnsi="Times New Roman" w:cs="Times New Roman"/>
          <w:b/>
          <w:noProof/>
        </w:rPr>
      </w:r>
      <w:r w:rsidRPr="000F6719">
        <w:rPr>
          <w:rFonts w:ascii="Times New Roman" w:hAnsi="Times New Roman" w:cs="Times New Roman"/>
          <w:noProof/>
        </w:rPr>
      </w:r>
    </w:p>
    <w:p w14:paraId="61E4FF23"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44. Hendricks-Sturrup RM, Yankah SE, Lu CY. Social determinants of health Z-code documentation practices in mental health settings: a scoping review. Health Aff Sch 2024;</w:t>
      </w:r>
      <w:r w:rsidRPr="000F6719">
        <w:rPr>
          <w:rFonts w:ascii="Times New Roman" w:hAnsi="Times New Roman" w:cs="Times New Roman"/>
          <w:b/>
          <w:noProof/>
        </w:rPr>
        <w:t>2</w:t>
      </w:r>
      <w:r w:rsidRPr="000F6719">
        <w:rPr>
          <w:rFonts w:ascii="Times New Roman" w:hAnsi="Times New Roman" w:cs="Times New Roman"/>
          <w:noProof/>
        </w:rPr>
        <w:t>(4):qxae046 doi: 10.1093/haschl/qxae046 [published Online First: 20240412].</w:t>
      </w:r>
    </w:p>
    <w:p w14:paraId="5743B440"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45. Fraze TK, Brewster AL, Lewis VA, Beidler LB, Murray GF, Colla CH. Prevalence of Screening for Food Insecurity, Housing Instability, Utility Needs, Transportation Needs, and Interpersonal Violence by US Physician Practices and Hospitals. JAMA Netw Open 2019;</w:t>
      </w:r>
      <w:r w:rsidRPr="000F6719">
        <w:rPr>
          <w:rFonts w:ascii="Times New Roman" w:hAnsi="Times New Roman" w:cs="Times New Roman"/>
          <w:b/>
          <w:noProof/>
        </w:rPr>
        <w:t>2</w:t>
      </w:r>
      <w:r w:rsidRPr="000F6719">
        <w:rPr>
          <w:rFonts w:ascii="Times New Roman" w:hAnsi="Times New Roman" w:cs="Times New Roman"/>
          <w:noProof/>
        </w:rPr>
        <w:t>(9):e1911514 doi: 10.1001/jamanetworkopen.2019.11514 [published Online First: 20190904].</w:t>
      </w:r>
    </w:p>
    <w:p w14:paraId="2752B533" w14:textId="77777777" w:rsidR="009A7915" w:rsidRPr="000F6719" w:rsidRDefault="009A7915" w:rsidP="009A7915">
      <w:pPr>
        <w:pStyle w:val="EndNoteBibliography"/>
        <w:ind w:left="720" w:hanging="720"/>
        <w:rPr>
          <w:rFonts w:ascii="Times New Roman" w:hAnsi="Times New Roman" w:cs="Times New Roman"/>
          <w:noProof/>
        </w:rPr>
      </w:pPr>
      <w:r w:rsidRPr="000F6719">
        <w:rPr>
          <w:rFonts w:ascii="Times New Roman" w:hAnsi="Times New Roman" w:cs="Times New Roman"/>
          <w:noProof/>
        </w:rPr>
        <w:t>46. Kambara MS, Sharma S, Spouge JL, Graubard BI, Jordan IK, Mariño-Ramírez L. Increasing Representativeness in the All of Us Cohort Using Inverse Probability Weighting. medRxiv 2025 doi: 10.1101/2024.10.02.24314774 [published Online First: 20250418].</w:t>
      </w:r>
    </w:p>
    <w:p w14:paraId="730D4F75" w14:textId="12998A13" w:rsidR="00320D14" w:rsidRPr="000F6719" w:rsidRDefault="00D6314F" w:rsidP="00E3018C">
      <w:pPr>
        <w:spacing w:after="120" w:line="360" w:lineRule="auto"/>
        <w:rPr>
          <w:rFonts w:ascii="Times New Roman" w:eastAsia="Arial" w:hAnsi="Times New Roman" w:cs="Times New Roman"/>
        </w:rPr>
      </w:pPr>
      <w:r w:rsidRPr="000F6719">
        <w:rPr>
          <w:rFonts w:ascii="Times New Roman" w:eastAsia="Arial" w:hAnsi="Times New Roman" w:cs="Times New Roman"/>
        </w:rPr>
        <w:fldChar w:fldCharType="end"/>
      </w:r>
    </w:p>
    <w:p w14:paraId="4615BB75" w14:textId="77777777" w:rsidR="00320D14" w:rsidRPr="000F6719" w:rsidRDefault="00320D14" w:rsidP="00E3018C">
      <w:pPr>
        <w:spacing w:line="360" w:lineRule="auto"/>
        <w:rPr>
          <w:rFonts w:ascii="Times New Roman" w:eastAsia="Arial" w:hAnsi="Times New Roman" w:cs="Times New Roman"/>
        </w:rPr>
      </w:pPr>
      <w:r w:rsidRPr="000F6719">
        <w:rPr>
          <w:rFonts w:ascii="Times New Roman" w:eastAsia="Arial" w:hAnsi="Times New Roman" w:cs="Times New Roman"/>
        </w:rPr>
        <w:br w:type="page"/>
      </w:r>
    </w:p>
    <w:p w14:paraId="10E7F676" w14:textId="77777777" w:rsidR="00320D14" w:rsidRPr="000F6719" w:rsidRDefault="00320D14" w:rsidP="00E3018C">
      <w:pPr>
        <w:pStyle w:val="Heading1"/>
        <w:spacing w:line="360" w:lineRule="auto"/>
        <w:rPr>
          <w:rFonts w:ascii="Times New Roman" w:hAnsi="Times New Roman" w:cs="Times New Roman"/>
        </w:rPr>
      </w:pPr>
      <w:r w:rsidRPr="000F6719">
        <w:rPr>
          <w:rFonts w:ascii="Times New Roman" w:hAnsi="Times New Roman" w:cs="Times New Roman"/>
        </w:rPr>
        <w:t>FIGURE LEGENDS</w:t>
      </w:r>
    </w:p>
    <w:p w14:paraId="730D4F04" w14:textId="57FA62CF" w:rsidR="00841284" w:rsidRPr="000F6719" w:rsidRDefault="00D413D7" w:rsidP="00E3018C">
      <w:pPr>
        <w:spacing w:after="120" w:line="360" w:lineRule="auto"/>
        <w:rPr>
          <w:rFonts w:ascii="Times New Roman" w:hAnsi="Times New Roman" w:cs="Times New Roman"/>
        </w:rPr>
      </w:pPr>
      <w:r w:rsidRPr="000F6719">
        <w:rPr>
          <w:rFonts w:ascii="Times New Roman" w:eastAsia="Arial" w:hAnsi="Times New Roman" w:cs="Times New Roman"/>
          <w:b/>
          <w:bCs/>
        </w:rPr>
        <w:t>Figure 1.</w:t>
      </w:r>
      <w:r w:rsidRPr="000F6719">
        <w:rPr>
          <w:rFonts w:ascii="Times New Roman" w:eastAsia="Arial" w:hAnsi="Times New Roman" w:cs="Times New Roman"/>
        </w:rPr>
        <w:t xml:space="preserve"> Study participant flowchart. (a) All of Us: 413,457 participants narrowing to 25,160 COVID-positive, then to 4,064 hospitalized cases and 21,096 outpatient controls, matched up to 1:4 (19,920 observations in 4,064 strata; 15,856 control observations from 9,691 unique individuals, after 388 control observations were removed for incomplete follow-up near the data cutoff). (b) MarketScan: 4,423,200 COVID-positive narrowing to 139,472 hospitalized, matched 1:4 (693,682 observations in 139,468 strata; 554,214 control observations from 465,670 unique individuals).</w:t>
      </w:r>
      <w:r w:rsidR="00023685" w:rsidRPr="000F6719">
        <w:rPr>
          <w:rFonts w:ascii="Times New Roman" w:eastAsia="Arial" w:hAnsi="Times New Roman" w:cs="Times New Roman"/>
        </w:rPr>
        <w:t xml:space="preserve"> </w:t>
      </w:r>
    </w:p>
    <w:p w14:paraId="2DE6BC86" w14:textId="77777777" w:rsidR="00320D14" w:rsidRPr="000F6719" w:rsidRDefault="00320D14" w:rsidP="00E3018C">
      <w:pPr>
        <w:spacing w:after="120" w:line="360" w:lineRule="auto"/>
        <w:rPr>
          <w:rFonts w:ascii="Times New Roman" w:hAnsi="Times New Roman" w:cs="Times New Roman"/>
        </w:rPr>
      </w:pPr>
      <w:r w:rsidRPr="000F6719">
        <w:rPr>
          <w:rFonts w:ascii="Times New Roman" w:eastAsia="Arial" w:hAnsi="Times New Roman" w:cs="Times New Roman"/>
          <w:b/>
          <w:bCs/>
        </w:rPr>
        <w:t>Alt text: Two-panel CONSORT-style flowchart. Panel (a) shows All of Us: 413,457 participants narrowing to 25,160 COVID-positive, then splitting into 4,064 hospitalized cases and 21,096 outpatient controls, converging into propensity score matching producing 19,920 matched observations in 4,064 strata with 15,856 control observations from 9,691 unique individuals. Panel (b) shows MarketScan: 4,423,200 COVID-positive narrowing to 139,472 hospitalized cases and 4,283,728 outpatient controls, matched to 693,682 observations in 139,468 strata after four strata lost all their controls to the follow-up trim.</w:t>
      </w:r>
      <w:r w:rsidRPr="000F6719">
        <w:rPr>
          <w:rFonts w:ascii="Times New Roman" w:eastAsia="Arial" w:hAnsi="Times New Roman" w:cs="Times New Roman"/>
        </w:rPr>
      </w:r>
    </w:p>
    <w:p w14:paraId="730D4F0A" w14:textId="2924752B" w:rsidR="00841284" w:rsidRPr="000F6719" w:rsidRDefault="00D413D7" w:rsidP="00E3018C">
      <w:pPr>
        <w:spacing w:after="120" w:line="360" w:lineRule="auto"/>
        <w:rPr>
          <w:rFonts w:ascii="Times New Roman" w:hAnsi="Times New Roman" w:cs="Times New Roman"/>
        </w:rPr>
      </w:pPr>
      <w:r w:rsidRPr="000F6719">
        <w:rPr>
          <w:rFonts w:ascii="Times New Roman" w:eastAsia="Arial" w:hAnsi="Times New Roman" w:cs="Times New Roman"/>
          <w:b/>
          <w:bCs/>
        </w:rPr>
        <w:t>Figure 2.</w:t>
      </w:r>
      <w:r w:rsidRPr="000F6719">
        <w:rPr>
          <w:rFonts w:ascii="Times New Roman" w:eastAsia="Arial" w:hAnsi="Times New Roman" w:cs="Times New Roman"/>
        </w:rPr>
        <w:t xml:space="preserve"> Hospitalization phenotype decision tree. The strict 14-day phenotype counts inpatient visits (OMOP concepts 9201, 32037), emergency-to-inpatient visits (262, 8717), and emergency visits with recorded stay duration ≥1 day (9203). Same-day emergency visits without subsequent admission are excluded from the strict outcome but included in the broad 30-day sensitivity outcome. Component counts are reported in </w:t>
      </w:r>
      <w:proofErr w:type="spellStart"/>
      <w:r w:rsidRPr="000F6719">
        <w:rPr>
          <w:rFonts w:ascii="Times New Roman" w:eastAsia="Arial" w:hAnsi="Times New Roman" w:cs="Times New Roman"/>
        </w:rPr>
        <w:t>eTable</w:t>
      </w:r>
      <w:proofErr w:type="spellEnd"/>
      <w:r w:rsidRPr="000F6719">
        <w:rPr>
          <w:rFonts w:ascii="Times New Roman" w:eastAsia="Arial" w:hAnsi="Times New Roman" w:cs="Times New Roman"/>
        </w:rPr>
        <w:t xml:space="preserve"> 2b.</w:t>
      </w:r>
      <w:r w:rsidR="00023685" w:rsidRPr="000F6719">
        <w:rPr>
          <w:rFonts w:ascii="Times New Roman" w:eastAsia="Arial" w:hAnsi="Times New Roman" w:cs="Times New Roman"/>
        </w:rPr>
        <w:t xml:space="preserve"> </w:t>
      </w:r>
    </w:p>
    <w:p w14:paraId="07DB283D" w14:textId="77777777" w:rsidR="00320D14" w:rsidRPr="000F6719" w:rsidRDefault="00320D14" w:rsidP="00E3018C">
      <w:pPr>
        <w:spacing w:after="120" w:line="360" w:lineRule="auto"/>
        <w:rPr>
          <w:rFonts w:ascii="Times New Roman" w:hAnsi="Times New Roman" w:cs="Times New Roman"/>
        </w:rPr>
      </w:pPr>
      <w:r w:rsidRPr="000F6719">
        <w:rPr>
          <w:rFonts w:ascii="Times New Roman" w:eastAsia="Arial" w:hAnsi="Times New Roman" w:cs="Times New Roman"/>
          <w:b/>
          <w:bCs/>
        </w:rPr>
        <w:t>Alt text: Decision tree diagram for the hospitalization phenotype. Branches show visit types (inpatient, ED-to-inpatient, ED with stay duration) and classification rules for strict 14-day and broad 30-day outcomes. Same-day ED visits are excluded from the strict phenotype.</w:t>
      </w:r>
      <w:r w:rsidRPr="000F6719">
        <w:rPr>
          <w:rFonts w:ascii="Times New Roman" w:eastAsia="Arial" w:hAnsi="Times New Roman" w:cs="Times New Roman"/>
        </w:rPr>
      </w:r>
    </w:p>
    <w:p w14:paraId="730D4F19" w14:textId="53EE34E5" w:rsidR="00841284" w:rsidRPr="000F6719" w:rsidRDefault="00D413D7" w:rsidP="00E3018C">
      <w:pPr>
        <w:spacing w:after="120" w:line="360" w:lineRule="auto"/>
        <w:rPr>
          <w:rFonts w:ascii="Times New Roman" w:hAnsi="Times New Roman" w:cs="Times New Roman"/>
        </w:rPr>
      </w:pPr>
      <w:r w:rsidRPr="000F6719">
        <w:rPr>
          <w:rFonts w:ascii="Times New Roman" w:eastAsia="Arial" w:hAnsi="Times New Roman" w:cs="Times New Roman"/>
          <w:b/>
          <w:bCs/>
        </w:rPr>
        <w:t>Figure 3. Base-model adjusted odds ratios for demographics, vaccination, pandemic wave, and comorbidities, compared between the two cohorts. Navy circles: All of Us (n = 19,920). Teal squares: MarketScan (n = 693,682). Filled markers are statistically significant (P &lt; 0.05); open markers are not. Error bars: 95% confidence intervals. Race and ethnicity are not captured in MarketScan. The panel shows Black race only; Asian and Other race estimates are given in the text and eTable 10. Seventeen of the 19 Charlson conditions are plotted; myocardial infarction and peripheral vascular disease are omitted for space and appear in eTable 10.</w:t>
      </w:r>
      <w:r w:rsidRPr="000F6719">
        <w:rPr>
          <w:rFonts w:ascii="Times New Roman" w:eastAsia="Arial" w:hAnsi="Times New Roman" w:cs="Times New Roman"/>
        </w:rPr>
      </w:r>
      <w:r w:rsidR="00895A13" w:rsidRPr="000F6719">
        <w:rPr>
          <w:rFonts w:ascii="Times New Roman" w:eastAsia="Arial" w:hAnsi="Times New Roman" w:cs="Times New Roman"/>
        </w:rPr>
        <w:t xml:space="preserve"> Abbreviations: AOR, adjusted odds ratio; CI, confidence interval; DM, diabetes mellitus.</w:t>
      </w:r>
    </w:p>
    <w:p w14:paraId="7DA3718A" w14:textId="77777777" w:rsidR="00320D14" w:rsidRPr="000F6719" w:rsidRDefault="00320D14" w:rsidP="00E3018C">
      <w:pPr>
        <w:spacing w:after="120" w:line="360" w:lineRule="auto"/>
        <w:rPr>
          <w:rFonts w:ascii="Times New Roman" w:hAnsi="Times New Roman" w:cs="Times New Roman"/>
        </w:rPr>
      </w:pPr>
      <w:r w:rsidRPr="000F6719">
        <w:rPr>
          <w:rFonts w:ascii="Times New Roman" w:eastAsia="Arial" w:hAnsi="Times New Roman" w:cs="Times New Roman"/>
          <w:b/>
          <w:bCs/>
        </w:rPr>
        <w:t>Alt text: Horizontal forest plot comparing base-model adjusted odds ratios between two cohorts, on a log scale with a reference line at AOR equals 1.0. Each row shows a navy circle for All of Us and a teal square for MarketScan; filled markers are statistically significant, open markers are not. Rows cover demographics, vaccination, pandemic wave, and 17 of the 19 Charlson comorbidities. In All of Us, Black race is highest (2.30), followed by age 65 plus (1.61), moderate/severe liver disease (1.37), severe renal disease (1.29), metastatic tumor (1.22), cerebrovascular disease (1.20), and congestive heart failure (1.19); female sex (0.74), recorded vaccination (0.45), chronic pulmonary disease (0.85), and mild liver disease (0.76) are below 1.0. MarketScan values track All of Us in direction for most rows but diverge for the Omicron wave (0.47 against 1.04), cerebrovascular disease, diabetes with complications, malignancy, and AIDS. Black race is marked not available in claims.</w:t>
      </w:r>
      <w:r w:rsidRPr="000F6719">
        <w:rPr>
          <w:rFonts w:ascii="Times New Roman" w:eastAsia="Arial" w:hAnsi="Times New Roman" w:cs="Times New Roman"/>
        </w:rPr>
      </w:r>
      <w:proofErr w:type="gramStart"/>
      <w:r w:rsidRPr="000F6719">
        <w:rPr>
          <w:rFonts w:ascii="Times New Roman" w:eastAsia="Arial" w:hAnsi="Times New Roman" w:cs="Times New Roman"/>
        </w:rPr>
      </w:r>
      <w:proofErr w:type="gramEnd"/>
      <w:r w:rsidRPr="000F6719">
        <w:rPr>
          <w:rFonts w:ascii="Times New Roman" w:eastAsia="Arial" w:hAnsi="Times New Roman" w:cs="Times New Roman"/>
        </w:rPr>
      </w:r>
    </w:p>
    <w:p w14:paraId="730D4F1C" w14:textId="0225AF48" w:rsidR="00841284" w:rsidRPr="000F6719" w:rsidRDefault="00D413D7" w:rsidP="00895A13">
      <w:pPr>
        <w:spacing w:after="120" w:line="360" w:lineRule="auto"/>
        <w:rPr>
          <w:rFonts w:ascii="Times New Roman" w:eastAsia="Arial" w:hAnsi="Times New Roman" w:cs="Times New Roman"/>
        </w:rPr>
      </w:pPr>
      <w:r w:rsidRPr="000F6719">
        <w:rPr>
          <w:rFonts w:ascii="Times New Roman" w:eastAsia="Arial" w:hAnsi="Times New Roman" w:cs="Times New Roman"/>
          <w:b/>
          <w:bCs/>
        </w:rPr>
        <w:t>Figure 4.</w:t>
      </w:r>
      <w:r w:rsidRPr="000F6719">
        <w:rPr>
          <w:rFonts w:ascii="Times New Roman" w:eastAsia="Arial" w:hAnsi="Times New Roman" w:cs="Times New Roman"/>
        </w:rPr>
        <w:t xml:space="preserve"> </w:t>
      </w:r>
      <w:r w:rsidR="00576472" w:rsidRPr="000F6719">
        <w:rPr>
          <w:rFonts w:ascii="Times New Roman" w:eastAsia="Arial" w:hAnsi="Times New Roman" w:cs="Times New Roman"/>
        </w:rPr>
        <w:t xml:space="preserve">Domain-specific versus joint associations of six survey-derived </w:t>
      </w:r>
      <w:proofErr w:type="spellStart"/>
      <w:r w:rsidR="00576472" w:rsidRPr="000F6719">
        <w:rPr>
          <w:rFonts w:ascii="Times New Roman" w:eastAsia="Arial" w:hAnsi="Times New Roman" w:cs="Times New Roman"/>
        </w:rPr>
        <w:t>SDoH</w:t>
      </w:r>
      <w:proofErr w:type="spellEnd"/>
      <w:r w:rsidR="00576472" w:rsidRPr="000F6719">
        <w:rPr>
          <w:rFonts w:ascii="Times New Roman" w:eastAsia="Arial" w:hAnsi="Times New Roman" w:cs="Times New Roman"/>
        </w:rPr>
        <w:t xml:space="preserve"> domains with COVID-19 hospitalization. For each level, the coral circle is the domain-specific estimate (base model plus that one domain) and the navy square is the joint estimate (base model plus all six domains simultaneously); the grey bar connecting them marks the change in the coefficient after mutual adjustment</w:t>
      </w:r>
      <w:proofErr w:type="gramStart"/>
      <w:r w:rsidR="00576472" w:rsidRPr="000F6719">
        <w:rPr>
          <w:rFonts w:ascii="Times New Roman" w:eastAsia="Arial" w:hAnsi="Times New Roman" w:cs="Times New Roman"/>
        </w:rPr>
      </w:r>
      <w:proofErr w:type="gramEnd"/>
      <w:r w:rsidR="00576472" w:rsidRPr="000F6719">
        <w:rPr>
          <w:rFonts w:ascii="Times New Roman" w:eastAsia="Arial" w:hAnsi="Times New Roman" w:cs="Times New Roman"/>
        </w:rPr>
        <w:t xml:space="preserve">. Filled markers are statistically significant (P &lt; 0.05); open markers are not. All models adjust for demographics, vaccination, pandemic wave, and 19 Charlson comorbidities. Domain-specific and joint models are complementary rather than ranked: the domain-specific estimate reflects the total association each domain carries and is the quantity relevant to single-item screening, whereas the joint estimate reflects the association that remains independent after overlapping domains are removed. Estimates and 95% CIs are listed at right and in Table 3; missing-indicator categories are modeled but omitted for clarity, and the “never attended school” education stratum (fewer than 20 participants; domain-specific 3.35, joint 2.85) falls outside the plotted range. Abbreviations: AOR, adjusted odds ratio; CI, confidence interval; </w:t>
      </w:r>
      <w:proofErr w:type="spellStart"/>
      <w:r w:rsidR="00576472" w:rsidRPr="000F6719">
        <w:rPr>
          <w:rFonts w:ascii="Times New Roman" w:eastAsia="Arial" w:hAnsi="Times New Roman" w:cs="Times New Roman"/>
        </w:rPr>
        <w:t>SDoH</w:t>
      </w:r>
      <w:proofErr w:type="spellEnd"/>
      <w:r w:rsidR="00576472" w:rsidRPr="000F6719">
        <w:rPr>
          <w:rFonts w:ascii="Times New Roman" w:eastAsia="Arial" w:hAnsi="Times New Roman" w:cs="Times New Roman"/>
        </w:rPr>
        <w:t>, social determinants of health; GED, General Educational Development.</w:t>
      </w:r>
    </w:p>
    <w:p w14:paraId="0247C2FB" w14:textId="7939B50B" w:rsidR="00320D14" w:rsidRPr="000F6719" w:rsidRDefault="00320D14" w:rsidP="00E3018C">
      <w:pPr>
        <w:spacing w:after="120" w:line="360" w:lineRule="auto"/>
        <w:rPr>
          <w:rFonts w:ascii="Times New Roman" w:hAnsi="Times New Roman" w:cs="Times New Roman"/>
        </w:rPr>
      </w:pPr>
      <w:r w:rsidRPr="000F6719">
        <w:rPr>
          <w:rFonts w:ascii="Times New Roman" w:eastAsia="Arial" w:hAnsi="Times New Roman" w:cs="Times New Roman"/>
          <w:b/>
          <w:bCs/>
        </w:rPr>
        <w:t>Alt text: Paired dumbbell forest plot comparing domain-specific and joint adjusted odds ratios for six survey-derived SDoH domains, grouped by domain on a log scale with a reference line at AOR equals 1.0. Each level shows two markers connected by a grey bar: a coral circle for the domain-specific model (base plus one domain) and a navy square for the joint model (base plus all six domains). Filled markers are statistically significant, open markers are not. Medicaid, income below $25,000, unemployment, student status, retired status, and renting remain elevated and significant in both models. Below-GED education, Other/None insurance, and income $25,000 to $34,999 are significant in the domain-specific model but lose significance in the joint model, indicating signal shared with other domains. The $100,000 to $149,999 and $150,000 to $199,999 brackets shift higher under joint adjustment and become statistically significant, so the income pattern is not monotonic. The "never attended school" education stratum (fewer than 20 participants) is off the plotted scale; its values appear at right and in Table 3.</w:t>
      </w:r>
      <w:r w:rsidRPr="000F6719">
        <w:rPr>
          <w:rFonts w:ascii="Times New Roman" w:eastAsia="Arial" w:hAnsi="Times New Roman" w:cs="Times New Roman"/>
        </w:rPr>
      </w:r>
      <w:r w:rsidR="009D1DF8" w:rsidRPr="000F6719">
        <w:rPr>
          <w:rFonts w:ascii="Times New Roman" w:eastAsia="Arial" w:hAnsi="Times New Roman" w:cs="Times New Roman"/>
        </w:rPr>
      </w:r>
      <w:proofErr w:type="spellStart"/>
      <w:r w:rsidR="009D1DF8" w:rsidRPr="000F6719">
        <w:rPr>
          <w:rFonts w:ascii="Times New Roman" w:eastAsia="Arial" w:hAnsi="Times New Roman" w:cs="Times New Roman"/>
        </w:rPr>
      </w:r>
      <w:proofErr w:type="spellEnd"/>
      <w:r w:rsidR="009D1DF8" w:rsidRPr="000F6719">
        <w:rPr>
          <w:rFonts w:ascii="Times New Roman" w:eastAsia="Arial" w:hAnsi="Times New Roman" w:cs="Times New Roman"/>
        </w:rPr>
      </w:r>
      <w:proofErr w:type="gramStart"/>
      <w:r w:rsidR="009D1DF8" w:rsidRPr="000F6719">
        <w:rPr>
          <w:rFonts w:ascii="Times New Roman" w:eastAsia="Arial" w:hAnsi="Times New Roman" w:cs="Times New Roman"/>
        </w:rPr>
      </w:r>
      <w:proofErr w:type="gramEnd"/>
      <w:r w:rsidR="009D1DF8" w:rsidRPr="000F6719">
        <w:rPr>
          <w:rFonts w:ascii="Times New Roman" w:eastAsia="Arial" w:hAnsi="Times New Roman" w:cs="Times New Roman"/>
        </w:rPr>
      </w:r>
    </w:p>
    <w:p w14:paraId="730D4F24" w14:textId="0CE8520C" w:rsidR="00841284" w:rsidRPr="000F6719" w:rsidRDefault="00D413D7" w:rsidP="00D141BE">
      <w:pPr>
        <w:spacing w:after="120" w:line="360" w:lineRule="auto"/>
        <w:rPr>
          <w:rFonts w:ascii="Times New Roman" w:eastAsia="Arial" w:hAnsi="Times New Roman" w:cs="Times New Roman"/>
        </w:rPr>
      </w:pPr>
      <w:r w:rsidRPr="000F6719">
        <w:rPr>
          <w:rFonts w:ascii="Times New Roman" w:eastAsia="Arial" w:hAnsi="Times New Roman" w:cs="Times New Roman"/>
          <w:b/>
          <w:bCs/>
        </w:rPr>
        <w:t>Figure 5.</w:t>
      </w:r>
      <w:r w:rsidRPr="000F6719">
        <w:rPr>
          <w:rFonts w:ascii="Times New Roman" w:eastAsia="Arial" w:hAnsi="Times New Roman" w:cs="Times New Roman"/>
        </w:rPr>
        <w:t xml:space="preserve"> </w:t>
      </w:r>
      <w:r w:rsidR="006B7B0D" w:rsidRPr="000F6719">
        <w:rPr>
          <w:rFonts w:ascii="Times New Roman" w:eastAsia="Arial" w:hAnsi="Times New Roman" w:cs="Times New Roman"/>
        </w:rPr>
        <w:t xml:space="preserve">Temporal shifts in social determinant contributions to COVID-19 hospitalization across pandemic waves. </w:t>
      </w:r>
      <w:r w:rsidR="0048705F" w:rsidRPr="0048705F">
        <w:rPr>
          <w:rFonts w:ascii="Times New Roman" w:eastAsia="Arial" w:hAnsi="Times New Roman" w:cs="Times New Roman"/>
        </w:rPr>
        <w:t>(a) Income association with hospitalization within each pandemic wave, grouped by income stratum so that the three waves for a given stratum appear together. The panel shows the three lowest income strata only; the remaining four strata, including the missing-income category, are in eTable 13. The two lowest strata were elevated in every wave, and significantly so in every wave except the $10,000–24,999 stratum during Delta. Reference group: $35,000 to $99,999. Filled markers are statistically significant (P &lt; 0.05); open markers are not. Error bars and bracketed values are 95% confidence intervals.</w:t>
      </w:r>
      <w:r w:rsidR="006B7B0D" w:rsidRPr="000F6719">
        <w:rPr>
          <w:rFonts w:ascii="Times New Roman" w:eastAsia="Arial" w:hAnsi="Times New Roman" w:cs="Times New Roman"/>
        </w:rPr>
        <w:t xml:space="preserve"> </w:t>
      </w:r>
      <w:r w:rsidR="00D141BE" w:rsidRPr="000F6719">
        <w:rPr>
          <w:rFonts w:ascii="Times New Roman" w:eastAsia="Arial" w:hAnsi="Times New Roman" w:cs="Times New Roman"/>
        </w:rPr>
        <w:t>(b) Black-race adjusted odds ratio before (coral circles) and after (navy squares) adjustment for six survey-derived SDoH domains. In panel (a) the three waves are coded light to dark blue.</w:t>
      </w:r>
      <w:r w:rsidR="00FE1937" w:rsidRPr="000F6719">
        <w:rPr>
          <w:rFonts w:ascii="Times New Roman" w:eastAsia="Arial" w:hAnsi="Times New Roman" w:cs="Times New Roman"/>
        </w:rPr>
      </w:r>
      <w:proofErr w:type="spellStart"/>
      <w:r w:rsidR="00FE1937" w:rsidRPr="000F6719">
        <w:rPr>
          <w:rFonts w:ascii="Times New Roman" w:eastAsia="Arial" w:hAnsi="Times New Roman" w:cs="Times New Roman"/>
        </w:rPr>
      </w:r>
      <w:proofErr w:type="spellEnd"/>
      <w:r w:rsidR="00FE1937" w:rsidRPr="000F6719">
        <w:rPr>
          <w:rFonts w:ascii="Times New Roman" w:eastAsia="Arial" w:hAnsi="Times New Roman" w:cs="Times New Roman"/>
        </w:rPr>
        <w:t xml:space="preserve"> The overall Black-race association was unchanged from pre-Delta to Delta and narrowed by Omicron, while coefficient attenuation by SDoH was 11.5%, 29.1%, and 30.1% across the three waves (grey bars: attenuation gap).</w:t>
      </w:r>
      <w:r w:rsidR="00341923" w:rsidRPr="000F6719">
        <w:rPr>
          <w:rFonts w:ascii="Times New Roman" w:eastAsia="Arial" w:hAnsi="Times New Roman" w:cs="Times New Roman"/>
        </w:rPr>
      </w:r>
      <w:proofErr w:type="spellStart"/>
      <w:r w:rsidR="00341923" w:rsidRPr="000F6719">
        <w:rPr>
          <w:rFonts w:ascii="Times New Roman" w:eastAsia="Arial" w:hAnsi="Times New Roman" w:cs="Times New Roman"/>
        </w:rPr>
      </w:r>
      <w:proofErr w:type="spellEnd"/>
      <w:r w:rsidR="00341923" w:rsidRPr="000F6719">
        <w:rPr>
          <w:rFonts w:ascii="Times New Roman" w:eastAsia="Arial" w:hAnsi="Times New Roman" w:cs="Times New Roman"/>
        </w:rPr>
      </w:r>
      <w:r w:rsidR="00341923" w:rsidRPr="000F6719">
        <w:rPr>
          <w:rFonts w:ascii="Times New Roman" w:eastAsia="Arial" w:hAnsi="Times New Roman" w:cs="Times New Roman"/>
        </w:rPr>
        <w:t xml:space="preserve"> </w:t>
      </w:r>
    </w:p>
    <w:p w14:paraId="1D956DCC" w14:textId="48ABCDC1" w:rsidR="00841284" w:rsidRPr="000F6719" w:rsidRDefault="00320D14" w:rsidP="00E3018C">
      <w:pPr>
        <w:spacing w:after="120" w:line="360" w:lineRule="auto"/>
        <w:rPr>
          <w:rFonts w:ascii="Times New Roman" w:eastAsia="Arial" w:hAnsi="Times New Roman" w:cs="Times New Roman"/>
        </w:rPr>
      </w:pPr>
      <w:r w:rsidRPr="000F6719">
        <w:rPr>
          <w:rFonts w:ascii="Times New Roman" w:eastAsia="Arial" w:hAnsi="Times New Roman" w:cs="Times New Roman"/>
          <w:b/>
          <w:bCs/>
        </w:rPr>
        <w:t>Alt text: Two-panel figure showing temporal shifts in social determinant contributions. Panel (a) is a grouped forest plot organized by income stratum; within each of the three strata (less than $10,000; $10,000 to $24,999; $25,000 to $34,999) the three pandemic waves are plotted in sequence. The lower-income association persists through Omicron, with less than $10,000 showing AOR 1.64 (significant). The $10,000 to $24,999 stratum is not significant during Delta. Delta estimates have wide confidence intervals due to smaller sample size. Only the three lowest strata are plotted.Panel (b) is a slope plot with three x-axis positions (Pre-Delta, Delta, Omicron). For each wave, two points connected by a grey bar show the Black-race AOR before SDoH adjustment (coral, higher) and after SDoH adjustment (navy, lower). The coral points are level from pre-Delta (3.00) to Delta (2.98) and then fall to 1.65 at Omicron. The navy points sit below them and descend less steeply. Annotations show attenuation of 11.5%, 29.1%, and 30.1%.</w:t>
      </w:r>
      <w:r w:rsidRPr="000F6719">
        <w:rPr>
          <w:rFonts w:ascii="Times New Roman" w:eastAsia="Arial" w:hAnsi="Times New Roman" w:cs="Times New Roman"/>
        </w:rPr>
      </w:r>
      <w:r w:rsidR="00DA4746" w:rsidRPr="00DA4746">
        <w:rPr>
          <w:rFonts w:ascii="Times New Roman" w:eastAsia="Arial" w:hAnsi="Times New Roman" w:cs="Times New Roman"/>
        </w:rPr>
      </w:r>
      <w:r w:rsidR="00750D28" w:rsidRPr="000F6719">
        <w:rPr>
          <w:rFonts w:ascii="Times New Roman" w:eastAsia="Arial" w:hAnsi="Times New Roman" w:cs="Times New Roman"/>
        </w:rPr>
      </w:r>
      <w:proofErr w:type="spellStart"/>
      <w:proofErr w:type="gramStart"/>
      <w:r w:rsidR="00750D28" w:rsidRPr="000F6719">
        <w:rPr>
          <w:rFonts w:ascii="Times New Roman" w:eastAsia="Arial" w:hAnsi="Times New Roman" w:cs="Times New Roman"/>
        </w:rPr>
      </w:r>
      <w:r w:rsidR="00A831FB" w:rsidRPr="000F6719">
        <w:rPr>
          <w:rFonts w:ascii="Times New Roman" w:eastAsia="Arial" w:hAnsi="Times New Roman" w:cs="Times New Roman"/>
        </w:rPr>
      </w:r>
      <w:proofErr w:type="spellEnd"/>
      <w:proofErr w:type="gramEnd"/>
      <w:r w:rsidR="00A831FB" w:rsidRPr="000F6719">
        <w:rPr>
          <w:rFonts w:ascii="Times New Roman" w:eastAsia="Arial" w:hAnsi="Times New Roman" w:cs="Times New Roman"/>
        </w:rPr>
      </w:r>
      <w:proofErr w:type="spellStart"/>
      <w:r w:rsidR="00A831FB" w:rsidRPr="000F6719">
        <w:rPr>
          <w:rFonts w:ascii="Times New Roman" w:eastAsia="Arial" w:hAnsi="Times New Roman" w:cs="Times New Roman"/>
        </w:rPr>
      </w:r>
      <w:proofErr w:type="spellEnd"/>
      <w:r w:rsidR="00A831FB" w:rsidRPr="000F6719">
        <w:rPr>
          <w:rFonts w:ascii="Times New Roman" w:eastAsia="Arial" w:hAnsi="Times New Roman" w:cs="Times New Roman"/>
        </w:rPr>
      </w:r>
      <w:proofErr w:type="spellStart"/>
      <w:r w:rsidR="00A831FB" w:rsidRPr="000F6719">
        <w:rPr>
          <w:rFonts w:ascii="Times New Roman" w:eastAsia="Arial" w:hAnsi="Times New Roman" w:cs="Times New Roman"/>
        </w:rPr>
      </w:r>
      <w:proofErr w:type="spellEnd"/>
      <w:r w:rsidR="00A831FB" w:rsidRPr="000F6719">
        <w:rPr>
          <w:rFonts w:ascii="Times New Roman" w:eastAsia="Arial" w:hAnsi="Times New Roman" w:cs="Times New Roman"/>
        </w:rPr>
      </w:r>
      <w:r w:rsidR="00505BFF" w:rsidRPr="000F6719">
        <w:rPr>
          <w:rFonts w:ascii="Times New Roman" w:eastAsia="Arial" w:hAnsi="Times New Roman" w:cs="Times New Roman"/>
        </w:rPr>
      </w:r>
      <w:r w:rsidR="00A831FB" w:rsidRPr="000F6719">
        <w:rPr>
          <w:rFonts w:ascii="Times New Roman" w:eastAsia="Arial" w:hAnsi="Times New Roman" w:cs="Times New Roman"/>
        </w:rPr>
      </w:r>
      <w:r w:rsidR="00505BFF" w:rsidRPr="000F6719">
        <w:rPr>
          <w:rFonts w:ascii="Times New Roman" w:eastAsia="Arial" w:hAnsi="Times New Roman" w:cs="Times New Roman"/>
        </w:rPr>
      </w:r>
      <w:r w:rsidR="00A831FB" w:rsidRPr="000F6719">
        <w:rPr>
          <w:rFonts w:ascii="Times New Roman" w:eastAsia="Arial" w:hAnsi="Times New Roman" w:cs="Times New Roman"/>
        </w:rPr>
      </w:r>
    </w:p>
    <w:sectPr w:rsidR="00841284" w:rsidRPr="000F671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6098024E"/>
    <w:multiLevelType w:val="hybridMultilevel"/>
    <w:tmpl w:val="1D92C290"/>
    <w:lvl w:ilvl="0" w:tplc="A1E8CCDA">
      <w:start w:val="1"/>
      <w:numFmt w:val="bullet"/>
      <w:lvlText w:val="●"/>
      <w:lvlJc w:val="left"/>
      <w:pPr>
        <w:ind w:left="720" w:hanging="360"/>
      </w:pPr>
    </w:lvl>
    <w:lvl w:ilvl="1" w:tplc="59ACB316">
      <w:start w:val="1"/>
      <w:numFmt w:val="bullet"/>
      <w:lvlText w:val="○"/>
      <w:lvlJc w:val="left"/>
      <w:pPr>
        <w:ind w:left="1440" w:hanging="360"/>
      </w:pPr>
    </w:lvl>
    <w:lvl w:ilvl="2" w:tplc="FC3AE46C">
      <w:start w:val="1"/>
      <w:numFmt w:val="bullet"/>
      <w:lvlText w:val="■"/>
      <w:lvlJc w:val="left"/>
      <w:pPr>
        <w:ind w:left="2160" w:hanging="360"/>
      </w:pPr>
    </w:lvl>
    <w:lvl w:ilvl="3" w:tplc="8B9697E2">
      <w:start w:val="1"/>
      <w:numFmt w:val="bullet"/>
      <w:lvlText w:val="●"/>
      <w:lvlJc w:val="left"/>
      <w:pPr>
        <w:ind w:left="2880" w:hanging="360"/>
      </w:pPr>
    </w:lvl>
    <w:lvl w:ilvl="4" w:tplc="27DA218C">
      <w:start w:val="1"/>
      <w:numFmt w:val="bullet"/>
      <w:lvlText w:val="○"/>
      <w:lvlJc w:val="left"/>
      <w:pPr>
        <w:ind w:left="3600" w:hanging="360"/>
      </w:pPr>
    </w:lvl>
    <w:lvl w:ilvl="5" w:tplc="6CB244B0">
      <w:start w:val="1"/>
      <w:numFmt w:val="bullet"/>
      <w:lvlText w:val="■"/>
      <w:lvlJc w:val="left"/>
      <w:pPr>
        <w:ind w:left="4320" w:hanging="360"/>
      </w:pPr>
    </w:lvl>
    <w:lvl w:ilvl="6" w:tplc="7B5043D4">
      <w:start w:val="1"/>
      <w:numFmt w:val="bullet"/>
      <w:lvlText w:val="●"/>
      <w:lvlJc w:val="left"/>
      <w:pPr>
        <w:ind w:left="5040" w:hanging="360"/>
      </w:pPr>
    </w:lvl>
    <w:lvl w:ilvl="7" w:tplc="9A1A4CEA">
      <w:start w:val="1"/>
      <w:numFmt w:val="bullet"/>
      <w:lvlText w:val="●"/>
      <w:lvlJc w:val="left"/>
      <w:pPr>
        <w:ind w:left="5760" w:hanging="360"/>
      </w:pPr>
    </w:lvl>
    <w:lvl w:ilvl="8" w:tplc="2F2C0F68">
      <w:start w:val="1"/>
      <w:numFmt w:val="bullet"/>
      <w:lvlText w:val="●"/>
      <w:lvlJc w:val="left"/>
      <w:pPr>
        <w:ind w:left="6480" w:hanging="360"/>
      </w:pPr>
    </w:lvl>
  </w:abstractNum>
  <w:num w:numId="1" w16cid:durableId="1271547181">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doNotDisplayPageBoundaries/>
  <w:displayBackgroundShape/>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J Amer Med Info Assoc&lt;/Style&gt;&lt;LeftDelim&gt;{&lt;/LeftDelim&gt;&lt;RightDelim&gt;}&lt;/RightDelim&gt;&lt;FontName&gt;Arial&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5tdrxpwpgztfvdetvw3pvweb259ww5wes0p2&quot;&gt;My EndNote Library&lt;record-ids&gt;&lt;item&gt;3&lt;/item&gt;&lt;item&gt;4&lt;/item&gt;&lt;item&gt;5&lt;/item&gt;&lt;item&gt;110&lt;/item&gt;&lt;item&gt;113&lt;/item&gt;&lt;item&gt;114&lt;/item&gt;&lt;item&gt;115&lt;/item&gt;&lt;item&gt;116&lt;/item&gt;&lt;item&gt;121&lt;/item&gt;&lt;item&gt;122&lt;/item&gt;&lt;item&gt;125&lt;/item&gt;&lt;item&gt;129&lt;/item&gt;&lt;item&gt;130&lt;/item&gt;&lt;item&gt;131&lt;/item&gt;&lt;item&gt;134&lt;/item&gt;&lt;item&gt;135&lt;/item&gt;&lt;item&gt;136&lt;/item&gt;&lt;item&gt;137&lt;/item&gt;&lt;item&gt;138&lt;/item&gt;&lt;item&gt;139&lt;/item&gt;&lt;item&gt;140&lt;/item&gt;&lt;item&gt;142&lt;/item&gt;&lt;item&gt;143&lt;/item&gt;&lt;item&gt;144&lt;/item&gt;&lt;item&gt;145&lt;/item&gt;&lt;item&gt;146&lt;/item&gt;&lt;item&gt;148&lt;/item&gt;&lt;item&gt;149&lt;/item&gt;&lt;item&gt;150&lt;/item&gt;&lt;item&gt;151&lt;/item&gt;&lt;item&gt;152&lt;/item&gt;&lt;item&gt;153&lt;/item&gt;&lt;item&gt;154&lt;/item&gt;&lt;item&gt;184&lt;/item&gt;&lt;item&gt;188&lt;/item&gt;&lt;item&gt;189&lt;/item&gt;&lt;item&gt;190&lt;/item&gt;&lt;item&gt;191&lt;/item&gt;&lt;item&gt;193&lt;/item&gt;&lt;item&gt;194&lt;/item&gt;&lt;item&gt;196&lt;/item&gt;&lt;item&gt;198&lt;/item&gt;&lt;item&gt;199&lt;/item&gt;&lt;item&gt;201&lt;/item&gt;&lt;item&gt;202&lt;/item&gt;&lt;/record-ids&gt;&lt;/item&gt;&lt;/Libraries&gt;"/>
  </w:docVars>
  <w:rsids>
    <w:rsidRoot w:val="00841284"/>
    <w:rsid w:val="00017562"/>
    <w:rsid w:val="00020FD3"/>
    <w:rsid w:val="00023685"/>
    <w:rsid w:val="000244A5"/>
    <w:rsid w:val="000337E5"/>
    <w:rsid w:val="00046375"/>
    <w:rsid w:val="000539DD"/>
    <w:rsid w:val="00060C8F"/>
    <w:rsid w:val="0006220C"/>
    <w:rsid w:val="00062D84"/>
    <w:rsid w:val="00064E6D"/>
    <w:rsid w:val="0006630A"/>
    <w:rsid w:val="000709F1"/>
    <w:rsid w:val="0007498D"/>
    <w:rsid w:val="000802B9"/>
    <w:rsid w:val="00081219"/>
    <w:rsid w:val="000812D3"/>
    <w:rsid w:val="00086720"/>
    <w:rsid w:val="00086915"/>
    <w:rsid w:val="00092A5A"/>
    <w:rsid w:val="000976F5"/>
    <w:rsid w:val="000A29E9"/>
    <w:rsid w:val="000A5395"/>
    <w:rsid w:val="000A5D01"/>
    <w:rsid w:val="000A696E"/>
    <w:rsid w:val="000B4E19"/>
    <w:rsid w:val="000B52B6"/>
    <w:rsid w:val="000C18BB"/>
    <w:rsid w:val="000C7E8A"/>
    <w:rsid w:val="000D76D6"/>
    <w:rsid w:val="000E1E58"/>
    <w:rsid w:val="000E2605"/>
    <w:rsid w:val="000E4F3D"/>
    <w:rsid w:val="000E73E4"/>
    <w:rsid w:val="000E75F0"/>
    <w:rsid w:val="000F08ED"/>
    <w:rsid w:val="000F1AAC"/>
    <w:rsid w:val="000F1D7E"/>
    <w:rsid w:val="000F6719"/>
    <w:rsid w:val="000F7F30"/>
    <w:rsid w:val="00100C43"/>
    <w:rsid w:val="00100EE1"/>
    <w:rsid w:val="00105B31"/>
    <w:rsid w:val="001060FE"/>
    <w:rsid w:val="001206BE"/>
    <w:rsid w:val="0012378A"/>
    <w:rsid w:val="00126B11"/>
    <w:rsid w:val="00131340"/>
    <w:rsid w:val="00133D5E"/>
    <w:rsid w:val="0013592A"/>
    <w:rsid w:val="00140DE8"/>
    <w:rsid w:val="0016340F"/>
    <w:rsid w:val="0016542D"/>
    <w:rsid w:val="0016798C"/>
    <w:rsid w:val="00173951"/>
    <w:rsid w:val="00175F28"/>
    <w:rsid w:val="001814E1"/>
    <w:rsid w:val="00184555"/>
    <w:rsid w:val="00184702"/>
    <w:rsid w:val="00184B89"/>
    <w:rsid w:val="00186716"/>
    <w:rsid w:val="001910D7"/>
    <w:rsid w:val="001B33B2"/>
    <w:rsid w:val="001B6229"/>
    <w:rsid w:val="001B6660"/>
    <w:rsid w:val="001C7CB4"/>
    <w:rsid w:val="001D22D4"/>
    <w:rsid w:val="001D67F7"/>
    <w:rsid w:val="001E4E6E"/>
    <w:rsid w:val="001E7B0C"/>
    <w:rsid w:val="002115FC"/>
    <w:rsid w:val="00214DEF"/>
    <w:rsid w:val="00220A60"/>
    <w:rsid w:val="0022337E"/>
    <w:rsid w:val="00225AD6"/>
    <w:rsid w:val="00231C97"/>
    <w:rsid w:val="002352EB"/>
    <w:rsid w:val="00237A21"/>
    <w:rsid w:val="00245AE5"/>
    <w:rsid w:val="00255D99"/>
    <w:rsid w:val="00270509"/>
    <w:rsid w:val="00274476"/>
    <w:rsid w:val="002778DC"/>
    <w:rsid w:val="0028060A"/>
    <w:rsid w:val="0028415F"/>
    <w:rsid w:val="00285242"/>
    <w:rsid w:val="00286C1D"/>
    <w:rsid w:val="00292D91"/>
    <w:rsid w:val="002934A5"/>
    <w:rsid w:val="002A29C6"/>
    <w:rsid w:val="002A3EFC"/>
    <w:rsid w:val="002A4EB0"/>
    <w:rsid w:val="002B4D01"/>
    <w:rsid w:val="002C07BC"/>
    <w:rsid w:val="002C2952"/>
    <w:rsid w:val="002C3941"/>
    <w:rsid w:val="002C59E0"/>
    <w:rsid w:val="002D0BDD"/>
    <w:rsid w:val="002D36C7"/>
    <w:rsid w:val="002D3E7A"/>
    <w:rsid w:val="002E4522"/>
    <w:rsid w:val="002E6165"/>
    <w:rsid w:val="002F15BA"/>
    <w:rsid w:val="002F2D2F"/>
    <w:rsid w:val="002F3C78"/>
    <w:rsid w:val="002F3EFA"/>
    <w:rsid w:val="002F4F0C"/>
    <w:rsid w:val="002F7839"/>
    <w:rsid w:val="00300397"/>
    <w:rsid w:val="00303343"/>
    <w:rsid w:val="0030399E"/>
    <w:rsid w:val="003140A6"/>
    <w:rsid w:val="00314FB5"/>
    <w:rsid w:val="00320D14"/>
    <w:rsid w:val="0032173F"/>
    <w:rsid w:val="003222B0"/>
    <w:rsid w:val="00322BA2"/>
    <w:rsid w:val="00325A14"/>
    <w:rsid w:val="00334888"/>
    <w:rsid w:val="00337683"/>
    <w:rsid w:val="00341923"/>
    <w:rsid w:val="00344958"/>
    <w:rsid w:val="00347D11"/>
    <w:rsid w:val="003502E7"/>
    <w:rsid w:val="003542D3"/>
    <w:rsid w:val="00360943"/>
    <w:rsid w:val="00360A1F"/>
    <w:rsid w:val="00365E9F"/>
    <w:rsid w:val="00366FD7"/>
    <w:rsid w:val="00367B43"/>
    <w:rsid w:val="003745F9"/>
    <w:rsid w:val="003869F1"/>
    <w:rsid w:val="003914BD"/>
    <w:rsid w:val="003A0961"/>
    <w:rsid w:val="003A226D"/>
    <w:rsid w:val="003B1F19"/>
    <w:rsid w:val="003B5A82"/>
    <w:rsid w:val="003C306C"/>
    <w:rsid w:val="003C31BD"/>
    <w:rsid w:val="003E1F94"/>
    <w:rsid w:val="003E37C0"/>
    <w:rsid w:val="003F1B8C"/>
    <w:rsid w:val="003F27C8"/>
    <w:rsid w:val="00403B03"/>
    <w:rsid w:val="00416C85"/>
    <w:rsid w:val="004221CA"/>
    <w:rsid w:val="00427919"/>
    <w:rsid w:val="0043132F"/>
    <w:rsid w:val="00432E89"/>
    <w:rsid w:val="00435CCD"/>
    <w:rsid w:val="00437618"/>
    <w:rsid w:val="004454DC"/>
    <w:rsid w:val="004457C1"/>
    <w:rsid w:val="00452027"/>
    <w:rsid w:val="004546F4"/>
    <w:rsid w:val="00470B76"/>
    <w:rsid w:val="00475C9E"/>
    <w:rsid w:val="004774AE"/>
    <w:rsid w:val="00480197"/>
    <w:rsid w:val="00480F47"/>
    <w:rsid w:val="00482F10"/>
    <w:rsid w:val="00483DB8"/>
    <w:rsid w:val="0048705F"/>
    <w:rsid w:val="004900AC"/>
    <w:rsid w:val="004964F1"/>
    <w:rsid w:val="004A1B9A"/>
    <w:rsid w:val="004A44DE"/>
    <w:rsid w:val="004A699A"/>
    <w:rsid w:val="004A6AD3"/>
    <w:rsid w:val="004B1EB1"/>
    <w:rsid w:val="004B2F9A"/>
    <w:rsid w:val="004B3FB3"/>
    <w:rsid w:val="004B5639"/>
    <w:rsid w:val="004B64E4"/>
    <w:rsid w:val="004D253F"/>
    <w:rsid w:val="004D6DF4"/>
    <w:rsid w:val="004D7D3D"/>
    <w:rsid w:val="004E13CF"/>
    <w:rsid w:val="004E1572"/>
    <w:rsid w:val="004E2C7F"/>
    <w:rsid w:val="004F2D87"/>
    <w:rsid w:val="004F311C"/>
    <w:rsid w:val="004F361A"/>
    <w:rsid w:val="004F42BE"/>
    <w:rsid w:val="00505BFF"/>
    <w:rsid w:val="00505CBE"/>
    <w:rsid w:val="00513C51"/>
    <w:rsid w:val="00520084"/>
    <w:rsid w:val="0052015B"/>
    <w:rsid w:val="00521894"/>
    <w:rsid w:val="005239FC"/>
    <w:rsid w:val="0052429A"/>
    <w:rsid w:val="005248FD"/>
    <w:rsid w:val="00524AF0"/>
    <w:rsid w:val="005263EB"/>
    <w:rsid w:val="005302F6"/>
    <w:rsid w:val="0053094D"/>
    <w:rsid w:val="005311ED"/>
    <w:rsid w:val="0053543B"/>
    <w:rsid w:val="005478E8"/>
    <w:rsid w:val="005510F4"/>
    <w:rsid w:val="00555E61"/>
    <w:rsid w:val="005567FA"/>
    <w:rsid w:val="005569B2"/>
    <w:rsid w:val="00557F68"/>
    <w:rsid w:val="005706EF"/>
    <w:rsid w:val="00572261"/>
    <w:rsid w:val="00576472"/>
    <w:rsid w:val="005823BA"/>
    <w:rsid w:val="00582763"/>
    <w:rsid w:val="00584712"/>
    <w:rsid w:val="00585117"/>
    <w:rsid w:val="005A04B5"/>
    <w:rsid w:val="005B3C29"/>
    <w:rsid w:val="005C36DE"/>
    <w:rsid w:val="005C48C4"/>
    <w:rsid w:val="005C71F5"/>
    <w:rsid w:val="005D0A9D"/>
    <w:rsid w:val="005D5F45"/>
    <w:rsid w:val="005E217D"/>
    <w:rsid w:val="005E24F5"/>
    <w:rsid w:val="005E2BFF"/>
    <w:rsid w:val="005E36A1"/>
    <w:rsid w:val="005E4C0B"/>
    <w:rsid w:val="005F1FB3"/>
    <w:rsid w:val="00601442"/>
    <w:rsid w:val="006028B0"/>
    <w:rsid w:val="00605F73"/>
    <w:rsid w:val="00607AFD"/>
    <w:rsid w:val="0061268F"/>
    <w:rsid w:val="00620432"/>
    <w:rsid w:val="00623D51"/>
    <w:rsid w:val="0062526A"/>
    <w:rsid w:val="006263F7"/>
    <w:rsid w:val="00627C22"/>
    <w:rsid w:val="0063529F"/>
    <w:rsid w:val="00635551"/>
    <w:rsid w:val="00640052"/>
    <w:rsid w:val="0064570A"/>
    <w:rsid w:val="006644BC"/>
    <w:rsid w:val="006661FA"/>
    <w:rsid w:val="0066634E"/>
    <w:rsid w:val="00666C2B"/>
    <w:rsid w:val="00673B68"/>
    <w:rsid w:val="006815E7"/>
    <w:rsid w:val="00682517"/>
    <w:rsid w:val="00687EDB"/>
    <w:rsid w:val="00691DC1"/>
    <w:rsid w:val="006963B7"/>
    <w:rsid w:val="00696C8A"/>
    <w:rsid w:val="00697FE7"/>
    <w:rsid w:val="006A02F1"/>
    <w:rsid w:val="006A2F9B"/>
    <w:rsid w:val="006A3C7A"/>
    <w:rsid w:val="006B4D72"/>
    <w:rsid w:val="006B588A"/>
    <w:rsid w:val="006B69E0"/>
    <w:rsid w:val="006B78AD"/>
    <w:rsid w:val="006B7B0D"/>
    <w:rsid w:val="006C14B0"/>
    <w:rsid w:val="006D39CC"/>
    <w:rsid w:val="006D5E30"/>
    <w:rsid w:val="006E0A9F"/>
    <w:rsid w:val="006E23AF"/>
    <w:rsid w:val="006E4F17"/>
    <w:rsid w:val="006E4FB5"/>
    <w:rsid w:val="006E6028"/>
    <w:rsid w:val="006F0828"/>
    <w:rsid w:val="00700AAB"/>
    <w:rsid w:val="00707C9A"/>
    <w:rsid w:val="00707D84"/>
    <w:rsid w:val="00710231"/>
    <w:rsid w:val="007117E0"/>
    <w:rsid w:val="007128D1"/>
    <w:rsid w:val="00714D44"/>
    <w:rsid w:val="00732CCA"/>
    <w:rsid w:val="0073467C"/>
    <w:rsid w:val="00750649"/>
    <w:rsid w:val="00750D28"/>
    <w:rsid w:val="00751072"/>
    <w:rsid w:val="007522E2"/>
    <w:rsid w:val="007542A6"/>
    <w:rsid w:val="00757107"/>
    <w:rsid w:val="007576DA"/>
    <w:rsid w:val="0076114B"/>
    <w:rsid w:val="00765A90"/>
    <w:rsid w:val="00774D85"/>
    <w:rsid w:val="00776223"/>
    <w:rsid w:val="00780024"/>
    <w:rsid w:val="00782BE1"/>
    <w:rsid w:val="00783E4B"/>
    <w:rsid w:val="00785D6E"/>
    <w:rsid w:val="00786A88"/>
    <w:rsid w:val="007A23D2"/>
    <w:rsid w:val="007A2D35"/>
    <w:rsid w:val="007A6135"/>
    <w:rsid w:val="007B0CAE"/>
    <w:rsid w:val="007B3195"/>
    <w:rsid w:val="007C163B"/>
    <w:rsid w:val="007C16D3"/>
    <w:rsid w:val="007C1E00"/>
    <w:rsid w:val="007C5338"/>
    <w:rsid w:val="007D10FB"/>
    <w:rsid w:val="007D17A8"/>
    <w:rsid w:val="007D5187"/>
    <w:rsid w:val="007D6F16"/>
    <w:rsid w:val="007D6F72"/>
    <w:rsid w:val="007D706D"/>
    <w:rsid w:val="007E175C"/>
    <w:rsid w:val="007E35A2"/>
    <w:rsid w:val="007E6F37"/>
    <w:rsid w:val="007F0DE7"/>
    <w:rsid w:val="007F5693"/>
    <w:rsid w:val="0080020B"/>
    <w:rsid w:val="00800EA3"/>
    <w:rsid w:val="00814F6E"/>
    <w:rsid w:val="00821EF5"/>
    <w:rsid w:val="008331E8"/>
    <w:rsid w:val="008341B3"/>
    <w:rsid w:val="00834531"/>
    <w:rsid w:val="00836999"/>
    <w:rsid w:val="0083759B"/>
    <w:rsid w:val="00840028"/>
    <w:rsid w:val="00841284"/>
    <w:rsid w:val="00844E7F"/>
    <w:rsid w:val="008515B6"/>
    <w:rsid w:val="008607DE"/>
    <w:rsid w:val="008617FE"/>
    <w:rsid w:val="008629E0"/>
    <w:rsid w:val="00863866"/>
    <w:rsid w:val="00867117"/>
    <w:rsid w:val="00870A71"/>
    <w:rsid w:val="00871189"/>
    <w:rsid w:val="00872392"/>
    <w:rsid w:val="0088134B"/>
    <w:rsid w:val="00882DC7"/>
    <w:rsid w:val="0088350E"/>
    <w:rsid w:val="00884054"/>
    <w:rsid w:val="00886CB5"/>
    <w:rsid w:val="00887ED5"/>
    <w:rsid w:val="00891C33"/>
    <w:rsid w:val="00893DF2"/>
    <w:rsid w:val="00895A13"/>
    <w:rsid w:val="008A2FA1"/>
    <w:rsid w:val="008A435F"/>
    <w:rsid w:val="008B3FC7"/>
    <w:rsid w:val="008B5AF6"/>
    <w:rsid w:val="008C3280"/>
    <w:rsid w:val="00901A06"/>
    <w:rsid w:val="00906E17"/>
    <w:rsid w:val="00910554"/>
    <w:rsid w:val="00917959"/>
    <w:rsid w:val="00922757"/>
    <w:rsid w:val="0092451C"/>
    <w:rsid w:val="00933495"/>
    <w:rsid w:val="00942C9C"/>
    <w:rsid w:val="00973B65"/>
    <w:rsid w:val="009771BF"/>
    <w:rsid w:val="009772B5"/>
    <w:rsid w:val="00980B95"/>
    <w:rsid w:val="00980C72"/>
    <w:rsid w:val="00981794"/>
    <w:rsid w:val="0099631B"/>
    <w:rsid w:val="009A1900"/>
    <w:rsid w:val="009A1F40"/>
    <w:rsid w:val="009A7915"/>
    <w:rsid w:val="009B5553"/>
    <w:rsid w:val="009B7EC4"/>
    <w:rsid w:val="009C2A29"/>
    <w:rsid w:val="009C44A4"/>
    <w:rsid w:val="009D0D22"/>
    <w:rsid w:val="009D1DF8"/>
    <w:rsid w:val="009E0F12"/>
    <w:rsid w:val="009E3919"/>
    <w:rsid w:val="009E3F3D"/>
    <w:rsid w:val="009F079D"/>
    <w:rsid w:val="009F24E2"/>
    <w:rsid w:val="009F5291"/>
    <w:rsid w:val="00A033DE"/>
    <w:rsid w:val="00A12D08"/>
    <w:rsid w:val="00A17ACA"/>
    <w:rsid w:val="00A22582"/>
    <w:rsid w:val="00A31DB8"/>
    <w:rsid w:val="00A354BD"/>
    <w:rsid w:val="00A365CC"/>
    <w:rsid w:val="00A41BD6"/>
    <w:rsid w:val="00A424E7"/>
    <w:rsid w:val="00A454A2"/>
    <w:rsid w:val="00A479FF"/>
    <w:rsid w:val="00A50678"/>
    <w:rsid w:val="00A51077"/>
    <w:rsid w:val="00A60EC5"/>
    <w:rsid w:val="00A62C42"/>
    <w:rsid w:val="00A74AD2"/>
    <w:rsid w:val="00A80826"/>
    <w:rsid w:val="00A80FDD"/>
    <w:rsid w:val="00A81EEC"/>
    <w:rsid w:val="00A831FB"/>
    <w:rsid w:val="00A865D0"/>
    <w:rsid w:val="00A90C25"/>
    <w:rsid w:val="00A90E27"/>
    <w:rsid w:val="00AA09AC"/>
    <w:rsid w:val="00AA0E87"/>
    <w:rsid w:val="00AA37A0"/>
    <w:rsid w:val="00AA596D"/>
    <w:rsid w:val="00AB5576"/>
    <w:rsid w:val="00AC0733"/>
    <w:rsid w:val="00AC247F"/>
    <w:rsid w:val="00AC2EEF"/>
    <w:rsid w:val="00AC47C1"/>
    <w:rsid w:val="00AE00FF"/>
    <w:rsid w:val="00AE079F"/>
    <w:rsid w:val="00AE3F2E"/>
    <w:rsid w:val="00AF04D0"/>
    <w:rsid w:val="00B00182"/>
    <w:rsid w:val="00B01772"/>
    <w:rsid w:val="00B04A86"/>
    <w:rsid w:val="00B04C03"/>
    <w:rsid w:val="00B0664E"/>
    <w:rsid w:val="00B06BA7"/>
    <w:rsid w:val="00B07B8D"/>
    <w:rsid w:val="00B272F5"/>
    <w:rsid w:val="00B33CB0"/>
    <w:rsid w:val="00B36011"/>
    <w:rsid w:val="00B427E2"/>
    <w:rsid w:val="00B43686"/>
    <w:rsid w:val="00B43A39"/>
    <w:rsid w:val="00B50F0C"/>
    <w:rsid w:val="00B522D1"/>
    <w:rsid w:val="00B53896"/>
    <w:rsid w:val="00B60077"/>
    <w:rsid w:val="00B60DCD"/>
    <w:rsid w:val="00B7458A"/>
    <w:rsid w:val="00B77437"/>
    <w:rsid w:val="00B819E1"/>
    <w:rsid w:val="00B83BA0"/>
    <w:rsid w:val="00B96FCD"/>
    <w:rsid w:val="00BA06F0"/>
    <w:rsid w:val="00BA288E"/>
    <w:rsid w:val="00BA525C"/>
    <w:rsid w:val="00BA5759"/>
    <w:rsid w:val="00BB6EEF"/>
    <w:rsid w:val="00BC23E1"/>
    <w:rsid w:val="00BC5BD7"/>
    <w:rsid w:val="00BC6A31"/>
    <w:rsid w:val="00BD5DF4"/>
    <w:rsid w:val="00BD6BD1"/>
    <w:rsid w:val="00BE10EC"/>
    <w:rsid w:val="00BE36F2"/>
    <w:rsid w:val="00BE615A"/>
    <w:rsid w:val="00BE7F4D"/>
    <w:rsid w:val="00C06AB3"/>
    <w:rsid w:val="00C06BCF"/>
    <w:rsid w:val="00C1009F"/>
    <w:rsid w:val="00C164E7"/>
    <w:rsid w:val="00C23D78"/>
    <w:rsid w:val="00C34DC2"/>
    <w:rsid w:val="00C363DA"/>
    <w:rsid w:val="00C42886"/>
    <w:rsid w:val="00C4769D"/>
    <w:rsid w:val="00C504BD"/>
    <w:rsid w:val="00C52699"/>
    <w:rsid w:val="00C56F76"/>
    <w:rsid w:val="00C60048"/>
    <w:rsid w:val="00C6233F"/>
    <w:rsid w:val="00C7701E"/>
    <w:rsid w:val="00C77A53"/>
    <w:rsid w:val="00C80B54"/>
    <w:rsid w:val="00C84033"/>
    <w:rsid w:val="00C955BE"/>
    <w:rsid w:val="00CA10EF"/>
    <w:rsid w:val="00CB2846"/>
    <w:rsid w:val="00CB4672"/>
    <w:rsid w:val="00CB6826"/>
    <w:rsid w:val="00CC227A"/>
    <w:rsid w:val="00CC7934"/>
    <w:rsid w:val="00CC7E2A"/>
    <w:rsid w:val="00CD0876"/>
    <w:rsid w:val="00CD0D72"/>
    <w:rsid w:val="00CD4A14"/>
    <w:rsid w:val="00CE1CF9"/>
    <w:rsid w:val="00CE6DBB"/>
    <w:rsid w:val="00D00197"/>
    <w:rsid w:val="00D01653"/>
    <w:rsid w:val="00D02962"/>
    <w:rsid w:val="00D10CEA"/>
    <w:rsid w:val="00D12EE0"/>
    <w:rsid w:val="00D141BE"/>
    <w:rsid w:val="00D15156"/>
    <w:rsid w:val="00D16765"/>
    <w:rsid w:val="00D1760E"/>
    <w:rsid w:val="00D202F9"/>
    <w:rsid w:val="00D22272"/>
    <w:rsid w:val="00D31F5B"/>
    <w:rsid w:val="00D413D7"/>
    <w:rsid w:val="00D43B31"/>
    <w:rsid w:val="00D443EB"/>
    <w:rsid w:val="00D457FF"/>
    <w:rsid w:val="00D604D2"/>
    <w:rsid w:val="00D6314F"/>
    <w:rsid w:val="00D84DAC"/>
    <w:rsid w:val="00D912CF"/>
    <w:rsid w:val="00D924D2"/>
    <w:rsid w:val="00D92D40"/>
    <w:rsid w:val="00D96219"/>
    <w:rsid w:val="00DA106E"/>
    <w:rsid w:val="00DA45E8"/>
    <w:rsid w:val="00DA4746"/>
    <w:rsid w:val="00DB2FA2"/>
    <w:rsid w:val="00DB38E0"/>
    <w:rsid w:val="00DB5A3C"/>
    <w:rsid w:val="00DC21CC"/>
    <w:rsid w:val="00DC30F1"/>
    <w:rsid w:val="00DD120B"/>
    <w:rsid w:val="00DD1630"/>
    <w:rsid w:val="00DD3174"/>
    <w:rsid w:val="00DD480A"/>
    <w:rsid w:val="00DD5758"/>
    <w:rsid w:val="00DD6885"/>
    <w:rsid w:val="00DD7628"/>
    <w:rsid w:val="00DE2856"/>
    <w:rsid w:val="00DE3BD6"/>
    <w:rsid w:val="00DE7297"/>
    <w:rsid w:val="00DF26EC"/>
    <w:rsid w:val="00E00CFA"/>
    <w:rsid w:val="00E02E7A"/>
    <w:rsid w:val="00E07153"/>
    <w:rsid w:val="00E073C6"/>
    <w:rsid w:val="00E10180"/>
    <w:rsid w:val="00E1290C"/>
    <w:rsid w:val="00E12C11"/>
    <w:rsid w:val="00E142B9"/>
    <w:rsid w:val="00E17DFC"/>
    <w:rsid w:val="00E27BCB"/>
    <w:rsid w:val="00E3018C"/>
    <w:rsid w:val="00E30B38"/>
    <w:rsid w:val="00E355DD"/>
    <w:rsid w:val="00E41D4C"/>
    <w:rsid w:val="00E42FB3"/>
    <w:rsid w:val="00E50A40"/>
    <w:rsid w:val="00E50C69"/>
    <w:rsid w:val="00E5411B"/>
    <w:rsid w:val="00E64D6F"/>
    <w:rsid w:val="00E72B26"/>
    <w:rsid w:val="00E74E0C"/>
    <w:rsid w:val="00E82085"/>
    <w:rsid w:val="00E830A6"/>
    <w:rsid w:val="00E90B25"/>
    <w:rsid w:val="00E959D2"/>
    <w:rsid w:val="00EB06E6"/>
    <w:rsid w:val="00EC090E"/>
    <w:rsid w:val="00EC1949"/>
    <w:rsid w:val="00EC321A"/>
    <w:rsid w:val="00ED01FF"/>
    <w:rsid w:val="00ED42D9"/>
    <w:rsid w:val="00EE464F"/>
    <w:rsid w:val="00EE5929"/>
    <w:rsid w:val="00EF0208"/>
    <w:rsid w:val="00EF2069"/>
    <w:rsid w:val="00EF430C"/>
    <w:rsid w:val="00EF4324"/>
    <w:rsid w:val="00F12F27"/>
    <w:rsid w:val="00F16D56"/>
    <w:rsid w:val="00F23BF9"/>
    <w:rsid w:val="00F46E2D"/>
    <w:rsid w:val="00F53DBB"/>
    <w:rsid w:val="00F54121"/>
    <w:rsid w:val="00F65BDA"/>
    <w:rsid w:val="00F812F9"/>
    <w:rsid w:val="00F8203C"/>
    <w:rsid w:val="00F87C71"/>
    <w:rsid w:val="00F9075C"/>
    <w:rsid w:val="00F92FF1"/>
    <w:rsid w:val="00F9376A"/>
    <w:rsid w:val="00F943D4"/>
    <w:rsid w:val="00F9697B"/>
    <w:rsid w:val="00FA18FB"/>
    <w:rsid w:val="00FA1941"/>
    <w:rsid w:val="00FC24DC"/>
    <w:rsid w:val="00FC3116"/>
    <w:rsid w:val="00FC3FB8"/>
    <w:rsid w:val="00FC63EA"/>
    <w:rsid w:val="00FE0C00"/>
    <w:rsid w:val="00FE1937"/>
    <w:rsid w:val="00FF0248"/>
    <w:rsid w:val="00FF041B"/>
    <w:rsid w:val="00FF2D68"/>
    <w:rsid w:val="00FF3A51"/>
    <w:rsid w:val="00FF409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0D4EEC"/>
  <w15:docId w15:val="{BBEB50EC-6118-864A-9FE9-7A243C800A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SimSun" w:hAnsi="Arial" w:cs="Arial"/>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40" w:line="480" w:lineRule="auto"/>
      <w:outlineLvl w:val="0"/>
    </w:pPr>
    <w:rPr>
      <w:rFonts w:eastAsia="Arial"/>
      <w:b/>
      <w:bCs/>
      <w:caps/>
    </w:rPr>
  </w:style>
  <w:style w:type="paragraph" w:styleId="Heading2">
    <w:name w:val="heading 2"/>
    <w:uiPriority w:val="9"/>
    <w:unhideWhenUsed/>
    <w:qFormat/>
    <w:pPr>
      <w:spacing w:before="240" w:after="120" w:line="480" w:lineRule="auto"/>
      <w:outlineLvl w:val="1"/>
    </w:pPr>
    <w:rPr>
      <w:rFonts w:eastAsia="Arial"/>
      <w:b/>
      <w:bCs/>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EndNoteBibliographyTitle">
    <w:name w:val="EndNote Bibliography Title"/>
    <w:basedOn w:val="Normal"/>
    <w:link w:val="EndNoteBibliographyTitleChar"/>
    <w:rsid w:val="00D6314F"/>
    <w:pPr>
      <w:jc w:val="center"/>
    </w:pPr>
  </w:style>
  <w:style w:type="character" w:customStyle="1" w:styleId="EndNoteBibliographyTitleChar">
    <w:name w:val="EndNote Bibliography Title Char"/>
    <w:basedOn w:val="DefaultParagraphFont"/>
    <w:link w:val="EndNoteBibliographyTitle"/>
    <w:rsid w:val="00D6314F"/>
  </w:style>
  <w:style w:type="paragraph" w:customStyle="1" w:styleId="EndNoteBibliography">
    <w:name w:val="EndNote Bibliography"/>
    <w:basedOn w:val="Normal"/>
    <w:link w:val="EndNoteBibliographyChar"/>
    <w:rsid w:val="00D6314F"/>
  </w:style>
  <w:style w:type="character" w:customStyle="1" w:styleId="EndNoteBibliographyChar">
    <w:name w:val="EndNote Bibliography Char"/>
    <w:basedOn w:val="DefaultParagraphFont"/>
    <w:link w:val="EndNoteBibliography"/>
    <w:rsid w:val="00D6314F"/>
  </w:style>
  <w:style w:type="character" w:styleId="UnresolvedMention">
    <w:name w:val="Unresolved Mention"/>
    <w:basedOn w:val="DefaultParagraphFont"/>
    <w:uiPriority w:val="99"/>
    <w:semiHidden/>
    <w:unhideWhenUsed/>
    <w:rsid w:val="00BC5BD7"/>
    <w:rPr>
      <w:color w:val="605E5C"/>
      <w:shd w:val="clear" w:color="auto" w:fill="E1DFDD"/>
    </w:rPr>
  </w:style>
  <w:style w:type="paragraph" w:styleId="Revision">
    <w:name w:val="Revision"/>
    <w:hidden/>
    <w:uiPriority w:val="99"/>
    <w:semiHidden/>
    <w:rsid w:val="00140DE8"/>
  </w:style>
  <w:style w:type="character" w:styleId="CommentReference">
    <w:name w:val="annotation reference"/>
    <w:basedOn w:val="DefaultParagraphFont"/>
    <w:uiPriority w:val="99"/>
    <w:semiHidden/>
    <w:unhideWhenUsed/>
    <w:rsid w:val="0032173F"/>
    <w:rPr>
      <w:sz w:val="16"/>
      <w:szCs w:val="16"/>
    </w:rPr>
  </w:style>
  <w:style w:type="paragraph" w:styleId="CommentText">
    <w:name w:val="annotation text"/>
    <w:basedOn w:val="Normal"/>
    <w:link w:val="CommentTextChar"/>
    <w:uiPriority w:val="99"/>
    <w:unhideWhenUsed/>
    <w:rsid w:val="0032173F"/>
    <w:rPr>
      <w:sz w:val="20"/>
      <w:szCs w:val="20"/>
    </w:rPr>
  </w:style>
  <w:style w:type="character" w:customStyle="1" w:styleId="CommentTextChar">
    <w:name w:val="Comment Text Char"/>
    <w:basedOn w:val="DefaultParagraphFont"/>
    <w:link w:val="CommentText"/>
    <w:uiPriority w:val="99"/>
    <w:rsid w:val="0032173F"/>
    <w:rPr>
      <w:sz w:val="20"/>
      <w:szCs w:val="20"/>
    </w:rPr>
  </w:style>
  <w:style w:type="paragraph" w:styleId="CommentSubject">
    <w:name w:val="annotation subject"/>
    <w:basedOn w:val="CommentText"/>
    <w:next w:val="CommentText"/>
    <w:link w:val="CommentSubjectChar"/>
    <w:uiPriority w:val="99"/>
    <w:semiHidden/>
    <w:unhideWhenUsed/>
    <w:rsid w:val="0032173F"/>
    <w:rPr>
      <w:b/>
      <w:bCs/>
    </w:rPr>
  </w:style>
  <w:style w:type="character" w:customStyle="1" w:styleId="CommentSubjectChar">
    <w:name w:val="Comment Subject Char"/>
    <w:basedOn w:val="CommentTextChar"/>
    <w:link w:val="CommentSubject"/>
    <w:uiPriority w:val="99"/>
    <w:semiHidden/>
    <w:rsid w:val="0032173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Su-informatics-lab/aou_covid" TargetMode="Externa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5.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00a8bd55-d538-4219-a108-4714e45030fa">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06BAE3096FB2E845818A78E07D04B957" ma:contentTypeVersion="10" ma:contentTypeDescription="Create a new document." ma:contentTypeScope="" ma:versionID="a5fdd70ba73768c693a1d91c7bd6a301">
  <xsd:schema xmlns:xsd="http://www.w3.org/2001/XMLSchema" xmlns:xs="http://www.w3.org/2001/XMLSchema" xmlns:p="http://schemas.microsoft.com/office/2006/metadata/properties" xmlns:ns2="00a8bd55-d538-4219-a108-4714e45030fa" targetNamespace="http://schemas.microsoft.com/office/2006/metadata/properties" ma:root="true" ma:fieldsID="3d31e7d98e2598239ad23962336ebb55" ns2:_="">
    <xsd:import namespace="00a8bd55-d538-4219-a108-4714e45030f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lcf76f155ced4ddcb4097134ff3c332f"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0a8bd55-d538-4219-a108-4714e45030f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0eec0a79-46cb-4568-9b1b-2d720bd3207c"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B719CC6-3555-4B3F-BD97-798EF5850291}">
  <ds:schemaRefs>
    <ds:schemaRef ds:uri="http://schemas.microsoft.com/sharepoint/v3/contenttype/forms"/>
  </ds:schemaRefs>
</ds:datastoreItem>
</file>

<file path=customXml/itemProps2.xml><?xml version="1.0" encoding="utf-8"?>
<ds:datastoreItem xmlns:ds="http://schemas.openxmlformats.org/officeDocument/2006/customXml" ds:itemID="{40F27F2A-4596-4812-9716-529BB3EC6E88}">
  <ds:schemaRefs>
    <ds:schemaRef ds:uri="http://schemas.microsoft.com/office/2006/metadata/properties"/>
    <ds:schemaRef ds:uri="http://schemas.microsoft.com/office/infopath/2007/PartnerControls"/>
    <ds:schemaRef ds:uri="00a8bd55-d538-4219-a108-4714e45030fa"/>
  </ds:schemaRefs>
</ds:datastoreItem>
</file>

<file path=customXml/itemProps3.xml><?xml version="1.0" encoding="utf-8"?>
<ds:datastoreItem xmlns:ds="http://schemas.openxmlformats.org/officeDocument/2006/customXml" ds:itemID="{74E8846A-9CF2-4A74-B823-344F463230C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0a8bd55-d538-4219-a108-4714e45030f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1898</TotalTime>
  <Pages>32</Pages>
  <Words>13974</Words>
  <Characters>79657</Characters>
  <Application>Microsoft Office Word</Application>
  <DocSecurity>0</DocSecurity>
  <Lines>663</Lines>
  <Paragraphs>186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Wang, Haining</cp:lastModifiedBy>
  <cp:revision>616</cp:revision>
  <dcterms:created xsi:type="dcterms:W3CDTF">2026-07-06T20:17:00Z</dcterms:created>
  <dcterms:modified xsi:type="dcterms:W3CDTF">2026-07-26T20:24:00Z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0x01010006BAE3096FB2E845818A78E07D04B957</vt:lpwstr>
  </property>
  <property fmtid="{D5CDD505-2E9C-101B-9397-08002B2CF9AE}" pid="3" name="MediaServiceImageTags">
    <vt:lpwstr/>
  </property>
  <property fmtid="{D5CDD505-2E9C-101B-9397-08002B2CF9AE}" pid="4" name="GrammarlyDocumentId">
    <vt:lpwstr>4ffc7536-067a-4bd5-9587-aa0c35b95cce</vt:lpwstr>
  </property>
</Properties>
</file>