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Haining Wang, PhD</w:t>
      </w:r>
    </w:p>
    <w:p>
      <w:pPr>
        <w:spacing w:after="0"/>
      </w:pPr>
      <w:r>
        <w:rPr>
          <w:b w:val="0"/>
        </w:rPr>
        <w:t>Department of Biostatistics and Health Data Science</w:t>
      </w:r>
    </w:p>
    <w:p>
      <w:pPr>
        <w:spacing w:after="0"/>
      </w:pPr>
      <w:r>
        <w:rPr>
          <w:b w:val="0"/>
        </w:rPr>
        <w:t>Indiana University School of Medicine</w:t>
      </w:r>
    </w:p>
    <w:p>
      <w:pPr>
        <w:spacing w:after="0"/>
      </w:pPr>
      <w:r>
        <w:rPr>
          <w:b w:val="0"/>
        </w:rPr>
        <w:t>Indianapolis, IN 46202, United States</w:t>
      </w:r>
    </w:p>
    <w:p>
      <w:pPr>
        <w:spacing w:after="280"/>
      </w:pPr>
      <w:r>
        <w:rPr>
          <w:b w:val="0"/>
        </w:rPr>
        <w:t>hw56@iu.edu</w:t>
      </w:r>
    </w:p>
    <w:p>
      <w:pPr>
        <w:spacing w:after="280"/>
      </w:pPr>
      <w:r>
        <w:rPr>
          <w:b w:val="0"/>
        </w:rPr>
        <w:t>1 September 2026</w:t>
      </w:r>
    </w:p>
    <w:p>
      <w:pPr>
        <w:spacing w:after="0"/>
      </w:pPr>
      <w:r>
        <w:rPr>
          <w:b w:val="0"/>
        </w:rPr>
        <w:t>The Editors</w:t>
      </w:r>
    </w:p>
    <w:p>
      <w:pPr>
        <w:spacing w:after="280"/>
      </w:pPr>
      <w:r>
        <w:rPr>
          <w:b w:val="0"/>
        </w:rPr>
        <w:t>Journal of the American Medical Informatics Association</w:t>
      </w:r>
    </w:p>
    <w:p>
      <w:pPr>
        <w:spacing w:after="240"/>
      </w:pPr>
      <w:r>
        <w:rPr>
          <w:b w:val="0"/>
        </w:rPr>
        <w:t>Dear Editors,</w:t>
      </w:r>
    </w:p>
    <w:p>
      <w:pPr>
        <w:spacing w:after="200"/>
      </w:pPr>
      <w:r>
        <w:rPr>
          <w:b w:val="0"/>
        </w:rPr>
        <w:t>We submit “Survey-derived social determinants of COVID-19 hospitalization: lessons for respiratory-pandemic preparedness from the All of Us Research Program” for consideration as a Research and Applications article.</w:t>
      </w:r>
    </w:p>
    <w:p>
      <w:pPr>
        <w:spacing w:after="200"/>
      </w:pPr>
      <w:r>
        <w:rPr>
          <w:b w:val="0"/>
        </w:rPr>
        <w:t>Area-level deprivation indices are known to be poor proxies for the social circumstances of individual patients, yet they remain the default exposure in most EHR-based disparity research because individual-level social data are documented in fewer than 2% of encounters. All of Us is one of the few resources that links survey-measured social determinants to OMOP-standardized EHR data at scale. We use that linkage to ask a question the field has not been able to answer directly: after mutual adjustment, which social domains carry independent signal, and which are simply standing in for one another.</w:t>
      </w:r>
    </w:p>
    <w:p>
      <w:pPr>
        <w:spacing w:after="200"/>
      </w:pPr>
      <w:r>
        <w:rPr>
          <w:b w:val="0"/>
        </w:rPr>
        <w:t>In 4,064 hospitalized cases matched to 15,856 controls on encounter-density proxies rather than on clinical severity, Medicaid coverage, unemployment, renting, and the two lowest income strata remained associated with hospitalization after mutual adjustment and after control for 19 Charlson comorbidities, vaccination, and pandemic wave. Education below GED did not; its apparent effect was shared with income and employment. Six-domain adjustment moved the Black-race odds ratio from 2.30 to 2.00, so measured individual socioeconomic position accounts for only a small part of that association. We report the wave-stratified results in full, including the Delta wave, where the attenuation estimate is large but imprecise, and we state plainly that the three waves were not compared formally.</w:t>
      </w:r>
    </w:p>
    <w:p>
      <w:pPr>
        <w:spacing w:after="200"/>
      </w:pPr>
      <w:r>
        <w:rPr>
          <w:b w:val="0"/>
        </w:rPr>
        <w:t>Two points on rigour. First, we matched on data-availability proxies rather than clinical characteristics, which addresses informative presence bias directly rather than adjusting for visit count after the fact. Second, we benchmark the clinical base model against 693,682 matched MarketScan observations and report every discordant estimate, including the five that disagree in direction, rather than only those consistent with our conclusions. Analysis code is public at https://github.com/Su-informatics-lab/aou_covid.</w:t>
      </w:r>
    </w:p>
    <w:p>
      <w:pPr>
        <w:spacing w:after="120"/>
      </w:pPr>
      <w:r>
        <w:rPr>
          <w:b/>
        </w:rPr>
        <w:t>Declarations</w:t>
      </w:r>
    </w:p>
    <w:p>
      <w:pPr>
        <w:spacing w:after="160"/>
      </w:pPr>
      <w:r>
        <w:rPr>
          <w:b w:val="0"/>
        </w:rPr>
        <w:t>Related work. No part of this manuscript has been published or is under consideration elsewhere. The cohort and ETL share a code base with Gatz et al., J Am Med Inform Assoc 2024;31(12):2932–39, on a different outcome (severe acidosis); no results are duplicated.</w:t>
      </w:r>
    </w:p>
    <w:p>
      <w:pPr>
        <w:spacing w:after="160"/>
      </w:pPr>
      <w:r>
        <w:rPr>
          <w:b w:val="0"/>
        </w:rPr>
        <w:t>Previous review. This manuscript has not been reviewed by another journal.</w:t>
      </w:r>
    </w:p>
    <w:p>
      <w:pPr>
        <w:spacing w:after="160"/>
      </w:pPr>
      <w:r>
        <w:rPr>
          <w:b w:val="0"/>
        </w:rPr>
        <w:t>Use of artificial intelligence. A large language model (Claude, Anthropic) was used to audit the manuscript against the analysis outputs, to check reference accuracy, and to generate figure plotting code. It was not used to generate scientific content, to interpret results, or to draft the substantive text. All numbers were verified against the committed analysis artifacts by the authors. This is also disclosed in the Acknowledgements.</w:t>
      </w:r>
    </w:p>
    <w:p>
      <w:pPr>
        <w:spacing w:after="280"/>
      </w:pPr>
      <w:r>
        <w:rPr>
          <w:b w:val="0"/>
        </w:rPr>
        <w:t>Special considerations. None. Race and ethnicity are analysed as social rather than biological constructs; the Discussion states the limits of interpreting a residual race coefficient after socioeconomic adjustment.</w:t>
      </w:r>
    </w:p>
    <w:p>
      <w:pPr>
        <w:spacing w:after="280"/>
      </w:pPr>
      <w:r>
        <w:rPr>
          <w:b w:val="0"/>
        </w:rPr>
        <w:t>We thank you for considering this work.</w:t>
      </w:r>
    </w:p>
    <w:p>
      <w:pPr>
        <w:spacing w:after="360"/>
      </w:pPr>
      <w:r>
        <w:rPr>
          <w:b w:val="0"/>
        </w:rPr>
        <w:t>Sincerely,</w:t>
      </w:r>
    </w:p>
    <w:p>
      <w:pPr>
        <w:spacing w:after="0"/>
      </w:pPr>
      <w:r>
        <w:rPr>
          <w:b w:val="0"/>
        </w:rPr>
        <w:t>Haining Wang, PhD, on behalf of all authors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