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72391E" w14:textId="77777777" w:rsidR="00334888" w:rsidRPr="000F6719" w:rsidRDefault="00334888" w:rsidP="00E3018C">
      <w:pPr>
        <w:spacing w:after="240" w:line="480" w:lineRule="auto"/>
        <w:jc w:val="center"/>
        <w:rPr>
          <w:rFonts w:ascii="Times New Roman" w:hAnsi="Times New Roman" w:cs="Times New Roman"/>
        </w:rPr>
      </w:pPr>
      <w:r w:rsidRPr="000F6719">
        <w:rPr>
          <w:rFonts w:ascii="Times New Roman" w:eastAsia="Arial" w:hAnsi="Times New Roman" w:cs="Times New Roman"/>
          <w:b/>
          <w:bCs/>
          <w:sz w:val="28"/>
          <w:szCs w:val="28"/>
        </w:rPr>
        <w:t>Survey-linked EHR measurement of social factors associated with COVID-19 hospitalization in the All of Us Research Program</w:t>
      </w:r>
    </w:p>
    <w:p w14:paraId="530631C7"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Haining Wang,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 Yihan Zhang, BSc(c)</w:t>
      </w:r>
      <w:r w:rsidRPr="000F6719">
        <w:rPr>
          <w:rFonts w:ascii="Times New Roman" w:eastAsia="Arial" w:hAnsi="Times New Roman" w:cs="Times New Roman"/>
          <w:vertAlign w:val="superscript"/>
        </w:rPr>
        <w:t>1,2</w:t>
      </w:r>
      <w:r w:rsidRPr="000F6719">
        <w:rPr>
          <w:rFonts w:ascii="Times New Roman" w:eastAsia="Arial" w:hAnsi="Times New Roman" w:cs="Times New Roman"/>
        </w:rPr>
        <w:t>; Chenxi Xiong, MS</w:t>
      </w:r>
      <w:r w:rsidRPr="000F6719">
        <w:rPr>
          <w:rFonts w:ascii="Times New Roman" w:eastAsia="Arial" w:hAnsi="Times New Roman" w:cs="Times New Roman"/>
          <w:vertAlign w:val="superscript"/>
        </w:rPr>
        <w:t>1,3</w:t>
      </w:r>
      <w:r w:rsidRPr="000F6719">
        <w:rPr>
          <w:rFonts w:ascii="Times New Roman" w:eastAsia="Arial" w:hAnsi="Times New Roman" w:cs="Times New Roman"/>
        </w:rPr>
        <w:t>; Zhao Zhang, MD</w:t>
      </w:r>
      <w:r w:rsidRPr="000F6719">
        <w:rPr>
          <w:rFonts w:ascii="Times New Roman" w:eastAsia="Arial" w:hAnsi="Times New Roman" w:cs="Times New Roman"/>
          <w:vertAlign w:val="superscript"/>
        </w:rPr>
        <w:t>1,4</w:t>
      </w:r>
      <w:r w:rsidRPr="000F6719">
        <w:rPr>
          <w:rFonts w:ascii="Times New Roman" w:eastAsia="Arial" w:hAnsi="Times New Roman" w:cs="Times New Roman"/>
        </w:rPr>
        <w:t xml:space="preserve">; </w:t>
      </w:r>
      <w:proofErr w:type="spellStart"/>
      <w:r w:rsidRPr="000F6719">
        <w:rPr>
          <w:rFonts w:ascii="Times New Roman" w:eastAsia="Arial" w:hAnsi="Times New Roman" w:cs="Times New Roman"/>
        </w:rPr>
        <w:t>Jiangqiong</w:t>
      </w:r>
      <w:proofErr w:type="spellEnd"/>
      <w:r w:rsidRPr="000F6719">
        <w:rPr>
          <w:rFonts w:ascii="Times New Roman" w:eastAsia="Arial" w:hAnsi="Times New Roman" w:cs="Times New Roman"/>
        </w:rPr>
        <w:t xml:space="preserve"> Li,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 Hengyi Fu, PhD</w:t>
      </w:r>
      <w:r w:rsidRPr="000F6719">
        <w:rPr>
          <w:rFonts w:ascii="Times New Roman" w:eastAsia="Arial" w:hAnsi="Times New Roman" w:cs="Times New Roman"/>
          <w:vertAlign w:val="superscript"/>
        </w:rPr>
        <w:t>5</w:t>
      </w:r>
      <w:r w:rsidRPr="000F6719">
        <w:rPr>
          <w:rFonts w:ascii="Times New Roman" w:eastAsia="Arial" w:hAnsi="Times New Roman" w:cs="Times New Roman"/>
        </w:rPr>
        <w:t>; Xiaojun Yuan, PhD</w:t>
      </w:r>
      <w:r w:rsidRPr="000F6719">
        <w:rPr>
          <w:rFonts w:ascii="Times New Roman" w:eastAsia="Arial" w:hAnsi="Times New Roman" w:cs="Times New Roman"/>
          <w:vertAlign w:val="superscript"/>
        </w:rPr>
        <w:t>6</w:t>
      </w:r>
      <w:r w:rsidRPr="000F6719">
        <w:rPr>
          <w:rFonts w:ascii="Times New Roman" w:eastAsia="Arial" w:hAnsi="Times New Roman" w:cs="Times New Roman"/>
        </w:rPr>
        <w:t xml:space="preserve">; </w:t>
      </w:r>
      <w:proofErr w:type="spellStart"/>
      <w:r w:rsidRPr="000F6719">
        <w:rPr>
          <w:rFonts w:ascii="Times New Roman" w:eastAsia="Arial" w:hAnsi="Times New Roman" w:cs="Times New Roman"/>
        </w:rPr>
        <w:t>Xiaochun</w:t>
      </w:r>
      <w:proofErr w:type="spellEnd"/>
      <w:r w:rsidRPr="000F6719">
        <w:rPr>
          <w:rFonts w:ascii="Times New Roman" w:eastAsia="Arial" w:hAnsi="Times New Roman" w:cs="Times New Roman"/>
        </w:rPr>
        <w:t xml:space="preserve"> Li,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 Jing Su,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w:t>
      </w:r>
    </w:p>
    <w:p w14:paraId="2FB07F21"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1</w:t>
      </w:r>
      <w:r w:rsidRPr="000F6719">
        <w:rPr>
          <w:rFonts w:ascii="Times New Roman" w:eastAsia="Arial" w:hAnsi="Times New Roman" w:cs="Times New Roman"/>
        </w:rPr>
        <w:t xml:space="preserve"> Department of Biostatistics and Health Data Science, Indiana University School of Medicine, Indianapolis, IN 46202, United States</w:t>
      </w:r>
    </w:p>
    <w:p w14:paraId="2109D4AE"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2</w:t>
      </w:r>
      <w:r w:rsidRPr="000F6719">
        <w:rPr>
          <w:rFonts w:ascii="Times New Roman" w:eastAsia="Arial" w:hAnsi="Times New Roman" w:cs="Times New Roman"/>
        </w:rPr>
        <w:t xml:space="preserve"> School of Interdisciplinary Science, McMaster University, Hamilton, ON L8S 4L8, Canada</w:t>
      </w:r>
    </w:p>
    <w:p w14:paraId="1130D9D3"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3</w:t>
      </w:r>
      <w:r w:rsidRPr="000F6719">
        <w:rPr>
          <w:rFonts w:ascii="Times New Roman" w:eastAsia="Arial" w:hAnsi="Times New Roman" w:cs="Times New Roman"/>
        </w:rPr>
        <w:t xml:space="preserve"> Department of Computer and Information Technology, Purdue University, West Lafayette, IN 47907, United States</w:t>
      </w:r>
    </w:p>
    <w:p w14:paraId="1A21397D"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4</w:t>
      </w:r>
      <w:r w:rsidRPr="000F6719">
        <w:rPr>
          <w:rFonts w:ascii="Times New Roman" w:eastAsia="Arial" w:hAnsi="Times New Roman" w:cs="Times New Roman"/>
        </w:rPr>
        <w:t xml:space="preserve"> Department of Anesthesiology, Tianjin Chest Hospital, Tianjin, China</w:t>
      </w:r>
    </w:p>
    <w:p w14:paraId="07A72EFB"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5</w:t>
      </w:r>
      <w:r w:rsidRPr="000F6719">
        <w:rPr>
          <w:rFonts w:ascii="Times New Roman" w:eastAsia="Arial" w:hAnsi="Times New Roman" w:cs="Times New Roman"/>
        </w:rPr>
        <w:t xml:space="preserve"> School of Information, San José State University, San José, CA 95192, United States</w:t>
      </w:r>
    </w:p>
    <w:p w14:paraId="33C1F9FF"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6</w:t>
      </w:r>
      <w:r w:rsidRPr="000F6719">
        <w:rPr>
          <w:rFonts w:ascii="Times New Roman" w:eastAsia="Arial" w:hAnsi="Times New Roman" w:cs="Times New Roman"/>
        </w:rPr>
        <w:t xml:space="preserve"> Department of Information Sciences and Technology, College of Emergency Preparedness, Homeland Security and Cybersecurity, University at Albany, State University of New York, Albany, NY 12226, United States</w:t>
      </w:r>
    </w:p>
    <w:p w14:paraId="33A088EC"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rPr>
        <w:t>* Corresponding author: Jing Su, PhD, Associate Professor, Department of Biostatistics and Health Data Science, Indiana University School of Medicine, 410 W. 10th Street, HITS 3000, Indianapolis, IN 46202, United States. Telephone: +1 317-278-2950. Email: su1@iu.edu</w:t>
      </w:r>
      <w:r>
        <w:rPr>
          <w:rFonts w:ascii="Times New Roman" w:hAnsi="Times New Roman"/>
          <w:b w:val="0"/>
          <w:highlight w:val="yellow"/>
        </w:rPr>
        <w:t xml:space="preserve">  [ORCID TO CONFIRM: Jing Su, 0000-0003-4917-6173 — inferred from dblp and Crossref, not read off an IU page. ScholarOne requires it.]</w:t>
      </w:r>
    </w:p>
    <w:p w14:paraId="30B1A50B" w14:textId="77777777" w:rsidR="005C1DFF" w:rsidRDefault="00000000">
      <w:pPr>
        <w:spacing w:line="480" w:lineRule="auto"/>
      </w:pPr>
      <w:r>
        <w:rPr>
          <w:rFonts w:ascii="Times New Roman" w:hAnsi="Times New Roman"/>
        </w:rPr>
        <w:t>Word count: 3,979 excluding title page, abstract, references, tables, figure legends, and end matter (acknowledgments, contributions, funding, conflicts, ethics, data availability) (JAMIA Research and Applications allows 4,000). Abstract: 250 words (limit 250). Tables: 3 (limit 4). Figures: 5 (limit 6). Supplement: 13 eTables, 2 eFigures, 1 eMethod. Limits verified 2026-09-02 against academic.oup.com/jamia/pages/General_Instructions.</w:t>
      </w:r>
      <w:r>
        <w:rPr>
          <w:rFonts w:ascii="Times New Roman" w:hAnsi="Times New Roman"/>
        </w:rPr>
      </w:r>
    </w:p>
    <w:p w14:paraId="2A1572A3"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Keywords:</w:t>
      </w:r>
      <w:r w:rsidRPr="000F6719">
        <w:rPr>
          <w:rFonts w:ascii="Times New Roman" w:eastAsia="Arial" w:hAnsi="Times New Roman" w:cs="Times New Roman"/>
        </w:rPr>
        <w:t xml:space="preserve"> Health Status Disparities; Social Determinants of Health; Electronic Health Records; COVID-19; Hospitalization.</w:t>
      </w:r>
    </w:p>
    <w:p w14:paraId="13DB9050"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ABSTRACT</w:t>
      </w:r>
    </w:p>
    <w:p w14:paraId="693C1045"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Objective:</w:t>
      </w:r>
      <w:r w:rsidRPr="000F6719">
        <w:rPr>
          <w:rFonts w:ascii="Times New Roman" w:eastAsia="Arial" w:hAnsi="Times New Roman" w:cs="Times New Roman"/>
        </w:rPr>
        <w:t xml:space="preserve"> To examine whether survey-derived social determinants of health (SDoH) are associated with COVID-19 hospitalization beyond demographic and clinical factors.</w:t>
      </w:r>
    </w:p>
    <w:p w14:paraId="404924A6"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Materials and Methods:</w:t>
      </w:r>
      <w:r w:rsidRPr="00C86739">
        <w:rPr>
          <w:rFonts w:ascii="Times New Roman" w:eastAsia="Arial" w:hAnsi="Times New Roman" w:cs="Times New Roman"/>
        </w:rPr>
        <w:t xml:space="preserve"> Propensity score-matched case-control study in All of Us (n = 25,160 COVID-positive). 3,997 cases hospitalized within 14 days of diagnosis were matched on encounter-density proxies. Conditional logistic models estimated adjusted odds ratios (AORs) for 19 Charlson comorbidities and six SDoH domains, separately, jointly, and with exposure-by-wave interactions.</w:t>
      </w:r>
    </w:p>
    <w:p w14:paraId="510FB844" w14:textId="77777777" w:rsidR="00841284" w:rsidRPr="00C8673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Results:</w:t>
      </w:r>
      <w:r w:rsidRPr="00C86739">
        <w:rPr>
          <w:rFonts w:ascii="Times New Roman" w:eastAsia="Arial" w:hAnsi="Times New Roman" w:cs="Times New Roman"/>
        </w:rPr>
        <w:t xml:space="preserve"> Jointly, unemployment (AOR 1.35, 95% CI 1.20-1.52), the two lowest income strata (both 1.21), Medicaid (1.19, 1.05-1.36), and renting (1.16, 1.05-1.28) remained associated; education below GED did not (1.06, 0.92-1.22). Their combined profile carried 1.67-fold odds (1.40-1.99). Six-domain adjustment moved the Black-race AOR from 2.39 (2.18-2.62) to 2.09 (1.89-2.31); income alone accounted for 11.7 of those 15.1 percentage points. Wave interaction was significant for insurance (P = 0.003), not race (P = 0.07) or income (P = 0.22); the pre-specified Black-race contrast, pre-Delta 2.30 against Omicron 1.78, was significant (P = 0.017).</w:t>
      </w:r>
    </w:p>
    <w:p w14:paraId="631CD8E0" w14:textId="77777777" w:rsidR="00841284" w:rsidRPr="00C8673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Discussion:</w:t>
      </w:r>
      <w:r w:rsidRPr="00C86739">
        <w:rPr>
          <w:rFonts w:ascii="Times New Roman" w:eastAsia="Arial" w:hAnsi="Times New Roman" w:cs="Times New Roman"/>
        </w:rPr>
        <w:t xml:space="preserve"> Four social domains remained associated after clinical adjustment, and employment rather than insurance carried the largest. The survey supplied social detail absent from structured </w:t>
      </w:r>
      <w:r w:rsidRPr="00C86739">
        <w:rPr>
          <w:rFonts w:ascii="Times New Roman" w:eastAsia="Arial" w:hAnsi="Times New Roman" w:cs="Times New Roman"/>
        </w:rPr>
        <w:lastRenderedPageBreak/>
        <w:t>EHR fields, which document 0-2% of encounters. Whether recording it would improve a screening decision is a question this design does not address.</w:t>
      </w:r>
    </w:p>
    <w:p w14:paraId="64B8F0D9" w14:textId="77777777" w:rsidR="00841284" w:rsidRPr="00C86739" w:rsidRDefault="00D413D7" w:rsidP="00E3018C">
      <w:pPr>
        <w:spacing w:after="120" w:line="480" w:lineRule="auto"/>
        <w:rPr>
          <w:rFonts w:ascii="Times New Roman" w:hAnsi="Times New Roman" w:cs="Times New Roman"/>
        </w:rPr>
      </w:pPr>
      <w:r>
        <w:rPr>
          <w:rFonts w:ascii="Times New Roman" w:hAnsi="Times New Roman"/>
          <w:b/>
        </w:rPr>
        <w:t>Conclusion:</w:t>
      </w:r>
      <w:r>
        <w:rPr>
          <w:rFonts w:ascii="Times New Roman" w:hAnsi="Times New Roman"/>
          <w:b w:val="0"/>
        </w:rPr>
        <w:t xml:space="preserve"> Employment, income, insurance, and housing were independently associated with COVID-19 hospitalization after clinical adjustment. Measured socioeconomic position accounted for about a sixth of the Black-race association, almost all through income. Interpretation depends on survey timing and domain overlap.</w:t>
      </w:r>
    </w:p>
    <w:p w14:paraId="25FCAF1E" w14:textId="77777777" w:rsidR="00841284" w:rsidRPr="000F6719" w:rsidRDefault="00841284" w:rsidP="00E3018C">
      <w:pPr>
        <w:spacing w:line="480" w:lineRule="auto"/>
        <w:rPr>
          <w:rFonts w:ascii="Times New Roman" w:hAnsi="Times New Roman" w:cs="Times New Roman"/>
        </w:rPr>
      </w:pPr>
    </w:p>
    <w:p w14:paraId="69D6D628"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INTRODUCTION</w:t>
      </w:r>
    </w:p>
    <w:p w14:paraId="71E2A893" w14:textId="77777777" w:rsidR="00C77A53" w:rsidRPr="000F6719" w:rsidRDefault="000F1AAC" w:rsidP="00505CBE">
      <w:pPr>
        <w:spacing w:after="120" w:line="480" w:lineRule="auto"/>
        <w:rPr>
          <w:rFonts w:ascii="Times New Roman" w:eastAsia="Arial" w:hAnsi="Times New Roman" w:cs="Times New Roman"/>
        </w:rPr>
      </w:pPr>
      <w:r w:rsidRPr="000F6719">
        <w:rPr>
          <w:rFonts w:ascii="Times New Roman" w:eastAsia="Arial" w:hAnsi="Times New Roman" w:cs="Times New Roman"/>
        </w:rPr>
        <w:t>Respiratory viral pandemics will continue to emerge, and each will reproduce the health disparities observed during COVID-19 unless preparedness planning incorporates social risk factors alongside clinical ones.[1-3] COVID-19 provided a natural experiment: hospitalization fell disproportionately on Black, Hispanic, and lower-income populations throughout the pandemic,[4, 5] and meta-analytic evidence places the pooled standardised hospitalisation ratio for Black populations near 1.9 (1.87, 95% CI 1.69-2.04) against 0.74 for White populations.[6] What remains contested is how much of that excess reflects specific, measurable individual social conditions, and how much reflects structural factors that individual-level data cannot capture.</w:t>
      </w:r>
    </w:p>
    <w:p w14:paraId="1F6A0CC2"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BACKGROUND AND SIGNIFICANCE</w:t>
      </w:r>
    </w:p>
    <w:p w14:paraId="427843F8" w14:textId="77777777" w:rsidR="00841284" w:rsidRPr="000F6719" w:rsidRDefault="00D413D7" w:rsidP="00505CBE">
      <w:pPr>
        <w:spacing w:after="120" w:line="480" w:lineRule="auto"/>
        <w:rPr>
          <w:rFonts w:ascii="Times New Roman" w:eastAsia="Arial" w:hAnsi="Times New Roman" w:cs="Times New Roman"/>
        </w:rPr>
      </w:pPr>
      <w:r w:rsidRPr="000F6719">
        <w:rPr>
          <w:rFonts w:ascii="Times New Roman" w:eastAsia="Arial" w:hAnsi="Times New Roman" w:cs="Times New Roman"/>
        </w:rPr>
        <w:t xml:space="preserve">The exposure most often used to answer that question is an area-level deprivation index, and it is a poor proxy for the circumstances of an individual patient. County-level analyses have linked composite indices to higher incidence and mortality,[7] and the Social Deprivation Index </w:t>
      </w:r>
      <w:r w:rsidRPr="000F6719">
        <w:rPr>
          <w:rFonts w:ascii="Times New Roman" w:eastAsia="Arial" w:hAnsi="Times New Roman" w:cs="Times New Roman"/>
        </w:rPr>
        <w:lastRenderedPageBreak/>
        <w:t>predicted COVID-19 case rates but did not improve prediction of in-hospital outcome once demographics, comorbidities, and vitals were included.[8] In a national Medicare sample, area deprivation indices had low sensitivity for identifying patients with self-reported needs,[9] and in over 1.3 million community health center patients, none of the tested indices predicted individual social risk better than chance.[10]</w:t>
      </w:r>
    </w:p>
    <w:p w14:paraId="1AD4649A"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individual-level alternative, social risk coded in the electronic health record (EHR), is documented in fewer than 2% of encounters.[14-16] Two recent analyses worked around this. In All of Us, Choi et al. entered income, education, and an area-level index simultaneously, and found an income gradient and no association with education.[11] Within the National COVID Cohort Collaborative,[12, 13] Vaidya et al. evaluated three Healthy People 2030 domains and found all three associated with hospitalization, but drew exposures from those same sparsely coded EHR fields.[16] Neither modelled multiple survey-derived domains jointly to assess mutual confounding, and neither matched on encounter density to address informative presence bias, the tendency for sicker and more socially complex patients to generate more EHR data and so to confound associations derived from those records.[17]</w:t>
      </w:r>
    </w:p>
    <w:p w14:paraId="612423D0"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Two or three individual-level variables plus an area-level index cannot show which of the wider set of social domains carry independent signal, nor which share it. Here we evaluate six survey-derived social domains (insurance, income, education, employment, housing tenure and stability, and disability) in 25,160 COVID-positive All of Us participants, using a matched case-control design that balances encounter-density proxies rather than clinical severity.[18] We ask which domains remain associated after mutual adjustment and control for 19 Charlson comorbidities, vaccination, and pandemic wave; how much of the Black-race association they account for; and </w:t>
      </w:r>
      <w:r w:rsidRPr="000F6719">
        <w:rPr>
          <w:rFonts w:ascii="Times New Roman" w:eastAsia="Arial" w:hAnsi="Times New Roman" w:cs="Times New Roman"/>
        </w:rPr>
        <w:lastRenderedPageBreak/>
        <w:t>whether either changed from pre-Delta through Omicron. MarketScan Commercial Claims (n = 4.4 million) serves as a cross-cohort check on the clinical model.</w:t>
      </w:r>
    </w:p>
    <w:p w14:paraId="427EC16C" w14:textId="77777777" w:rsidR="00841284" w:rsidRPr="000F6719" w:rsidRDefault="00841284" w:rsidP="00E3018C">
      <w:pPr>
        <w:spacing w:line="480" w:lineRule="auto"/>
        <w:rPr>
          <w:rFonts w:ascii="Times New Roman" w:hAnsi="Times New Roman" w:cs="Times New Roman"/>
        </w:rPr>
      </w:pPr>
    </w:p>
    <w:p w14:paraId="13CF246E"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METHODS</w:t>
      </w:r>
    </w:p>
    <w:p w14:paraId="0CB53B6C" w14:textId="77777777"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We conducted a propensity score–matched case-control study using All of Us Research Program data.</w:t>
      </w:r>
      <w:r w:rsidRPr="000F6719">
        <w:rPr>
          <w:rFonts w:ascii="Times New Roman" w:eastAsia="Arial" w:hAnsi="Times New Roman" w:cs="Times New Roman"/>
        </w:rPr>
        <w:fldChar w:fldCharType="begin">
          <w:fldData xml:space="preserve">PEVuZE5vdGU+PENpdGU+PEF1dGhvcj5EZW5ueTwvQXV0aG9yPjxZZWFyPjIwMTk8L1llYXI+PFJl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</w:fldData>
        </w:fldChar>
      </w:r>
      <w:r w:rsidR="009A7915" w:rsidRPr="000F6719">
        <w:rPr>
          <w:rFonts w:ascii="Times New Roman" w:eastAsia="Arial" w:hAnsi="Times New Roman" w:cs="Times New Roman"/>
        </w:rPr>
        <w:instrText xml:space="preserve"> ADDIN EN.CITE </w:instrText>
      </w:r>
      <w:r w:rsidR="009A7915" w:rsidRPr="000F6719">
        <w:rPr>
          <w:rFonts w:ascii="Times New Roman" w:eastAsia="Arial" w:hAnsi="Times New Roman" w:cs="Times New Roman"/>
        </w:rPr>
        <w:fldChar w:fldCharType="begin">
          <w:fldData xml:space="preserve">PEVuZE5vdGU+PENpdGU+PEF1dGhvcj5EZW5ueTwvQXV0aG9yPjxZZWFyPjIwMTk8L1llYXI+PFJl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</w:fldData>
        </w:fldChar>
      </w:r>
      <w:r w:rsidR="009A7915" w:rsidRPr="000F6719">
        <w:rPr>
          <w:rFonts w:ascii="Times New Roman" w:eastAsia="Arial" w:hAnsi="Times New Roman" w:cs="Times New Roman"/>
        </w:rPr>
        <w:instrText xml:space="preserve"> ADDIN EN.CITE.DATA </w:instrText>
      </w:r>
      <w:r w:rsidR="009A7915" w:rsidRPr="000F6719">
        <w:rPr>
          <w:rFonts w:ascii="Times New Roman" w:eastAsia="Arial" w:hAnsi="Times New Roman" w:cs="Times New Roman"/>
        </w:rPr>
      </w:r>
      <w:r w:rsidR="009A7915" w:rsidRPr="000F6719">
        <w:rPr>
          <w:rFonts w:ascii="Times New Roman" w:eastAsia="Arial" w:hAnsi="Times New Roman" w:cs="Times New Roman"/>
        </w:rPr>
        <w:fldChar w:fldCharType="end"/>
      </w:r>
      <w:r w:rsidRPr="000F6719">
        <w:rPr>
          <w:rFonts w:ascii="Times New Roman" w:eastAsia="Arial" w:hAnsi="Times New Roman" w:cs="Times New Roman"/>
        </w:rPr>
      </w:r>
      <w:r w:rsidRPr="000F6719">
        <w:rPr>
          <w:rFonts w:ascii="Times New Roman" w:eastAsia="Arial" w:hAnsi="Times New Roman" w:cs="Times New Roman"/>
        </w:rPr>
        <w:fldChar w:fldCharType="separate"/>
      </w:r>
      <w:r w:rsidR="009A7915" w:rsidRPr="000F6719">
        <w:rPr>
          <w:rFonts w:ascii="Times New Roman" w:eastAsia="Arial" w:hAnsi="Times New Roman" w:cs="Times New Roman"/>
          <w:noProof/>
        </w:rPr>
        <w:t>[19-21]</w:t>
      </w:r>
      <w:r w:rsidRPr="000F6719">
        <w:rPr>
          <w:rFonts w:ascii="Times New Roman" w:eastAsia="Arial" w:hAnsi="Times New Roman" w:cs="Times New Roman"/>
        </w:rPr>
        <w:fldChar w:fldCharType="end"/>
      </w:r>
      <w:r w:rsidRPr="000F6719">
        <w:rPr>
          <w:rFonts w:ascii="Times New Roman" w:eastAsia="Arial" w:hAnsi="Times New Roman" w:cs="Times New Roman"/>
        </w:rPr>
        <w:t xml:space="preserve"> Conditional logistic regression estimates associations between </w:t>
      </w:r>
      <w:proofErr w:type="spellStart"/>
      <w:r w:rsidRPr="000F6719">
        <w:rPr>
          <w:rFonts w:ascii="Times New Roman" w:eastAsia="Arial" w:hAnsi="Times New Roman" w:cs="Times New Roman"/>
        </w:rPr>
        <w:t>SDoH</w:t>
      </w:r>
      <w:proofErr w:type="spellEnd"/>
      <w:r w:rsidRPr="000F6719">
        <w:rPr>
          <w:rFonts w:ascii="Times New Roman" w:eastAsia="Arial" w:hAnsi="Times New Roman" w:cs="Times New Roman"/>
        </w:rPr>
        <w:t xml:space="preserve"> and COVID-19 hospitalization within strata balanced on encounter-density proxies. The design targets within-stratum associations rather than total causal effects of social position. Figure 1 shows the study flowchart.</w:t>
      </w:r>
    </w:p>
    <w:p w14:paraId="1FB55F33" w14:textId="77777777" w:rsidR="005F1FB3" w:rsidRPr="000F6719" w:rsidRDefault="00776223" w:rsidP="00E3018C">
      <w:pPr>
        <w:spacing w:after="120" w:line="480" w:lineRule="auto"/>
        <w:rPr>
          <w:rFonts w:ascii="Times New Roman" w:hAnsi="Times New Roman" w:cs="Times New Roman"/>
        </w:rPr>
      </w:pPr>
      <w:r w:rsidRPr="000F6719">
        <w:rPr>
          <w:rFonts w:ascii="Times New Roman" w:hAnsi="Times New Roman" w:cs="Times New Roman"/>
          <w:noProof/>
        </w:rPr>
        <w:drawing>
          <wp:inline distT="0" distB="0" distL="0" distR="0" wp14:anchorId="15892893" wp14:editId="5656C164">
            <wp:extent cx="5943600" cy="2705792"/>
            <wp:effectExtent l="0" t="0" r="0" b="635"/>
            <wp:docPr id="20559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60472" name="Picture 20559604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5792"/>
                    </a:xfrm>
                    <a:prstGeom prst="rect">
                      <a:avLst/>
                    </a:prstGeom>
                  </pic:spPr>
                </pic:pic>
              </a:graphicData>
            </a:graphic>
          </wp:inline>
        </w:drawing>
      </w:r>
    </w:p>
    <w:p w14:paraId="0C11ED84"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Study design and participants</w:t>
      </w:r>
    </w:p>
    <w:p w14:paraId="26D18718"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We conducted a retrospective case-control study in All of Us Controlled Tier Data, Curated Data Repository version 7 C2022Q4R13, cutoff July 1, 2022. Conditions, drug exposures, visits, the Basics Survey, and vaccination records were extracted using the OMOP Common Data Model </w:t>
      </w:r>
      <w:r w:rsidRPr="000F6719">
        <w:rPr>
          <w:rFonts w:ascii="Times New Roman" w:eastAsia="Arial" w:hAnsi="Times New Roman" w:cs="Times New Roman"/>
        </w:rPr>
        <w:lastRenderedPageBreak/>
        <w:t>version 5.3.1. The COVID-19 index date was the earliest of a documented SARS-CoV-2 positive test or an ICD-10 U07.1 diagnosis. Participants with COVID-19 and both diagnosis and Basics Survey data were eligible. Cases were hospitalized within 14 days of the index date; controls were COVID-positive participants who were not. Control observations whose index date fell within 14 days of the CDR cutoff were excluded, because their follow-up cannot be verified.</w:t>
      </w:r>
    </w:p>
    <w:p w14:paraId="4F3868A7"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Matching sought four controls per case on first Basics Survey date, number of diagnoses, and length of medical history as encounter-density proxies, implemented in MatchIt with nearest-neighbor matching with replacement on the logit propensity score and a caliper of 0.2 standard deviations of that score.[22, 23] We matched on encounter density rather than clinical characteristics because patients with more health-system contact accumulate more recorded diagnoses, creating informative presence bias, and adjusting for visit count alone does not correct it.[17, 24, 25] SDoH were excluded from the propensity score because they are the exposures of interest; residual imbalance was addressed through conditional regression. MarketScan matching used the same procedure with first enrollment date, number of distinct diagnoses, and coverage span.</w:t>
      </w:r>
    </w:p>
    <w:p w14:paraId="4213ACB4"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Outcome</w:t>
      </w:r>
    </w:p>
    <w:p w14:paraId="07D54DA9" w14:textId="77777777"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The primary outcome was COVID-19 hospitalization or extended emergency department care within 14 days of the index date, aligned with the CDC COVID-NET surveillance window.[26] COVID-19 was identified by ICD-10 U07.1 or a positive SARS-CoV-2 laboratory test from 65 measurement concepts (eTable 1). Hospitalization comprised inpatient visits, emergency-to-inpatient visits, and emergency visits with a recorded stay of one or more days; same-day emergency visits without admission were excluded from the strict outcome (eTable 2a; Figure 2). In MarketScan, hospitalization was any inpatient claim carrying U07.1 within 14 days.</w:t>
      </w:r>
    </w:p>
    <w:p w14:paraId="1D10FED3" w14:textId="77777777" w:rsidR="00DD3174" w:rsidRPr="000F6719" w:rsidRDefault="0052015B" w:rsidP="00E3018C">
      <w:pPr>
        <w:spacing w:after="120" w:line="480" w:lineRule="auto"/>
        <w:rPr>
          <w:rFonts w:ascii="Times New Roman" w:hAnsi="Times New Roman" w:cs="Times New Roman"/>
        </w:rPr>
      </w:pPr>
      <w:r w:rsidRPr="000F6719">
        <w:rPr>
          <w:rFonts w:ascii="Times New Roman" w:hAnsi="Times New Roman" w:cs="Times New Roman"/>
          <w:noProof/>
        </w:rPr>
        <w:lastRenderedPageBreak/>
        <w:drawing>
          <wp:inline distT="0" distB="0" distL="0" distR="0" wp14:anchorId="78045F91" wp14:editId="7CDFF24D">
            <wp:extent cx="5943600" cy="3414691"/>
            <wp:effectExtent l="0" t="0" r="0" b="3175"/>
            <wp:docPr id="35922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2823" name="Picture 3592228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14691"/>
                    </a:xfrm>
                    <a:prstGeom prst="rect">
                      <a:avLst/>
                    </a:prstGeom>
                  </pic:spPr>
                </pic:pic>
              </a:graphicData>
            </a:graphic>
          </wp:inline>
        </w:drawing>
      </w:r>
    </w:p>
    <w:p w14:paraId="300CA17F"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Exposure and covariates</w:t>
      </w:r>
    </w:p>
    <w:p w14:paraId="6F9C4B7E"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We extracted demographic features, vaccination status (eTable 3), and Charlson comorbidities (eTable 4),[27] both ascertained only from records dated before the index date. Six SDoH domains (eTable 5) were derived from the Basics Survey, completed a median of 692 days (IQR 286-985) before the index date, with 86.4% preceding infection. Missingness has two mechanisms, and both were kept as an explicit level rather than dropped: income, education, employment, and housing were asked of every participant, so a missing value is a Skip or Prefer-not-to-answer response, whereas disability and insurance were frequently not administered, the ACS-6 items having been added on November 10, 2020 and the insurance item after enrolment began (eMethod). A missing indicator avoids a complete-case analysis; it does not remove missing-data bias.</w:t>
      </w:r>
    </w:p>
    <w:p w14:paraId="5A09101E"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Statistical analysis</w:t>
      </w:r>
    </w:p>
    <w:p w14:paraId="28BC2598"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lastRenderedPageBreak/>
        <w:t xml:space="preserve">Matched data were analyzed by conditional logistic regression with standard errors clustered on person identifier to account for control reuse.[28] Refitting both base models with the Efron approximation, which permits cluster-robust variance, changed no inference in All of Us and one in MarketScan, a plan-type covariate rather than an exposure; the MarketScan primary models used model-based standard errors because score residuals are unavailable under the exact method (eTable 10b). Pandemic wave (pre-Delta, before June 15, 2021; Delta, to December 14, 2021; Omicron, thereafter) entered as a covariate. The base model included sex, race, ethnicity, age, wave, vaccination, and 19 Charlson comorbidities. Domain-specific models added one SDoH domain to the base model,[18] and the joint model added all six. From the joint model we contrasted two social profiles as the product of three mutually adjusted odds ratios; stratum intercepts are conditioned out of the likelihood, so absolute probabilities are not estimable. Wave-varying associations come from a single model carrying exposure-by-wave interaction terms, which retains every matched stratum; models fitted within each wave are reported alongside them (eTables 11b, 11c).[29, 30] Race attenuation is the proportional reduction in the log adjusted odds ratio;[31] because the odds ratio is non-collapsible these percentages are indicative rather than exact explained fractions. Both calculations are specified in the </w:t>
      </w:r>
      <w:proofErr w:type="spellStart"/>
      <w:r w:rsidRPr="000F6719">
        <w:rPr>
          <w:rFonts w:ascii="Times New Roman" w:eastAsia="Arial" w:hAnsi="Times New Roman" w:cs="Times New Roman"/>
        </w:rPr>
        <w:t>eMethod</w:t>
      </w:r>
      <w:proofErr w:type="spellEnd"/>
      <w:r w:rsidRPr="000F6719">
        <w:rPr>
          <w:rFonts w:ascii="Times New Roman" w:eastAsia="Arial" w:hAnsi="Times New Roman" w:cs="Times New Roman"/>
        </w:rPr>
        <w:t>.</w:t>
      </w:r>
    </w:p>
    <w:p w14:paraId="54FAF1C3" w14:textId="77777777" w:rsidR="00841284" w:rsidRPr="000F6719" w:rsidRDefault="00757107" w:rsidP="00DE7297">
      <w:pPr>
        <w:spacing w:after="120" w:line="480" w:lineRule="auto"/>
        <w:rPr>
          <w:rFonts w:ascii="Times New Roman" w:hAnsi="Times New Roman" w:cs="Times New Roman"/>
        </w:rPr>
      </w:pPr>
      <w:r w:rsidRPr="000F6719">
        <w:rPr>
          <w:rFonts w:ascii="Times New Roman" w:eastAsia="Arial" w:hAnsi="Times New Roman" w:cs="Times New Roman"/>
        </w:rPr>
        <w:t xml:space="preserve">The MarketScan comparison used the same Charlson code sets and regression framework in Commercial Claims (2020-2023), with insurance plan type and geographic region as site-specific covariates.[32] It tests whether the clinical base model behaves comparably in a different population; it does not test whether the SDoH findings replicate, because MarketScan contains neither race nor individual-level </w:t>
      </w:r>
      <w:proofErr w:type="spellStart"/>
      <w:r w:rsidRPr="000F6719">
        <w:rPr>
          <w:rFonts w:ascii="Times New Roman" w:eastAsia="Arial" w:hAnsi="Times New Roman" w:cs="Times New Roman"/>
        </w:rPr>
        <w:t>SDoH</w:t>
      </w:r>
      <w:proofErr w:type="spellEnd"/>
      <w:r w:rsidRPr="000F6719">
        <w:rPr>
          <w:rFonts w:ascii="Times New Roman" w:eastAsia="Arial" w:hAnsi="Times New Roman" w:cs="Times New Roman"/>
        </w:rPr>
        <w:t>.</w:t>
      </w:r>
    </w:p>
    <w:p w14:paraId="3A19B2DC"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RESULTS</w:t>
      </w:r>
    </w:p>
    <w:p w14:paraId="06EF86C7"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lastRenderedPageBreak/>
        <w:t>Participant characteristics</w:t>
      </w:r>
    </w:p>
    <w:p w14:paraId="2E124681"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Among 413,457 All of Us participants, 25,160 had confirmed COVID-19 with both EHR and Basics Survey data, of whom 4,064 (16.2%) met the hospitalization phenotype (Figures 1, 2). Complete matching variables were available for 24,809 participants, including 3,997 of the cases; participants with no diagnosis recorded before the index date have no measurable length of medical history and could not be matched. Most qualifying visits began on the index date itself (eFigure 2). Matching achieved 3.88 controls per case, giving 19,520 observations in 3,997 strata after 437 control observations were removed for unverifiable follow-up near the data cutoff; the 15,523 control observations came from 9,784 unique individuals, and no control was reused more than 10 times (eTable 10). Pre-matching imbalance was largest for diagnosis count (SMD = 0.410), and all three matching variables fell below 0.03 after matching (eTables 6, 7; </w:t>
      </w:r>
      <w:proofErr w:type="spellStart"/>
      <w:r w:rsidRPr="000F6719">
        <w:rPr>
          <w:rFonts w:ascii="Times New Roman" w:eastAsia="Arial" w:hAnsi="Times New Roman" w:cs="Times New Roman"/>
        </w:rPr>
        <w:t>eFigure</w:t>
      </w:r>
      <w:proofErr w:type="spellEnd"/>
      <w:r w:rsidRPr="000F6719">
        <w:rPr>
          <w:rFonts w:ascii="Times New Roman" w:eastAsia="Arial" w:hAnsi="Times New Roman" w:cs="Times New Roman"/>
        </w:rPr>
        <w:t xml:space="preserve"> 1).</w:t>
      </w:r>
    </w:p>
    <w:p w14:paraId="0E277DE9" w14:textId="77777777" w:rsidR="00841284" w:rsidRPr="000F6719" w:rsidRDefault="00D413D7" w:rsidP="00E3018C">
      <w:pPr>
        <w:spacing w:line="480" w:lineRule="auto"/>
        <w:rPr>
          <w:rFonts w:ascii="Times New Roman" w:hAnsi="Times New Roman" w:cs="Times New Roman"/>
        </w:rPr>
      </w:pPr>
      <w:r w:rsidRPr="000F6719">
        <w:rPr>
          <w:rFonts w:ascii="Times New Roman" w:hAnsi="Times New Roman" w:cs="Times New Roman"/>
        </w:rPr>
        <w:t>Matching balanced encounter-density proxies rather than clinical or social characteristics, so demographic differences between cases and controls persisted, as expected (Tables 1, 2).</w:t>
      </w:r>
    </w:p>
    <w:p w14:paraId="1C160C38"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Demographics, vaccination, pandemic wave, and comorbidities</w:t>
      </w:r>
    </w:p>
    <w:p w14:paraId="14DF7924" w14:textId="77777777"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 xml:space="preserve">In the base model, female sex (AOR 0.77, 95% CI 0.71-0.83) and recorded vaccination (0.43, 0.38-0.48) carried lower odds, age rose monotonically to 1.51 (1.35-1.68) at 65 or over, and Black race carried substantially elevated odds (2.39, 2.18-2.62; Table 1, Figure 3). Odds were higher during Delta (1.23, 1.11-1.37) and indistinguishable from the pre-Delta period during Omicron (1.00, 0.92-1.09). Nine of the 19 Charlson conditions reached significance, led by severe renal disease (1.49, 1.29-1.72); two of the nine were inverse, chronic pulmonary disease (0.90, 0.83-0.98) and mild liver disease (0.83, 0.75-0.91), and all 19 are in eTable 9. Both moved </w:t>
      </w:r>
      <w:r w:rsidRPr="000F6719">
        <w:rPr>
          <w:rFonts w:ascii="Times New Roman" w:eastAsia="Arial" w:hAnsi="Times New Roman" w:cs="Times New Roman"/>
        </w:rPr>
        <w:lastRenderedPageBreak/>
        <w:t>toward the null once the matching variables were restricted to records dated before the index date, chronic pulmonary from 0.85 and mild liver from 0.76, closing roughly a third of the distance to 1.0; neither should be read as protective, and the cross-cohort comparison below shows why.</w:t>
      </w:r>
    </w:p>
    <w:p w14:paraId="5C3727C7" w14:textId="77777777" w:rsidR="000709F1" w:rsidRPr="000F6719" w:rsidRDefault="000709F1" w:rsidP="000709F1">
      <w:pPr>
        <w:spacing w:line="480" w:lineRule="auto"/>
        <w:rPr>
          <w:rFonts w:ascii="Times New Roman" w:hAnsi="Times New Roman" w:cs="Times New Roman"/>
        </w:rPr>
      </w:pPr>
      <w:r>
        <w:rPr>
          <w:rFonts w:ascii="Times New Roman" w:hAnsi="Times New Roman"/>
          <w:b/>
          <w:sz w:val="18"/>
        </w:rPr>
        <w:t>Table 1.</w:t>
      </w:r>
      <w:r>
        <w:rPr>
          <w:rFonts w:ascii="Times New Roman" w:hAnsi="Times New Roman"/>
          <w:b w:val="0"/>
          <w:sz w:val="18"/>
        </w:rPr>
        <w:t xml:space="preserve"> Demographic and clinical characteristics of the matched All of Us and MarketScan cohorts.</w:t>
      </w:r>
    </w:p>
    <w:p w14:paraId="4AFDE4FE"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5"/>
        </w:rPr>
        <w:t>Data are n (%) unless otherwise specified. Cases were hospitalized within 14 days of the COVID-19 index date; controls were COVID-positive participants not hospitalized within that window, matched 1:4 on encounter-density proxies. Percentages are column percentages within each cohort. Abbreviations: AoU, All of Us Research Program; s.d., standard deviation.</w:t>
      </w:r>
    </w:p>
    <w:tbl>
      <w:tblPr>
        <w:tblW w:w="0" w:type="auto"/>
        <w:jc w:val="center"/>
        <w:tblLayout w:type="fixed"/>
        <w:tblLook w:val="04A0" w:firstRow="1" w:lastRow="0" w:firstColumn="1" w:lastColumn="0" w:noHBand="0" w:noVBand="1"/>
      </w:tblPr>
      <w:tblGrid>
        <w:gridCol w:w="2952"/>
        <w:gridCol w:w="1469"/>
        <w:gridCol w:w="1642"/>
        <w:gridCol w:w="1642"/>
        <w:gridCol w:w="1728"/>
      </w:tblGrid>
      <w:tr w:rsidR="000709F1" w:rsidRPr="000F6719" w14:paraId="6A9B42CB" w14:textId="77777777" w:rsidTr="004762C3">
        <w:trPr>
          <w:jc w:val="center"/>
        </w:trPr>
        <w:tc>
          <w:tcPr>
            <w:tcW w:w="2952" w:type="dxa"/>
            <w:tcBorders>
              <w:top w:val="single" w:sz="8" w:space="0" w:color="333333"/>
            </w:tcBorders>
            <w:shd w:val="clear" w:color="auto" w:fill="FFFFFF"/>
          </w:tcPr>
          <w:p w14:paraId="0946CD1A" w14:textId="77777777" w:rsidR="000709F1" w:rsidRPr="000F6719" w:rsidRDefault="000709F1" w:rsidP="004762C3">
            <w:pPr>
              <w:spacing w:before="24" w:after="24"/>
              <w:rPr>
                <w:rFonts w:ascii="Times New Roman" w:hAnsi="Times New Roman" w:cs="Times New Roman"/>
              </w:rPr>
            </w:pPr>
          </w:p>
        </w:tc>
        <w:tc>
          <w:tcPr>
            <w:tcW w:w="1642" w:type="dxa"/>
            <w:gridSpan w:val="2"/>
            <w:tcBorders>
              <w:top w:val="single" w:sz="8" w:space="0" w:color="333333"/>
              <w:bottom w:val="single" w:sz="8" w:space="0" w:color="333333"/>
            </w:tcBorders>
            <w:shd w:val="clear" w:color="auto" w:fill="FFFFFF"/>
          </w:tcPr>
          <w:p w14:paraId="7C371657" w14:textId="77777777" w:rsidR="000709F1" w:rsidRPr="000F6719" w:rsidRDefault="000709F1" w:rsidP="004762C3">
            <w:pPr>
              <w:spacing w:before="24" w:after="24"/>
              <w:jc w:val="center"/>
              <w:rPr>
                <w:rFonts w:ascii="Times New Roman" w:hAnsi="Times New Roman" w:cs="Times New Roman"/>
              </w:rPr>
            </w:pPr>
            <w:r w:rsidRPr="000F6719">
              <w:rPr>
                <w:rFonts w:ascii="Times New Roman" w:hAnsi="Times New Roman" w:cs="Times New Roman"/>
                <w:b/>
                <w:color w:val="000000"/>
                <w:sz w:val="14"/>
              </w:rPr>
              <w:t>All of Us</w:t>
            </w:r>
          </w:p>
        </w:tc>
        <w:tc>
          <w:tcPr>
            <w:tcW w:w="1728" w:type="dxa"/>
            <w:gridSpan w:val="2"/>
            <w:tcBorders>
              <w:top w:val="single" w:sz="8" w:space="0" w:color="333333"/>
              <w:bottom w:val="single" w:sz="8" w:space="0" w:color="333333"/>
            </w:tcBorders>
            <w:shd w:val="clear" w:color="auto" w:fill="FFFFFF"/>
          </w:tcPr>
          <w:p w14:paraId="6860F4C6" w14:textId="77777777" w:rsidR="000709F1" w:rsidRPr="000F6719" w:rsidRDefault="000709F1" w:rsidP="004762C3">
            <w:pPr>
              <w:spacing w:before="24" w:after="24"/>
              <w:jc w:val="center"/>
              <w:rPr>
                <w:rFonts w:ascii="Times New Roman" w:hAnsi="Times New Roman" w:cs="Times New Roman"/>
              </w:rPr>
            </w:pPr>
            <w:r w:rsidRPr="000F6719">
              <w:rPr>
                <w:rFonts w:ascii="Times New Roman" w:hAnsi="Times New Roman" w:cs="Times New Roman"/>
                <w:b/>
                <w:color w:val="000000"/>
                <w:sz w:val="14"/>
              </w:rPr>
              <w:t>MarketScanᶜ</w:t>
            </w:r>
          </w:p>
        </w:tc>
      </w:tr>
      <w:tr w:rsidR="000709F1" w:rsidRPr="000F6719" w14:paraId="6B55E012" w14:textId="77777777" w:rsidTr="004762C3">
        <w:trPr>
          <w:jc w:val="center"/>
        </w:trPr>
        <w:tc>
          <w:tcPr>
            <w:tcW w:w="2952" w:type="dxa"/>
            <w:tcBorders>
              <w:bottom w:val="single" w:sz="8" w:space="0" w:color="333333"/>
            </w:tcBorders>
            <w:shd w:val="clear" w:color="auto" w:fill="FFFFFF"/>
          </w:tcPr>
          <w:p w14:paraId="615E510B" w14:textId="77777777" w:rsidR="000709F1" w:rsidRPr="000F6719" w:rsidRDefault="000709F1" w:rsidP="004762C3">
            <w:pPr>
              <w:spacing w:before="24" w:after="24"/>
              <w:rPr>
                <w:rFonts w:ascii="Times New Roman" w:hAnsi="Times New Roman" w:cs="Times New Roman"/>
              </w:rPr>
            </w:pPr>
            <w:r w:rsidRPr="000F6719">
              <w:rPr>
                <w:rFonts w:ascii="Times New Roman" w:hAnsi="Times New Roman" w:cs="Times New Roman"/>
                <w:b/>
                <w:color w:val="000000"/>
                <w:sz w:val="14"/>
              </w:rPr>
              <w:t>Characteristic</w:t>
            </w:r>
          </w:p>
        </w:tc>
        <w:tc>
          <w:tcPr>
            <w:tcW w:w="1469" w:type="dxa"/>
            <w:tcBorders>
              <w:bottom w:val="single" w:sz="8" w:space="0" w:color="333333"/>
            </w:tcBorders>
            <w:shd w:val="clear" w:color="auto" w:fill="FFFFFF"/>
          </w:tcPr>
          <w:p w14:paraId="7A57F107"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b/>
                <w:color w:val="000000"/>
                <w:sz w:val="14"/>
              </w:rPr>
              <w:t>Cases</w:t>
            </w:r>
          </w:p>
        </w:tc>
        <w:tc>
          <w:tcPr>
            <w:tcW w:w="1642" w:type="dxa"/>
            <w:tcBorders>
              <w:bottom w:val="single" w:sz="8" w:space="0" w:color="333333"/>
            </w:tcBorders>
            <w:shd w:val="clear" w:color="auto" w:fill="FFFFFF"/>
          </w:tcPr>
          <w:p w14:paraId="1AC6982D"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b/>
                <w:color w:val="000000"/>
                <w:sz w:val="14"/>
              </w:rPr>
              <w:t>Controls</w:t>
            </w:r>
          </w:p>
        </w:tc>
        <w:tc>
          <w:tcPr>
            <w:tcW w:w="1642" w:type="dxa"/>
            <w:tcBorders>
              <w:bottom w:val="single" w:sz="8" w:space="0" w:color="333333"/>
            </w:tcBorders>
            <w:shd w:val="clear" w:color="auto" w:fill="FFFFFF"/>
          </w:tcPr>
          <w:p w14:paraId="4FC8A8C6"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b/>
                <w:color w:val="000000"/>
                <w:sz w:val="14"/>
              </w:rPr>
              <w:t>Cases</w:t>
            </w:r>
          </w:p>
        </w:tc>
        <w:tc>
          <w:tcPr>
            <w:tcW w:w="1728" w:type="dxa"/>
            <w:tcBorders>
              <w:bottom w:val="single" w:sz="8" w:space="0" w:color="333333"/>
            </w:tcBorders>
            <w:shd w:val="clear" w:color="auto" w:fill="FFFFFF"/>
          </w:tcPr>
          <w:p w14:paraId="5FFF972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b/>
                <w:color w:val="000000"/>
                <w:sz w:val="14"/>
              </w:rPr>
              <w:t>Controls</w:t>
            </w:r>
          </w:p>
        </w:tc>
      </w:tr>
      <w:tr w:rsidR="000709F1" w:rsidRPr="000F6719" w14:paraId="2CCE08F5" w14:textId="77777777" w:rsidTr="004762C3">
        <w:trPr>
          <w:jc w:val="center"/>
        </w:trPr>
        <w:tc>
          <w:tcPr>
            <w:tcW w:w="2952" w:type="dxa"/>
            <w:shd w:val="clear" w:color="auto" w:fill="FFFFFF"/>
          </w:tcPr>
          <w:p w14:paraId="588201E2" w14:textId="77777777" w:rsidR="000709F1" w:rsidRPr="000F6719" w:rsidRDefault="000709F1" w:rsidP="004762C3">
            <w:pPr>
              <w:spacing w:before="24" w:after="24"/>
              <w:rPr>
                <w:rFonts w:ascii="Times New Roman" w:hAnsi="Times New Roman" w:cs="Times New Roman"/>
              </w:rPr>
            </w:pPr>
            <w:r w:rsidRPr="000F6719">
              <w:rPr>
                <w:rFonts w:ascii="Times New Roman" w:hAnsi="Times New Roman" w:cs="Times New Roman"/>
                <w:color w:val="000000"/>
                <w:sz w:val="14"/>
              </w:rPr>
              <w:t>N</w:t>
            </w:r>
          </w:p>
        </w:tc>
        <w:tc>
          <w:tcPr>
            <w:tcW w:w="1469" w:type="dxa"/>
            <w:shd w:val="clear" w:color="auto" w:fill="FFFFFF"/>
          </w:tcPr>
          <w:p w14:paraId="0E8F11CC"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3,997</w:t>
            </w:r>
          </w:p>
        </w:tc>
        <w:tc>
          <w:tcPr>
            <w:tcW w:w="1642" w:type="dxa"/>
            <w:shd w:val="clear" w:color="auto" w:fill="FFFFFF"/>
          </w:tcPr>
          <w:p w14:paraId="21AA78A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15,523</w:t>
            </w:r>
          </w:p>
        </w:tc>
        <w:tc>
          <w:tcPr>
            <w:tcW w:w="1642" w:type="dxa"/>
            <w:shd w:val="clear" w:color="auto" w:fill="FFFFFF"/>
          </w:tcPr>
          <w:p w14:paraId="23E38BB1"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127,696</w:t>
            </w:r>
          </w:p>
        </w:tc>
        <w:tc>
          <w:tcPr>
            <w:tcW w:w="1728" w:type="dxa"/>
            <w:shd w:val="clear" w:color="auto" w:fill="FFFFFF"/>
          </w:tcPr>
          <w:p w14:paraId="6B72C3C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509,983</w:t>
            </w:r>
          </w:p>
        </w:tc>
      </w:tr>
      <w:tr w:rsidR="000709F1" w:rsidRPr="000F6719" w14:paraId="36454D55" w14:textId="77777777" w:rsidTr="004762C3">
        <w:trPr>
          <w:jc w:val="center"/>
        </w:trPr>
        <w:tc>
          <w:tcPr>
            <w:tcW w:w="2952" w:type="dxa"/>
            <w:shd w:val="clear" w:color="auto" w:fill="FFFFFF"/>
          </w:tcPr>
          <w:p w14:paraId="773A5A1F" w14:textId="77777777" w:rsidR="000709F1" w:rsidRPr="000F6719" w:rsidRDefault="000709F1" w:rsidP="004762C3">
            <w:pPr>
              <w:spacing w:before="24" w:after="24"/>
              <w:rPr>
                <w:rFonts w:ascii="Times New Roman" w:hAnsi="Times New Roman" w:cs="Times New Roman"/>
              </w:rPr>
            </w:pPr>
            <w:r w:rsidRPr="000F6719">
              <w:rPr>
                <w:rFonts w:ascii="Times New Roman" w:hAnsi="Times New Roman" w:cs="Times New Roman"/>
                <w:b/>
                <w:color w:val="000000"/>
                <w:sz w:val="14"/>
              </w:rPr>
              <w:t>Sex</w:t>
            </w:r>
          </w:p>
        </w:tc>
        <w:tc>
          <w:tcPr>
            <w:tcW w:w="1469" w:type="dxa"/>
            <w:shd w:val="clear" w:color="auto" w:fill="FFFFFF"/>
          </w:tcPr>
          <w:p w14:paraId="14A03D2B"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62574F4B"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4A89E4AF" w14:textId="77777777" w:rsidR="000709F1" w:rsidRPr="000F6719" w:rsidRDefault="000709F1" w:rsidP="004762C3">
            <w:pPr>
              <w:spacing w:before="24" w:after="24"/>
              <w:jc w:val="right"/>
              <w:rPr>
                <w:rFonts w:ascii="Times New Roman" w:hAnsi="Times New Roman" w:cs="Times New Roman"/>
              </w:rPr>
            </w:pPr>
          </w:p>
        </w:tc>
        <w:tc>
          <w:tcPr>
            <w:tcW w:w="1728" w:type="dxa"/>
            <w:shd w:val="clear" w:color="auto" w:fill="FFFFFF"/>
          </w:tcPr>
          <w:p w14:paraId="2716F1C1" w14:textId="77777777" w:rsidR="000709F1" w:rsidRPr="000F6719" w:rsidRDefault="000709F1" w:rsidP="004762C3">
            <w:pPr>
              <w:spacing w:before="24" w:after="24"/>
              <w:jc w:val="right"/>
              <w:rPr>
                <w:rFonts w:ascii="Times New Roman" w:hAnsi="Times New Roman" w:cs="Times New Roman"/>
              </w:rPr>
            </w:pPr>
          </w:p>
        </w:tc>
      </w:tr>
      <w:tr w:rsidR="000709F1" w:rsidRPr="000F6719" w14:paraId="33F48062" w14:textId="77777777" w:rsidTr="004762C3">
        <w:trPr>
          <w:jc w:val="center"/>
        </w:trPr>
        <w:tc>
          <w:tcPr>
            <w:tcW w:w="2952" w:type="dxa"/>
            <w:shd w:val="clear" w:color="auto" w:fill="FFFFFF"/>
          </w:tcPr>
          <w:p w14:paraId="1BB49604"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Female</w:t>
            </w:r>
          </w:p>
        </w:tc>
        <w:tc>
          <w:tcPr>
            <w:tcW w:w="1469" w:type="dxa"/>
            <w:shd w:val="clear" w:color="auto" w:fill="FFFFFF"/>
          </w:tcPr>
          <w:p w14:paraId="79EBCCA6"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2,409 (60.3)</w:t>
            </w:r>
          </w:p>
        </w:tc>
        <w:tc>
          <w:tcPr>
            <w:tcW w:w="1642" w:type="dxa"/>
            <w:shd w:val="clear" w:color="auto" w:fill="FFFFFF"/>
          </w:tcPr>
          <w:p w14:paraId="6616FB2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10,612 (68.4)</w:t>
            </w:r>
          </w:p>
        </w:tc>
        <w:tc>
          <w:tcPr>
            <w:tcW w:w="1642" w:type="dxa"/>
            <w:shd w:val="clear" w:color="auto" w:fill="FFFFFF"/>
          </w:tcPr>
          <w:p w14:paraId="1AAE1B4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63,945 (50.1)</w:t>
            </w:r>
          </w:p>
        </w:tc>
        <w:tc>
          <w:tcPr>
            <w:tcW w:w="1728" w:type="dxa"/>
            <w:shd w:val="clear" w:color="auto" w:fill="FFFFFF"/>
          </w:tcPr>
          <w:p w14:paraId="245A36C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311,378 (61.1)</w:t>
            </w:r>
          </w:p>
        </w:tc>
      </w:tr>
      <w:tr w:rsidR="000709F1" w:rsidRPr="000F6719" w14:paraId="6D435564" w14:textId="77777777" w:rsidTr="004762C3">
        <w:trPr>
          <w:jc w:val="center"/>
        </w:trPr>
        <w:tc>
          <w:tcPr>
            <w:tcW w:w="2952" w:type="dxa"/>
            <w:shd w:val="clear" w:color="auto" w:fill="FFFFFF"/>
          </w:tcPr>
          <w:p w14:paraId="45EDEE64"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Male</w:t>
            </w:r>
          </w:p>
        </w:tc>
        <w:tc>
          <w:tcPr>
            <w:tcW w:w="1469" w:type="dxa"/>
            <w:shd w:val="clear" w:color="auto" w:fill="FFFFFF"/>
          </w:tcPr>
          <w:p w14:paraId="53DF546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1,551 (38.8)</w:t>
            </w:r>
          </w:p>
        </w:tc>
        <w:tc>
          <w:tcPr>
            <w:tcW w:w="1642" w:type="dxa"/>
            <w:shd w:val="clear" w:color="auto" w:fill="FFFFFF"/>
          </w:tcPr>
          <w:p w14:paraId="39B61111"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4,773 (30.7)</w:t>
            </w:r>
          </w:p>
        </w:tc>
        <w:tc>
          <w:tcPr>
            <w:tcW w:w="1642" w:type="dxa"/>
            <w:shd w:val="clear" w:color="auto" w:fill="FFFFFF"/>
          </w:tcPr>
          <w:p w14:paraId="18B9999C"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63,751 (49.9)</w:t>
            </w:r>
          </w:p>
        </w:tc>
        <w:tc>
          <w:tcPr>
            <w:tcW w:w="1728" w:type="dxa"/>
            <w:shd w:val="clear" w:color="auto" w:fill="FFFFFF"/>
          </w:tcPr>
          <w:p w14:paraId="2346C6BF"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198,605 (38.9)</w:t>
            </w:r>
          </w:p>
        </w:tc>
      </w:tr>
      <w:tr w:rsidR="000709F1" w:rsidRPr="000F6719" w14:paraId="071E9827" w14:textId="77777777" w:rsidTr="004762C3">
        <w:trPr>
          <w:jc w:val="center"/>
        </w:trPr>
        <w:tc>
          <w:tcPr>
            <w:tcW w:w="2952" w:type="dxa"/>
            <w:shd w:val="clear" w:color="auto" w:fill="FFFFFF"/>
          </w:tcPr>
          <w:p w14:paraId="4B2FCC85"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Other</w:t>
            </w:r>
          </w:p>
        </w:tc>
        <w:tc>
          <w:tcPr>
            <w:tcW w:w="1469" w:type="dxa"/>
            <w:shd w:val="clear" w:color="auto" w:fill="FFFFFF"/>
          </w:tcPr>
          <w:p w14:paraId="03C5F97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37 (0.9)</w:t>
            </w:r>
          </w:p>
        </w:tc>
        <w:tc>
          <w:tcPr>
            <w:tcW w:w="1642" w:type="dxa"/>
            <w:shd w:val="clear" w:color="auto" w:fill="FFFFFF"/>
          </w:tcPr>
          <w:p w14:paraId="5CFEFF7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138 (0.9)</w:t>
            </w:r>
          </w:p>
        </w:tc>
        <w:tc>
          <w:tcPr>
            <w:tcW w:w="1642" w:type="dxa"/>
            <w:shd w:val="clear" w:color="auto" w:fill="FFFFFF"/>
          </w:tcPr>
          <w:p w14:paraId="3D9BB13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&lt;20</w:t>
            </w:r>
          </w:p>
        </w:tc>
        <w:tc>
          <w:tcPr>
            <w:tcW w:w="1728" w:type="dxa"/>
            <w:shd w:val="clear" w:color="auto" w:fill="FFFFFF"/>
          </w:tcPr>
          <w:p w14:paraId="18EAE9F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&lt;20</w:t>
            </w:r>
          </w:p>
        </w:tc>
      </w:tr>
      <w:tr w:rsidR="000709F1" w:rsidRPr="000F6719" w14:paraId="4D1974EF" w14:textId="77777777" w:rsidTr="004762C3">
        <w:trPr>
          <w:jc w:val="center"/>
        </w:trPr>
        <w:tc>
          <w:tcPr>
            <w:tcW w:w="2952" w:type="dxa"/>
            <w:shd w:val="clear" w:color="auto" w:fill="FFFFFF"/>
          </w:tcPr>
          <w:p w14:paraId="3BBFC777" w14:textId="77777777" w:rsidR="000709F1" w:rsidRPr="000F6719" w:rsidRDefault="000709F1" w:rsidP="004762C3">
            <w:pPr>
              <w:spacing w:before="24" w:after="24"/>
              <w:rPr>
                <w:rFonts w:ascii="Times New Roman" w:hAnsi="Times New Roman" w:cs="Times New Roman"/>
              </w:rPr>
            </w:pPr>
            <w:r w:rsidRPr="000F6719">
              <w:rPr>
                <w:rFonts w:ascii="Times New Roman" w:hAnsi="Times New Roman" w:cs="Times New Roman"/>
                <w:b/>
                <w:color w:val="000000"/>
                <w:sz w:val="14"/>
              </w:rPr>
              <w:t>Race</w:t>
            </w:r>
          </w:p>
        </w:tc>
        <w:tc>
          <w:tcPr>
            <w:tcW w:w="1469" w:type="dxa"/>
            <w:shd w:val="clear" w:color="auto" w:fill="FFFFFF"/>
          </w:tcPr>
          <w:p w14:paraId="4753FC04"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7BF812D8"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76F7F029" w14:textId="77777777" w:rsidR="000709F1" w:rsidRPr="000F6719" w:rsidRDefault="000709F1" w:rsidP="004762C3">
            <w:pPr>
              <w:spacing w:before="24" w:after="24"/>
              <w:jc w:val="right"/>
              <w:rPr>
                <w:rFonts w:ascii="Times New Roman" w:hAnsi="Times New Roman" w:cs="Times New Roman"/>
              </w:rPr>
            </w:pPr>
          </w:p>
        </w:tc>
        <w:tc>
          <w:tcPr>
            <w:tcW w:w="1728" w:type="dxa"/>
            <w:shd w:val="clear" w:color="auto" w:fill="FFFFFF"/>
          </w:tcPr>
          <w:p w14:paraId="20C5534D" w14:textId="77777777" w:rsidR="000709F1" w:rsidRPr="000F6719" w:rsidRDefault="000709F1" w:rsidP="004762C3">
            <w:pPr>
              <w:spacing w:before="24" w:after="24"/>
              <w:jc w:val="right"/>
              <w:rPr>
                <w:rFonts w:ascii="Times New Roman" w:hAnsi="Times New Roman" w:cs="Times New Roman"/>
              </w:rPr>
            </w:pPr>
          </w:p>
        </w:tc>
      </w:tr>
      <w:tr w:rsidR="000709F1" w:rsidRPr="000F6719" w14:paraId="6E7F6974" w14:textId="77777777" w:rsidTr="004762C3">
        <w:trPr>
          <w:jc w:val="center"/>
        </w:trPr>
        <w:tc>
          <w:tcPr>
            <w:tcW w:w="2952" w:type="dxa"/>
            <w:shd w:val="clear" w:color="auto" w:fill="FFFFFF"/>
          </w:tcPr>
          <w:p w14:paraId="64A7C4FF"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White</w:t>
            </w:r>
          </w:p>
        </w:tc>
        <w:tc>
          <w:tcPr>
            <w:tcW w:w="1469" w:type="dxa"/>
            <w:shd w:val="clear" w:color="auto" w:fill="FFFFFF"/>
          </w:tcPr>
          <w:p w14:paraId="133D521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1,712 (42.8)</w:t>
            </w:r>
          </w:p>
        </w:tc>
        <w:tc>
          <w:tcPr>
            <w:tcW w:w="1642" w:type="dxa"/>
            <w:shd w:val="clear" w:color="auto" w:fill="FFFFFF"/>
          </w:tcPr>
          <w:p w14:paraId="3283F675"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8,718 (56.2)</w:t>
            </w:r>
          </w:p>
        </w:tc>
        <w:tc>
          <w:tcPr>
            <w:tcW w:w="1642" w:type="dxa"/>
            <w:shd w:val="clear" w:color="auto" w:fill="FFFFFF"/>
          </w:tcPr>
          <w:p w14:paraId="0B92AAC4"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14ADE6E4"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5B855DE" w14:textId="77777777" w:rsidTr="004762C3">
        <w:trPr>
          <w:jc w:val="center"/>
        </w:trPr>
        <w:tc>
          <w:tcPr>
            <w:tcW w:w="2952" w:type="dxa"/>
            <w:shd w:val="clear" w:color="auto" w:fill="FFFFFF"/>
          </w:tcPr>
          <w:p w14:paraId="28FD82ED"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Black</w:t>
            </w:r>
          </w:p>
        </w:tc>
        <w:tc>
          <w:tcPr>
            <w:tcW w:w="1469" w:type="dxa"/>
            <w:shd w:val="clear" w:color="auto" w:fill="FFFFFF"/>
          </w:tcPr>
          <w:p w14:paraId="20947446"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1,194 (29.9)</w:t>
            </w:r>
          </w:p>
        </w:tc>
        <w:tc>
          <w:tcPr>
            <w:tcW w:w="1642" w:type="dxa"/>
            <w:shd w:val="clear" w:color="auto" w:fill="FFFFFF"/>
          </w:tcPr>
          <w:p w14:paraId="7A3D616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2,573 (16.6)</w:t>
            </w:r>
          </w:p>
        </w:tc>
        <w:tc>
          <w:tcPr>
            <w:tcW w:w="1642" w:type="dxa"/>
            <w:shd w:val="clear" w:color="auto" w:fill="FFFFFF"/>
          </w:tcPr>
          <w:p w14:paraId="1FCF245C"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68B292D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622B042A" w14:textId="77777777" w:rsidTr="004762C3">
        <w:trPr>
          <w:jc w:val="center"/>
        </w:trPr>
        <w:tc>
          <w:tcPr>
            <w:tcW w:w="2952" w:type="dxa"/>
            <w:shd w:val="clear" w:color="auto" w:fill="FFFFFF"/>
          </w:tcPr>
          <w:p w14:paraId="2BC2E09E"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Asian</w:t>
            </w:r>
          </w:p>
        </w:tc>
        <w:tc>
          <w:tcPr>
            <w:tcW w:w="1469" w:type="dxa"/>
            <w:shd w:val="clear" w:color="auto" w:fill="FFFFFF"/>
          </w:tcPr>
          <w:p w14:paraId="6E2FE55D"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59 (1.5)</w:t>
            </w:r>
          </w:p>
        </w:tc>
        <w:tc>
          <w:tcPr>
            <w:tcW w:w="1642" w:type="dxa"/>
            <w:shd w:val="clear" w:color="auto" w:fill="FFFFFF"/>
          </w:tcPr>
          <w:p w14:paraId="3E7F0411"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253 (1.6)</w:t>
            </w:r>
          </w:p>
        </w:tc>
        <w:tc>
          <w:tcPr>
            <w:tcW w:w="1642" w:type="dxa"/>
            <w:shd w:val="clear" w:color="auto" w:fill="FFFFFF"/>
          </w:tcPr>
          <w:p w14:paraId="29CBCD94"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0A9A729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32593E80" w14:textId="77777777" w:rsidTr="004762C3">
        <w:trPr>
          <w:jc w:val="center"/>
        </w:trPr>
        <w:tc>
          <w:tcPr>
            <w:tcW w:w="2952" w:type="dxa"/>
            <w:shd w:val="clear" w:color="auto" w:fill="FFFFFF"/>
          </w:tcPr>
          <w:p w14:paraId="274B9C05"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Other</w:t>
            </w:r>
          </w:p>
        </w:tc>
        <w:tc>
          <w:tcPr>
            <w:tcW w:w="1469" w:type="dxa"/>
            <w:shd w:val="clear" w:color="auto" w:fill="FFFFFF"/>
          </w:tcPr>
          <w:p w14:paraId="1AAD40B6"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1,032 (25.8)</w:t>
            </w:r>
          </w:p>
        </w:tc>
        <w:tc>
          <w:tcPr>
            <w:tcW w:w="1642" w:type="dxa"/>
            <w:shd w:val="clear" w:color="auto" w:fill="FFFFFF"/>
          </w:tcPr>
          <w:p w14:paraId="0398583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3,979 (25.6)</w:t>
            </w:r>
          </w:p>
        </w:tc>
        <w:tc>
          <w:tcPr>
            <w:tcW w:w="1642" w:type="dxa"/>
            <w:shd w:val="clear" w:color="auto" w:fill="FFFFFF"/>
          </w:tcPr>
          <w:p w14:paraId="067DF90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29C62A8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1F566257" w14:textId="77777777" w:rsidTr="004762C3">
        <w:trPr>
          <w:jc w:val="center"/>
        </w:trPr>
        <w:tc>
          <w:tcPr>
            <w:tcW w:w="2952" w:type="dxa"/>
            <w:shd w:val="clear" w:color="auto" w:fill="FFFFFF"/>
          </w:tcPr>
          <w:p w14:paraId="24BF91B6" w14:textId="77777777" w:rsidR="000709F1" w:rsidRPr="000F6719" w:rsidRDefault="000709F1" w:rsidP="004762C3">
            <w:pPr>
              <w:spacing w:before="24" w:after="24"/>
              <w:rPr>
                <w:rFonts w:ascii="Times New Roman" w:hAnsi="Times New Roman" w:cs="Times New Roman"/>
              </w:rPr>
            </w:pPr>
            <w:r w:rsidRPr="000F6719">
              <w:rPr>
                <w:rFonts w:ascii="Times New Roman" w:hAnsi="Times New Roman" w:cs="Times New Roman"/>
                <w:b/>
                <w:color w:val="000000"/>
                <w:sz w:val="14"/>
              </w:rPr>
              <w:t>Ethnicity</w:t>
            </w:r>
          </w:p>
        </w:tc>
        <w:tc>
          <w:tcPr>
            <w:tcW w:w="1469" w:type="dxa"/>
            <w:shd w:val="clear" w:color="auto" w:fill="FFFFFF"/>
          </w:tcPr>
          <w:p w14:paraId="6445CB75"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649B2743"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2F3E146D" w14:textId="77777777" w:rsidR="000709F1" w:rsidRPr="000F6719" w:rsidRDefault="000709F1" w:rsidP="004762C3">
            <w:pPr>
              <w:spacing w:before="24" w:after="24"/>
              <w:jc w:val="right"/>
              <w:rPr>
                <w:rFonts w:ascii="Times New Roman" w:hAnsi="Times New Roman" w:cs="Times New Roman"/>
              </w:rPr>
            </w:pPr>
          </w:p>
        </w:tc>
        <w:tc>
          <w:tcPr>
            <w:tcW w:w="1728" w:type="dxa"/>
            <w:shd w:val="clear" w:color="auto" w:fill="FFFFFF"/>
          </w:tcPr>
          <w:p w14:paraId="7BA26054" w14:textId="77777777" w:rsidR="000709F1" w:rsidRPr="000F6719" w:rsidRDefault="000709F1" w:rsidP="004762C3">
            <w:pPr>
              <w:spacing w:before="24" w:after="24"/>
              <w:jc w:val="right"/>
              <w:rPr>
                <w:rFonts w:ascii="Times New Roman" w:hAnsi="Times New Roman" w:cs="Times New Roman"/>
              </w:rPr>
            </w:pPr>
          </w:p>
        </w:tc>
      </w:tr>
      <w:tr w:rsidR="000709F1" w:rsidRPr="000F6719" w14:paraId="4BAC392F" w14:textId="77777777" w:rsidTr="004762C3">
        <w:trPr>
          <w:jc w:val="center"/>
        </w:trPr>
        <w:tc>
          <w:tcPr>
            <w:tcW w:w="2952" w:type="dxa"/>
            <w:shd w:val="clear" w:color="auto" w:fill="FFFFFF"/>
          </w:tcPr>
          <w:p w14:paraId="500765C4"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Not Hispanic</w:t>
            </w:r>
          </w:p>
        </w:tc>
        <w:tc>
          <w:tcPr>
            <w:tcW w:w="1469" w:type="dxa"/>
            <w:shd w:val="clear" w:color="auto" w:fill="FFFFFF"/>
          </w:tcPr>
          <w:p w14:paraId="46D7F8F4"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2,971 (74.3)</w:t>
            </w:r>
          </w:p>
        </w:tc>
        <w:tc>
          <w:tcPr>
            <w:tcW w:w="1642" w:type="dxa"/>
            <w:shd w:val="clear" w:color="auto" w:fill="FFFFFF"/>
          </w:tcPr>
          <w:p w14:paraId="66767FE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11,518 (74.2)</w:t>
            </w:r>
          </w:p>
        </w:tc>
        <w:tc>
          <w:tcPr>
            <w:tcW w:w="1642" w:type="dxa"/>
            <w:shd w:val="clear" w:color="auto" w:fill="FFFFFF"/>
          </w:tcPr>
          <w:p w14:paraId="6B16BEC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62A0BE2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5E48A99" w14:textId="77777777" w:rsidTr="004762C3">
        <w:trPr>
          <w:jc w:val="center"/>
        </w:trPr>
        <w:tc>
          <w:tcPr>
            <w:tcW w:w="2952" w:type="dxa"/>
            <w:shd w:val="clear" w:color="auto" w:fill="FFFFFF"/>
          </w:tcPr>
          <w:p w14:paraId="291A9771"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Hispanic</w:t>
            </w:r>
          </w:p>
        </w:tc>
        <w:tc>
          <w:tcPr>
            <w:tcW w:w="1469" w:type="dxa"/>
            <w:shd w:val="clear" w:color="auto" w:fill="FFFFFF"/>
          </w:tcPr>
          <w:p w14:paraId="7C309BF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897 (22.4)</w:t>
            </w:r>
          </w:p>
        </w:tc>
        <w:tc>
          <w:tcPr>
            <w:tcW w:w="1642" w:type="dxa"/>
            <w:shd w:val="clear" w:color="auto" w:fill="FFFFFF"/>
          </w:tcPr>
          <w:p w14:paraId="6FDB8135"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3,535 (22.8)</w:t>
            </w:r>
          </w:p>
        </w:tc>
        <w:tc>
          <w:tcPr>
            <w:tcW w:w="1642" w:type="dxa"/>
            <w:shd w:val="clear" w:color="auto" w:fill="FFFFFF"/>
          </w:tcPr>
          <w:p w14:paraId="52F8B67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2A7D59A3"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5354C1A0" w14:textId="77777777" w:rsidTr="004762C3">
        <w:trPr>
          <w:jc w:val="center"/>
        </w:trPr>
        <w:tc>
          <w:tcPr>
            <w:tcW w:w="2952" w:type="dxa"/>
            <w:shd w:val="clear" w:color="auto" w:fill="FFFFFF"/>
          </w:tcPr>
          <w:p w14:paraId="4BA5D4E4"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Other</w:t>
            </w:r>
          </w:p>
        </w:tc>
        <w:tc>
          <w:tcPr>
            <w:tcW w:w="1469" w:type="dxa"/>
            <w:shd w:val="clear" w:color="auto" w:fill="FFFFFF"/>
          </w:tcPr>
          <w:p w14:paraId="33E5095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129 (3.2)</w:t>
            </w:r>
          </w:p>
        </w:tc>
        <w:tc>
          <w:tcPr>
            <w:tcW w:w="1642" w:type="dxa"/>
            <w:shd w:val="clear" w:color="auto" w:fill="FFFFFF"/>
          </w:tcPr>
          <w:p w14:paraId="74A438A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470 (3.0)</w:t>
            </w:r>
          </w:p>
        </w:tc>
        <w:tc>
          <w:tcPr>
            <w:tcW w:w="1642" w:type="dxa"/>
            <w:shd w:val="clear" w:color="auto" w:fill="FFFFFF"/>
          </w:tcPr>
          <w:p w14:paraId="5B1D5326"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0F0BD0C5"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3E6AB4EB" w14:textId="77777777" w:rsidTr="004762C3">
        <w:trPr>
          <w:jc w:val="center"/>
        </w:trPr>
        <w:tc>
          <w:tcPr>
            <w:tcW w:w="2952" w:type="dxa"/>
            <w:shd w:val="clear" w:color="auto" w:fill="FFFFFF"/>
          </w:tcPr>
          <w:p w14:paraId="7594E978" w14:textId="77777777" w:rsidR="000709F1" w:rsidRPr="000F6719" w:rsidRDefault="000709F1" w:rsidP="004762C3">
            <w:pPr>
              <w:spacing w:before="24" w:after="24"/>
              <w:rPr>
                <w:rFonts w:ascii="Times New Roman" w:hAnsi="Times New Roman" w:cs="Times New Roman"/>
              </w:rPr>
            </w:pPr>
            <w:r w:rsidRPr="000F6719">
              <w:rPr>
                <w:rFonts w:ascii="Times New Roman" w:hAnsi="Times New Roman" w:cs="Times New Roman"/>
                <w:b/>
                <w:color w:val="000000"/>
                <w:sz w:val="14"/>
              </w:rPr>
              <w:t>Age group, years</w:t>
            </w:r>
          </w:p>
        </w:tc>
        <w:tc>
          <w:tcPr>
            <w:tcW w:w="1469" w:type="dxa"/>
            <w:shd w:val="clear" w:color="auto" w:fill="FFFFFF"/>
          </w:tcPr>
          <w:p w14:paraId="6CCD9255"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2573BCBE"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641C9439" w14:textId="77777777" w:rsidR="000709F1" w:rsidRPr="000F6719" w:rsidRDefault="000709F1" w:rsidP="004762C3">
            <w:pPr>
              <w:spacing w:before="24" w:after="24"/>
              <w:jc w:val="right"/>
              <w:rPr>
                <w:rFonts w:ascii="Times New Roman" w:hAnsi="Times New Roman" w:cs="Times New Roman"/>
              </w:rPr>
            </w:pPr>
          </w:p>
        </w:tc>
        <w:tc>
          <w:tcPr>
            <w:tcW w:w="1728" w:type="dxa"/>
            <w:shd w:val="clear" w:color="auto" w:fill="FFFFFF"/>
          </w:tcPr>
          <w:p w14:paraId="376F2852" w14:textId="77777777" w:rsidR="000709F1" w:rsidRPr="000F6719" w:rsidRDefault="000709F1" w:rsidP="004762C3">
            <w:pPr>
              <w:spacing w:before="24" w:after="24"/>
              <w:jc w:val="right"/>
              <w:rPr>
                <w:rFonts w:ascii="Times New Roman" w:hAnsi="Times New Roman" w:cs="Times New Roman"/>
              </w:rPr>
            </w:pPr>
          </w:p>
        </w:tc>
      </w:tr>
      <w:tr w:rsidR="000709F1" w:rsidRPr="000F6719" w14:paraId="04658DFF" w14:textId="77777777" w:rsidTr="004762C3">
        <w:trPr>
          <w:jc w:val="center"/>
        </w:trPr>
        <w:tc>
          <w:tcPr>
            <w:tcW w:w="2952" w:type="dxa"/>
            <w:shd w:val="clear" w:color="auto" w:fill="FFFFFF"/>
          </w:tcPr>
          <w:p w14:paraId="1EAB8120"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&lt;45</w:t>
            </w:r>
          </w:p>
        </w:tc>
        <w:tc>
          <w:tcPr>
            <w:tcW w:w="1469" w:type="dxa"/>
            <w:shd w:val="clear" w:color="auto" w:fill="FFFFFF"/>
          </w:tcPr>
          <w:p w14:paraId="348575B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902 (22.6)</w:t>
            </w:r>
          </w:p>
        </w:tc>
        <w:tc>
          <w:tcPr>
            <w:tcW w:w="1642" w:type="dxa"/>
            <w:shd w:val="clear" w:color="auto" w:fill="FFFFFF"/>
          </w:tcPr>
          <w:p w14:paraId="7F0236E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4,544 (29.3)</w:t>
            </w:r>
          </w:p>
        </w:tc>
        <w:tc>
          <w:tcPr>
            <w:tcW w:w="1642" w:type="dxa"/>
            <w:shd w:val="clear" w:color="auto" w:fill="FFFFFF"/>
          </w:tcPr>
          <w:p w14:paraId="130085E6"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48,369 (37.9)</w:t>
            </w:r>
          </w:p>
        </w:tc>
        <w:tc>
          <w:tcPr>
            <w:tcW w:w="1728" w:type="dxa"/>
            <w:shd w:val="clear" w:color="auto" w:fill="FFFFFF"/>
          </w:tcPr>
          <w:p w14:paraId="161D7D8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295,491 (57.9)</w:t>
            </w:r>
          </w:p>
        </w:tc>
      </w:tr>
      <w:tr w:rsidR="000709F1" w:rsidRPr="000F6719" w14:paraId="6CDB5499" w14:textId="77777777" w:rsidTr="004762C3">
        <w:trPr>
          <w:jc w:val="center"/>
        </w:trPr>
        <w:tc>
          <w:tcPr>
            <w:tcW w:w="2952" w:type="dxa"/>
            <w:shd w:val="clear" w:color="auto" w:fill="FFFFFF"/>
          </w:tcPr>
          <w:p w14:paraId="47051CF8"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45–54</w:t>
            </w:r>
          </w:p>
        </w:tc>
        <w:tc>
          <w:tcPr>
            <w:tcW w:w="1469" w:type="dxa"/>
            <w:shd w:val="clear" w:color="auto" w:fill="FFFFFF"/>
          </w:tcPr>
          <w:p w14:paraId="2A352BD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624 (15.6)</w:t>
            </w:r>
          </w:p>
        </w:tc>
        <w:tc>
          <w:tcPr>
            <w:tcW w:w="1642" w:type="dxa"/>
            <w:shd w:val="clear" w:color="auto" w:fill="FFFFFF"/>
          </w:tcPr>
          <w:p w14:paraId="54DE9C9C"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2,795 (18.0)</w:t>
            </w:r>
          </w:p>
        </w:tc>
        <w:tc>
          <w:tcPr>
            <w:tcW w:w="1642" w:type="dxa"/>
            <w:shd w:val="clear" w:color="auto" w:fill="FFFFFF"/>
          </w:tcPr>
          <w:p w14:paraId="7B2AE28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34,575 (27.1)</w:t>
            </w:r>
          </w:p>
        </w:tc>
        <w:tc>
          <w:tcPr>
            <w:tcW w:w="1728" w:type="dxa"/>
            <w:shd w:val="clear" w:color="auto" w:fill="FFFFFF"/>
          </w:tcPr>
          <w:p w14:paraId="3741A81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113,166 (22.2)</w:t>
            </w:r>
          </w:p>
        </w:tc>
      </w:tr>
      <w:tr w:rsidR="000709F1" w:rsidRPr="000F6719" w14:paraId="06E871AF" w14:textId="77777777" w:rsidTr="004762C3">
        <w:trPr>
          <w:jc w:val="center"/>
        </w:trPr>
        <w:tc>
          <w:tcPr>
            <w:tcW w:w="2952" w:type="dxa"/>
            <w:shd w:val="clear" w:color="auto" w:fill="FFFFFF"/>
          </w:tcPr>
          <w:p w14:paraId="35495949"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55–64</w:t>
            </w:r>
          </w:p>
        </w:tc>
        <w:tc>
          <w:tcPr>
            <w:tcW w:w="1469" w:type="dxa"/>
            <w:shd w:val="clear" w:color="auto" w:fill="FFFFFF"/>
          </w:tcPr>
          <w:p w14:paraId="59F307F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1,041 (26.0)</w:t>
            </w:r>
          </w:p>
        </w:tc>
        <w:tc>
          <w:tcPr>
            <w:tcW w:w="1642" w:type="dxa"/>
            <w:shd w:val="clear" w:color="auto" w:fill="FFFFFF"/>
          </w:tcPr>
          <w:p w14:paraId="5B860671"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3,482 (22.4)</w:t>
            </w:r>
          </w:p>
        </w:tc>
        <w:tc>
          <w:tcPr>
            <w:tcW w:w="1642" w:type="dxa"/>
            <w:shd w:val="clear" w:color="auto" w:fill="FFFFFF"/>
          </w:tcPr>
          <w:p w14:paraId="3FB20A3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44,473 (34.8)</w:t>
            </w:r>
          </w:p>
        </w:tc>
        <w:tc>
          <w:tcPr>
            <w:tcW w:w="1728" w:type="dxa"/>
            <w:shd w:val="clear" w:color="auto" w:fill="FFFFFF"/>
          </w:tcPr>
          <w:p w14:paraId="2C3EF923"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100,756 (19.8)</w:t>
            </w:r>
          </w:p>
        </w:tc>
      </w:tr>
      <w:tr w:rsidR="000709F1" w:rsidRPr="000F6719" w14:paraId="242B01A8" w14:textId="77777777" w:rsidTr="004762C3">
        <w:trPr>
          <w:jc w:val="center"/>
        </w:trPr>
        <w:tc>
          <w:tcPr>
            <w:tcW w:w="2952" w:type="dxa"/>
            <w:shd w:val="clear" w:color="auto" w:fill="FFFFFF"/>
          </w:tcPr>
          <w:p w14:paraId="1E5E025F"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≥65</w:t>
            </w:r>
          </w:p>
        </w:tc>
        <w:tc>
          <w:tcPr>
            <w:tcW w:w="1469" w:type="dxa"/>
            <w:shd w:val="clear" w:color="auto" w:fill="FFFFFF"/>
          </w:tcPr>
          <w:p w14:paraId="178DA80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1,430 (35.8)</w:t>
            </w:r>
          </w:p>
        </w:tc>
        <w:tc>
          <w:tcPr>
            <w:tcW w:w="1642" w:type="dxa"/>
            <w:shd w:val="clear" w:color="auto" w:fill="FFFFFF"/>
          </w:tcPr>
          <w:p w14:paraId="307463F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4,702 (30.3)</w:t>
            </w:r>
          </w:p>
        </w:tc>
        <w:tc>
          <w:tcPr>
            <w:tcW w:w="1642" w:type="dxa"/>
            <w:shd w:val="clear" w:color="auto" w:fill="FFFFFF"/>
          </w:tcPr>
          <w:p w14:paraId="7C2B0C5C"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279 (0.2)</w:t>
            </w:r>
          </w:p>
        </w:tc>
        <w:tc>
          <w:tcPr>
            <w:tcW w:w="1728" w:type="dxa"/>
            <w:shd w:val="clear" w:color="auto" w:fill="FFFFFF"/>
          </w:tcPr>
          <w:p w14:paraId="1A861046"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570 (0.1)</w:t>
            </w:r>
          </w:p>
        </w:tc>
      </w:tr>
      <w:tr w:rsidR="000709F1" w:rsidRPr="000F6719" w14:paraId="4C1A2072" w14:textId="77777777" w:rsidTr="004762C3">
        <w:trPr>
          <w:jc w:val="center"/>
        </w:trPr>
        <w:tc>
          <w:tcPr>
            <w:tcW w:w="2952" w:type="dxa"/>
            <w:shd w:val="clear" w:color="auto" w:fill="FFFFFF"/>
          </w:tcPr>
          <w:p w14:paraId="20EB54A9"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Mean age (</w:t>
            </w:r>
            <w:proofErr w:type="spellStart"/>
            <w:r w:rsidRPr="000F6719">
              <w:rPr>
                <w:rFonts w:ascii="Times New Roman" w:hAnsi="Times New Roman" w:cs="Times New Roman"/>
                <w:color w:val="000000"/>
                <w:sz w:val="14"/>
              </w:rPr>
              <w:t>s.d.</w:t>
            </w:r>
            <w:proofErr w:type="spellEnd"/>
            <w:r w:rsidRPr="000F6719">
              <w:rPr>
                <w:rFonts w:ascii="Times New Roman" w:hAnsi="Times New Roman" w:cs="Times New Roman"/>
                <w:color w:val="000000"/>
                <w:sz w:val="14"/>
              </w:rPr>
              <w:t>)</w:t>
            </w:r>
          </w:p>
        </w:tc>
        <w:tc>
          <w:tcPr>
            <w:tcW w:w="1469" w:type="dxa"/>
            <w:shd w:val="clear" w:color="auto" w:fill="FFFFFF"/>
          </w:tcPr>
          <w:p w14:paraId="7F1BADEF"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57.5 (16.2)</w:t>
            </w:r>
          </w:p>
        </w:tc>
        <w:tc>
          <w:tcPr>
            <w:tcW w:w="1642" w:type="dxa"/>
            <w:shd w:val="clear" w:color="auto" w:fill="FFFFFF"/>
          </w:tcPr>
          <w:p w14:paraId="63ECA22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54.6 (16.2)</w:t>
            </w:r>
          </w:p>
        </w:tc>
        <w:tc>
          <w:tcPr>
            <w:tcW w:w="1642" w:type="dxa"/>
            <w:shd w:val="clear" w:color="auto" w:fill="FFFFFF"/>
          </w:tcPr>
          <w:p w14:paraId="0815CDCC"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45.8 (14.6)</w:t>
            </w:r>
          </w:p>
        </w:tc>
        <w:tc>
          <w:tcPr>
            <w:tcW w:w="1728" w:type="dxa"/>
            <w:shd w:val="clear" w:color="auto" w:fill="FFFFFF"/>
          </w:tcPr>
          <w:p w14:paraId="4784C8D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38.2 (16.6)</w:t>
            </w:r>
          </w:p>
        </w:tc>
      </w:tr>
      <w:tr w:rsidR="000709F1" w:rsidRPr="000F6719" w14:paraId="2B07A42D" w14:textId="77777777" w:rsidTr="004762C3">
        <w:trPr>
          <w:jc w:val="center"/>
        </w:trPr>
        <w:tc>
          <w:tcPr>
            <w:tcW w:w="2952" w:type="dxa"/>
            <w:shd w:val="clear" w:color="auto" w:fill="FFFFFF"/>
          </w:tcPr>
          <w:p w14:paraId="215B99AC" w14:textId="77777777" w:rsidR="000709F1" w:rsidRPr="000F6719" w:rsidRDefault="000709F1" w:rsidP="004762C3">
            <w:pPr>
              <w:spacing w:before="24" w:after="24"/>
              <w:rPr>
                <w:rFonts w:ascii="Times New Roman" w:hAnsi="Times New Roman" w:cs="Times New Roman"/>
              </w:rPr>
            </w:pPr>
            <w:r w:rsidRPr="000F6719">
              <w:rPr>
                <w:rFonts w:ascii="Times New Roman" w:hAnsi="Times New Roman" w:cs="Times New Roman"/>
                <w:b/>
                <w:color w:val="000000"/>
                <w:sz w:val="14"/>
              </w:rPr>
              <w:t>Vaccination</w:t>
            </w:r>
          </w:p>
        </w:tc>
        <w:tc>
          <w:tcPr>
            <w:tcW w:w="1469" w:type="dxa"/>
            <w:shd w:val="clear" w:color="auto" w:fill="FFFFFF"/>
          </w:tcPr>
          <w:p w14:paraId="5223104F"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263582B7"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6DE45C0D" w14:textId="77777777" w:rsidR="000709F1" w:rsidRPr="000F6719" w:rsidRDefault="000709F1" w:rsidP="004762C3">
            <w:pPr>
              <w:spacing w:before="24" w:after="24"/>
              <w:jc w:val="right"/>
              <w:rPr>
                <w:rFonts w:ascii="Times New Roman" w:hAnsi="Times New Roman" w:cs="Times New Roman"/>
              </w:rPr>
            </w:pPr>
          </w:p>
        </w:tc>
        <w:tc>
          <w:tcPr>
            <w:tcW w:w="1728" w:type="dxa"/>
            <w:shd w:val="clear" w:color="auto" w:fill="FFFFFF"/>
          </w:tcPr>
          <w:p w14:paraId="6CAC5A0D" w14:textId="77777777" w:rsidR="000709F1" w:rsidRPr="000F6719" w:rsidRDefault="000709F1" w:rsidP="004762C3">
            <w:pPr>
              <w:spacing w:before="24" w:after="24"/>
              <w:jc w:val="right"/>
              <w:rPr>
                <w:rFonts w:ascii="Times New Roman" w:hAnsi="Times New Roman" w:cs="Times New Roman"/>
              </w:rPr>
            </w:pPr>
          </w:p>
        </w:tc>
      </w:tr>
      <w:tr w:rsidR="000709F1" w:rsidRPr="000F6719" w14:paraId="1A4A74C1" w14:textId="77777777" w:rsidTr="004762C3">
        <w:trPr>
          <w:jc w:val="center"/>
        </w:trPr>
        <w:tc>
          <w:tcPr>
            <w:tcW w:w="2952" w:type="dxa"/>
            <w:shd w:val="clear" w:color="auto" w:fill="FFFFFF"/>
          </w:tcPr>
          <w:p w14:paraId="5F322B23"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Recorded before index</w:t>
            </w:r>
          </w:p>
        </w:tc>
        <w:tc>
          <w:tcPr>
            <w:tcW w:w="1469" w:type="dxa"/>
            <w:shd w:val="clear" w:color="auto" w:fill="FFFFFF"/>
          </w:tcPr>
          <w:p w14:paraId="22ADC0EC"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360 (9.0)</w:t>
            </w:r>
          </w:p>
        </w:tc>
        <w:tc>
          <w:tcPr>
            <w:tcW w:w="1642" w:type="dxa"/>
            <w:shd w:val="clear" w:color="auto" w:fill="FFFFFF"/>
          </w:tcPr>
          <w:p w14:paraId="7ECEE417"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2,829 (18.2)</w:t>
            </w:r>
          </w:p>
        </w:tc>
        <w:tc>
          <w:tcPr>
            <w:tcW w:w="1642" w:type="dxa"/>
            <w:shd w:val="clear" w:color="auto" w:fill="FFFFFF"/>
          </w:tcPr>
          <w:p w14:paraId="621135B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11,002 (8.6)</w:t>
            </w:r>
          </w:p>
        </w:tc>
        <w:tc>
          <w:tcPr>
            <w:tcW w:w="1728" w:type="dxa"/>
            <w:shd w:val="clear" w:color="auto" w:fill="FFFFFF"/>
          </w:tcPr>
          <w:p w14:paraId="4945EAB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67,783 (13.3)</w:t>
            </w:r>
          </w:p>
        </w:tc>
      </w:tr>
      <w:tr w:rsidR="000709F1" w:rsidRPr="000F6719" w14:paraId="1D81D3D9" w14:textId="77777777" w:rsidTr="004762C3">
        <w:trPr>
          <w:jc w:val="center"/>
        </w:trPr>
        <w:tc>
          <w:tcPr>
            <w:tcW w:w="2952" w:type="dxa"/>
            <w:shd w:val="clear" w:color="auto" w:fill="FFFFFF"/>
          </w:tcPr>
          <w:p w14:paraId="356DD6C6"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No record</w:t>
            </w:r>
          </w:p>
        </w:tc>
        <w:tc>
          <w:tcPr>
            <w:tcW w:w="1469" w:type="dxa"/>
            <w:shd w:val="clear" w:color="auto" w:fill="FFFFFF"/>
          </w:tcPr>
          <w:p w14:paraId="51D5286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3,637 (91.0)</w:t>
            </w:r>
          </w:p>
        </w:tc>
        <w:tc>
          <w:tcPr>
            <w:tcW w:w="1642" w:type="dxa"/>
            <w:shd w:val="clear" w:color="auto" w:fill="FFFFFF"/>
          </w:tcPr>
          <w:p w14:paraId="797C7D7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12,694 (81.8)</w:t>
            </w:r>
          </w:p>
        </w:tc>
        <w:tc>
          <w:tcPr>
            <w:tcW w:w="1642" w:type="dxa"/>
            <w:shd w:val="clear" w:color="auto" w:fill="FFFFFF"/>
          </w:tcPr>
          <w:p w14:paraId="37E53975"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116,694 (91.4)</w:t>
            </w:r>
          </w:p>
        </w:tc>
        <w:tc>
          <w:tcPr>
            <w:tcW w:w="1728" w:type="dxa"/>
            <w:shd w:val="clear" w:color="auto" w:fill="FFFFFF"/>
          </w:tcPr>
          <w:p w14:paraId="6FDA1C6F"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442,200 (86.7)</w:t>
            </w:r>
          </w:p>
        </w:tc>
      </w:tr>
      <w:tr w:rsidR="000709F1" w:rsidRPr="000F6719" w14:paraId="08322E66" w14:textId="77777777" w:rsidTr="004762C3">
        <w:trPr>
          <w:jc w:val="center"/>
        </w:trPr>
        <w:tc>
          <w:tcPr>
            <w:tcW w:w="2952" w:type="dxa"/>
            <w:shd w:val="clear" w:color="auto" w:fill="FFFFFF"/>
          </w:tcPr>
          <w:p w14:paraId="18A8F989" w14:textId="77777777" w:rsidR="000709F1" w:rsidRPr="000F6719" w:rsidRDefault="000709F1" w:rsidP="004762C3">
            <w:pPr>
              <w:spacing w:before="24" w:after="24"/>
              <w:rPr>
                <w:rFonts w:ascii="Times New Roman" w:hAnsi="Times New Roman" w:cs="Times New Roman"/>
              </w:rPr>
            </w:pPr>
            <w:r w:rsidRPr="000F6719">
              <w:rPr>
                <w:rFonts w:ascii="Times New Roman" w:hAnsi="Times New Roman" w:cs="Times New Roman"/>
                <w:b/>
                <w:color w:val="000000"/>
                <w:sz w:val="14"/>
              </w:rPr>
              <w:t>Charlson comorbidities</w:t>
            </w:r>
          </w:p>
        </w:tc>
        <w:tc>
          <w:tcPr>
            <w:tcW w:w="1469" w:type="dxa"/>
            <w:shd w:val="clear" w:color="auto" w:fill="FFFFFF"/>
          </w:tcPr>
          <w:p w14:paraId="2579BE1C"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4A7EFAA2"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0461F71E" w14:textId="77777777" w:rsidR="000709F1" w:rsidRPr="000F6719" w:rsidRDefault="000709F1" w:rsidP="004762C3">
            <w:pPr>
              <w:spacing w:before="24" w:after="24"/>
              <w:jc w:val="right"/>
              <w:rPr>
                <w:rFonts w:ascii="Times New Roman" w:hAnsi="Times New Roman" w:cs="Times New Roman"/>
              </w:rPr>
            </w:pPr>
          </w:p>
        </w:tc>
        <w:tc>
          <w:tcPr>
            <w:tcW w:w="1728" w:type="dxa"/>
            <w:shd w:val="clear" w:color="auto" w:fill="FFFFFF"/>
          </w:tcPr>
          <w:p w14:paraId="3D51DA58" w14:textId="77777777" w:rsidR="000709F1" w:rsidRPr="000F6719" w:rsidRDefault="000709F1" w:rsidP="004762C3">
            <w:pPr>
              <w:spacing w:before="24" w:after="24"/>
              <w:jc w:val="right"/>
              <w:rPr>
                <w:rFonts w:ascii="Times New Roman" w:hAnsi="Times New Roman" w:cs="Times New Roman"/>
              </w:rPr>
            </w:pPr>
          </w:p>
        </w:tc>
      </w:tr>
      <w:tr w:rsidR="000709F1" w:rsidRPr="000F6719" w14:paraId="405BB3D0" w14:textId="77777777" w:rsidTr="004762C3">
        <w:trPr>
          <w:jc w:val="center"/>
        </w:trPr>
        <w:tc>
          <w:tcPr>
            <w:tcW w:w="2952" w:type="dxa"/>
            <w:shd w:val="clear" w:color="auto" w:fill="FFFFFF"/>
          </w:tcPr>
          <w:p w14:paraId="082ABD06"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Myocardial infarction</w:t>
            </w:r>
          </w:p>
        </w:tc>
        <w:tc>
          <w:tcPr>
            <w:tcW w:w="1469" w:type="dxa"/>
            <w:shd w:val="clear" w:color="auto" w:fill="FFFFFF"/>
          </w:tcPr>
          <w:p w14:paraId="6AA24AF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570 (14.3)</w:t>
            </w:r>
          </w:p>
        </w:tc>
        <w:tc>
          <w:tcPr>
            <w:tcW w:w="1642" w:type="dxa"/>
            <w:shd w:val="clear" w:color="auto" w:fill="FFFFFF"/>
          </w:tcPr>
          <w:p w14:paraId="6F230A5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1,575 (10.1)</w:t>
            </w:r>
          </w:p>
        </w:tc>
        <w:tc>
          <w:tcPr>
            <w:tcW w:w="1642" w:type="dxa"/>
            <w:shd w:val="clear" w:color="auto" w:fill="FFFFFF"/>
          </w:tcPr>
          <w:p w14:paraId="2E50D4A5"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2,723 (2.1)</w:t>
            </w:r>
          </w:p>
        </w:tc>
        <w:tc>
          <w:tcPr>
            <w:tcW w:w="1728" w:type="dxa"/>
            <w:shd w:val="clear" w:color="auto" w:fill="FFFFFF"/>
          </w:tcPr>
          <w:p w14:paraId="6DFA8F63"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5,302 (1.0)</w:t>
            </w:r>
          </w:p>
        </w:tc>
      </w:tr>
      <w:tr w:rsidR="000709F1" w:rsidRPr="000F6719" w14:paraId="4979B180" w14:textId="77777777" w:rsidTr="004762C3">
        <w:trPr>
          <w:jc w:val="center"/>
        </w:trPr>
        <w:tc>
          <w:tcPr>
            <w:tcW w:w="2952" w:type="dxa"/>
            <w:shd w:val="clear" w:color="auto" w:fill="FFFFFF"/>
          </w:tcPr>
          <w:p w14:paraId="190E0D27"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Congestive heart failure</w:t>
            </w:r>
          </w:p>
        </w:tc>
        <w:tc>
          <w:tcPr>
            <w:tcW w:w="1469" w:type="dxa"/>
            <w:shd w:val="clear" w:color="auto" w:fill="FFFFFF"/>
          </w:tcPr>
          <w:p w14:paraId="4B1B5BCC"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1,034 (25.9)</w:t>
            </w:r>
          </w:p>
        </w:tc>
        <w:tc>
          <w:tcPr>
            <w:tcW w:w="1642" w:type="dxa"/>
            <w:shd w:val="clear" w:color="auto" w:fill="FFFFFF"/>
          </w:tcPr>
          <w:p w14:paraId="739D77A6"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2,833 (18.3)</w:t>
            </w:r>
          </w:p>
        </w:tc>
        <w:tc>
          <w:tcPr>
            <w:tcW w:w="1642" w:type="dxa"/>
            <w:shd w:val="clear" w:color="auto" w:fill="FFFFFF"/>
          </w:tcPr>
          <w:p w14:paraId="7B0413A3"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6,602 (5.2)</w:t>
            </w:r>
          </w:p>
        </w:tc>
        <w:tc>
          <w:tcPr>
            <w:tcW w:w="1728" w:type="dxa"/>
            <w:shd w:val="clear" w:color="auto" w:fill="FFFFFF"/>
          </w:tcPr>
          <w:p w14:paraId="6672497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10,184 (2.0)</w:t>
            </w:r>
          </w:p>
        </w:tc>
      </w:tr>
      <w:tr w:rsidR="000709F1" w:rsidRPr="000F6719" w14:paraId="0E024091" w14:textId="77777777" w:rsidTr="004762C3">
        <w:trPr>
          <w:jc w:val="center"/>
        </w:trPr>
        <w:tc>
          <w:tcPr>
            <w:tcW w:w="2952" w:type="dxa"/>
            <w:shd w:val="clear" w:color="auto" w:fill="FFFFFF"/>
          </w:tcPr>
          <w:p w14:paraId="5C9B4FB8"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Peripheral vascular disease</w:t>
            </w:r>
          </w:p>
        </w:tc>
        <w:tc>
          <w:tcPr>
            <w:tcW w:w="1469" w:type="dxa"/>
            <w:shd w:val="clear" w:color="auto" w:fill="FFFFFF"/>
          </w:tcPr>
          <w:p w14:paraId="4D4E25F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882 (22.1)</w:t>
            </w:r>
          </w:p>
        </w:tc>
        <w:tc>
          <w:tcPr>
            <w:tcW w:w="1642" w:type="dxa"/>
            <w:shd w:val="clear" w:color="auto" w:fill="FFFFFF"/>
          </w:tcPr>
          <w:p w14:paraId="4A13C36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2,812 (18.1)</w:t>
            </w:r>
          </w:p>
        </w:tc>
        <w:tc>
          <w:tcPr>
            <w:tcW w:w="1642" w:type="dxa"/>
            <w:shd w:val="clear" w:color="auto" w:fill="FFFFFF"/>
          </w:tcPr>
          <w:p w14:paraId="733B5F17"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5,858 (4.6)</w:t>
            </w:r>
          </w:p>
        </w:tc>
        <w:tc>
          <w:tcPr>
            <w:tcW w:w="1728" w:type="dxa"/>
            <w:shd w:val="clear" w:color="auto" w:fill="FFFFFF"/>
          </w:tcPr>
          <w:p w14:paraId="47BBE30D"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13,498 (2.6)</w:t>
            </w:r>
          </w:p>
        </w:tc>
      </w:tr>
      <w:tr w:rsidR="000709F1" w:rsidRPr="000F6719" w14:paraId="7F829B20" w14:textId="77777777" w:rsidTr="004762C3">
        <w:trPr>
          <w:jc w:val="center"/>
        </w:trPr>
        <w:tc>
          <w:tcPr>
            <w:tcW w:w="2952" w:type="dxa"/>
            <w:shd w:val="clear" w:color="auto" w:fill="FFFFFF"/>
          </w:tcPr>
          <w:p w14:paraId="0773C229"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Cerebrovascular disease</w:t>
            </w:r>
          </w:p>
        </w:tc>
        <w:tc>
          <w:tcPr>
            <w:tcW w:w="1469" w:type="dxa"/>
            <w:shd w:val="clear" w:color="auto" w:fill="FFFFFF"/>
          </w:tcPr>
          <w:p w14:paraId="7EEC5D4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786 (19.7)</w:t>
            </w:r>
          </w:p>
        </w:tc>
        <w:tc>
          <w:tcPr>
            <w:tcW w:w="1642" w:type="dxa"/>
            <w:shd w:val="clear" w:color="auto" w:fill="FFFFFF"/>
          </w:tcPr>
          <w:p w14:paraId="4CC4854D"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2,388 (15.4)</w:t>
            </w:r>
          </w:p>
        </w:tc>
        <w:tc>
          <w:tcPr>
            <w:tcW w:w="1642" w:type="dxa"/>
            <w:shd w:val="clear" w:color="auto" w:fill="FFFFFF"/>
          </w:tcPr>
          <w:p w14:paraId="2A3AC081"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4,207 (3.3)</w:t>
            </w:r>
          </w:p>
        </w:tc>
        <w:tc>
          <w:tcPr>
            <w:tcW w:w="1728" w:type="dxa"/>
            <w:shd w:val="clear" w:color="auto" w:fill="FFFFFF"/>
          </w:tcPr>
          <w:p w14:paraId="2AF7CD1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11,597 (2.3)</w:t>
            </w:r>
          </w:p>
        </w:tc>
      </w:tr>
      <w:tr w:rsidR="000709F1" w:rsidRPr="000F6719" w14:paraId="6A7203B2" w14:textId="77777777" w:rsidTr="004762C3">
        <w:trPr>
          <w:jc w:val="center"/>
        </w:trPr>
        <w:tc>
          <w:tcPr>
            <w:tcW w:w="2952" w:type="dxa"/>
            <w:shd w:val="clear" w:color="auto" w:fill="FFFFFF"/>
          </w:tcPr>
          <w:p w14:paraId="5086234B"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Dementia</w:t>
            </w:r>
          </w:p>
        </w:tc>
        <w:tc>
          <w:tcPr>
            <w:tcW w:w="1469" w:type="dxa"/>
            <w:shd w:val="clear" w:color="auto" w:fill="FFFFFF"/>
          </w:tcPr>
          <w:p w14:paraId="4504DA13"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243 (6.1)</w:t>
            </w:r>
          </w:p>
        </w:tc>
        <w:tc>
          <w:tcPr>
            <w:tcW w:w="1642" w:type="dxa"/>
            <w:shd w:val="clear" w:color="auto" w:fill="FFFFFF"/>
          </w:tcPr>
          <w:p w14:paraId="662EDEF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730 (4.7)</w:t>
            </w:r>
          </w:p>
        </w:tc>
        <w:tc>
          <w:tcPr>
            <w:tcW w:w="1642" w:type="dxa"/>
            <w:shd w:val="clear" w:color="auto" w:fill="FFFFFF"/>
          </w:tcPr>
          <w:p w14:paraId="2F2CC8A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769 (0.6)</w:t>
            </w:r>
          </w:p>
        </w:tc>
        <w:tc>
          <w:tcPr>
            <w:tcW w:w="1728" w:type="dxa"/>
            <w:shd w:val="clear" w:color="auto" w:fill="FFFFFF"/>
          </w:tcPr>
          <w:p w14:paraId="641A9278"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1,436 (0.3)</w:t>
            </w:r>
          </w:p>
        </w:tc>
      </w:tr>
      <w:tr w:rsidR="000709F1" w:rsidRPr="000F6719" w14:paraId="526534CA" w14:textId="77777777" w:rsidTr="004762C3">
        <w:trPr>
          <w:jc w:val="center"/>
        </w:trPr>
        <w:tc>
          <w:tcPr>
            <w:tcW w:w="2952" w:type="dxa"/>
            <w:shd w:val="clear" w:color="auto" w:fill="FFFFFF"/>
          </w:tcPr>
          <w:p w14:paraId="3304B867"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Chronic pulmonary disease</w:t>
            </w:r>
          </w:p>
        </w:tc>
        <w:tc>
          <w:tcPr>
            <w:tcW w:w="1469" w:type="dxa"/>
            <w:shd w:val="clear" w:color="auto" w:fill="FFFFFF"/>
          </w:tcPr>
          <w:p w14:paraId="5723211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1,819 (45.5)</w:t>
            </w:r>
          </w:p>
        </w:tc>
        <w:tc>
          <w:tcPr>
            <w:tcW w:w="1642" w:type="dxa"/>
            <w:shd w:val="clear" w:color="auto" w:fill="FFFFFF"/>
          </w:tcPr>
          <w:p w14:paraId="79B9F2E7"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7,384 (47.6)</w:t>
            </w:r>
          </w:p>
        </w:tc>
        <w:tc>
          <w:tcPr>
            <w:tcW w:w="1642" w:type="dxa"/>
            <w:shd w:val="clear" w:color="auto" w:fill="FFFFFF"/>
          </w:tcPr>
          <w:p w14:paraId="6DA88FE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18,381 (14.4)</w:t>
            </w:r>
          </w:p>
        </w:tc>
        <w:tc>
          <w:tcPr>
            <w:tcW w:w="1728" w:type="dxa"/>
            <w:shd w:val="clear" w:color="auto" w:fill="FFFFFF"/>
          </w:tcPr>
          <w:p w14:paraId="76A5D18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67,051 (13.1)</w:t>
            </w:r>
          </w:p>
        </w:tc>
      </w:tr>
      <w:tr w:rsidR="000709F1" w:rsidRPr="000F6719" w14:paraId="1FF192E1" w14:textId="77777777" w:rsidTr="004762C3">
        <w:trPr>
          <w:jc w:val="center"/>
        </w:trPr>
        <w:tc>
          <w:tcPr>
            <w:tcW w:w="2952" w:type="dxa"/>
            <w:shd w:val="clear" w:color="auto" w:fill="FFFFFF"/>
          </w:tcPr>
          <w:p w14:paraId="0FA6FB22"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Rheumatic disease</w:t>
            </w:r>
          </w:p>
        </w:tc>
        <w:tc>
          <w:tcPr>
            <w:tcW w:w="1469" w:type="dxa"/>
            <w:shd w:val="clear" w:color="auto" w:fill="FFFFFF"/>
          </w:tcPr>
          <w:p w14:paraId="13FD015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437 (10.9)</w:t>
            </w:r>
          </w:p>
        </w:tc>
        <w:tc>
          <w:tcPr>
            <w:tcW w:w="1642" w:type="dxa"/>
            <w:shd w:val="clear" w:color="auto" w:fill="FFFFFF"/>
          </w:tcPr>
          <w:p w14:paraId="6C297D6F"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1,733 (11.2)</w:t>
            </w:r>
          </w:p>
        </w:tc>
        <w:tc>
          <w:tcPr>
            <w:tcW w:w="1642" w:type="dxa"/>
            <w:shd w:val="clear" w:color="auto" w:fill="FFFFFF"/>
          </w:tcPr>
          <w:p w14:paraId="0EBDFDD1"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3,604 (2.8)</w:t>
            </w:r>
          </w:p>
        </w:tc>
        <w:tc>
          <w:tcPr>
            <w:tcW w:w="1728" w:type="dxa"/>
            <w:shd w:val="clear" w:color="auto" w:fill="FFFFFF"/>
          </w:tcPr>
          <w:p w14:paraId="29BF036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13,730 (2.7)</w:t>
            </w:r>
          </w:p>
        </w:tc>
      </w:tr>
      <w:tr w:rsidR="000709F1" w:rsidRPr="000F6719" w14:paraId="7DD0A752" w14:textId="77777777" w:rsidTr="004762C3">
        <w:trPr>
          <w:jc w:val="center"/>
        </w:trPr>
        <w:tc>
          <w:tcPr>
            <w:tcW w:w="2952" w:type="dxa"/>
            <w:shd w:val="clear" w:color="auto" w:fill="FFFFFF"/>
          </w:tcPr>
          <w:p w14:paraId="119C9822"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Peptic ulcer disease</w:t>
            </w:r>
          </w:p>
        </w:tc>
        <w:tc>
          <w:tcPr>
            <w:tcW w:w="1469" w:type="dxa"/>
            <w:shd w:val="clear" w:color="auto" w:fill="FFFFFF"/>
          </w:tcPr>
          <w:p w14:paraId="3F851463"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336 (8.4)</w:t>
            </w:r>
          </w:p>
        </w:tc>
        <w:tc>
          <w:tcPr>
            <w:tcW w:w="1642" w:type="dxa"/>
            <w:shd w:val="clear" w:color="auto" w:fill="FFFFFF"/>
          </w:tcPr>
          <w:p w14:paraId="6F6BF11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1,266 (8.2)</w:t>
            </w:r>
          </w:p>
        </w:tc>
        <w:tc>
          <w:tcPr>
            <w:tcW w:w="1642" w:type="dxa"/>
            <w:shd w:val="clear" w:color="auto" w:fill="FFFFFF"/>
          </w:tcPr>
          <w:p w14:paraId="1B0D7C2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1,170 (0.9)</w:t>
            </w:r>
          </w:p>
        </w:tc>
        <w:tc>
          <w:tcPr>
            <w:tcW w:w="1728" w:type="dxa"/>
            <w:shd w:val="clear" w:color="auto" w:fill="FFFFFF"/>
          </w:tcPr>
          <w:p w14:paraId="6F612B8D"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4,401 (0.9)</w:t>
            </w:r>
          </w:p>
        </w:tc>
      </w:tr>
      <w:tr w:rsidR="000709F1" w:rsidRPr="000F6719" w14:paraId="5CA8C684" w14:textId="77777777" w:rsidTr="004762C3">
        <w:trPr>
          <w:jc w:val="center"/>
        </w:trPr>
        <w:tc>
          <w:tcPr>
            <w:tcW w:w="2952" w:type="dxa"/>
            <w:shd w:val="clear" w:color="auto" w:fill="FFFFFF"/>
          </w:tcPr>
          <w:p w14:paraId="48AFF298"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Liver disease, mild</w:t>
            </w:r>
          </w:p>
        </w:tc>
        <w:tc>
          <w:tcPr>
            <w:tcW w:w="1469" w:type="dxa"/>
            <w:shd w:val="clear" w:color="auto" w:fill="FFFFFF"/>
          </w:tcPr>
          <w:p w14:paraId="20FA8A2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854 (21.4)</w:t>
            </w:r>
          </w:p>
        </w:tc>
        <w:tc>
          <w:tcPr>
            <w:tcW w:w="1642" w:type="dxa"/>
            <w:shd w:val="clear" w:color="auto" w:fill="FFFFFF"/>
          </w:tcPr>
          <w:p w14:paraId="469311AC"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3,789 (24.4)</w:t>
            </w:r>
          </w:p>
        </w:tc>
        <w:tc>
          <w:tcPr>
            <w:tcW w:w="1642" w:type="dxa"/>
            <w:shd w:val="clear" w:color="auto" w:fill="FFFFFF"/>
          </w:tcPr>
          <w:p w14:paraId="1319D7F7"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7,871 (6.2)</w:t>
            </w:r>
          </w:p>
        </w:tc>
        <w:tc>
          <w:tcPr>
            <w:tcW w:w="1728" w:type="dxa"/>
            <w:shd w:val="clear" w:color="auto" w:fill="FFFFFF"/>
          </w:tcPr>
          <w:p w14:paraId="617EE875"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26,219 (5.1)</w:t>
            </w:r>
          </w:p>
        </w:tc>
      </w:tr>
      <w:tr w:rsidR="000709F1" w:rsidRPr="000F6719" w14:paraId="28E564EB" w14:textId="77777777" w:rsidTr="004762C3">
        <w:trPr>
          <w:jc w:val="center"/>
        </w:trPr>
        <w:tc>
          <w:tcPr>
            <w:tcW w:w="2952" w:type="dxa"/>
            <w:shd w:val="clear" w:color="auto" w:fill="FFFFFF"/>
          </w:tcPr>
          <w:p w14:paraId="51D49303"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Liver disease, moderate/severe</w:t>
            </w:r>
          </w:p>
        </w:tc>
        <w:tc>
          <w:tcPr>
            <w:tcW w:w="1469" w:type="dxa"/>
            <w:shd w:val="clear" w:color="auto" w:fill="FFFFFF"/>
          </w:tcPr>
          <w:p w14:paraId="6318CAD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163 (4.1)</w:t>
            </w:r>
          </w:p>
        </w:tc>
        <w:tc>
          <w:tcPr>
            <w:tcW w:w="1642" w:type="dxa"/>
            <w:shd w:val="clear" w:color="auto" w:fill="FFFFFF"/>
          </w:tcPr>
          <w:p w14:paraId="492B1B8F"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367 (2.4)</w:t>
            </w:r>
          </w:p>
        </w:tc>
        <w:tc>
          <w:tcPr>
            <w:tcW w:w="1642" w:type="dxa"/>
            <w:shd w:val="clear" w:color="auto" w:fill="FFFFFF"/>
          </w:tcPr>
          <w:p w14:paraId="15CD1B4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887 (0.7)</w:t>
            </w:r>
          </w:p>
        </w:tc>
        <w:tc>
          <w:tcPr>
            <w:tcW w:w="1728" w:type="dxa"/>
            <w:shd w:val="clear" w:color="auto" w:fill="FFFFFF"/>
          </w:tcPr>
          <w:p w14:paraId="789C8D4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1,314 (0.3)</w:t>
            </w:r>
          </w:p>
        </w:tc>
      </w:tr>
      <w:tr w:rsidR="000709F1" w:rsidRPr="000F6719" w14:paraId="0FA6A83E" w14:textId="77777777" w:rsidTr="004762C3">
        <w:trPr>
          <w:jc w:val="center"/>
        </w:trPr>
        <w:tc>
          <w:tcPr>
            <w:tcW w:w="2952" w:type="dxa"/>
            <w:shd w:val="clear" w:color="auto" w:fill="FFFFFF"/>
          </w:tcPr>
          <w:p w14:paraId="035D49CA"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Diabetes without complications</w:t>
            </w:r>
          </w:p>
        </w:tc>
        <w:tc>
          <w:tcPr>
            <w:tcW w:w="1469" w:type="dxa"/>
            <w:shd w:val="clear" w:color="auto" w:fill="FFFFFF"/>
          </w:tcPr>
          <w:p w14:paraId="2CE489A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551 (13.8)</w:t>
            </w:r>
          </w:p>
        </w:tc>
        <w:tc>
          <w:tcPr>
            <w:tcW w:w="1642" w:type="dxa"/>
            <w:shd w:val="clear" w:color="auto" w:fill="FFFFFF"/>
          </w:tcPr>
          <w:p w14:paraId="56807E4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1,978 (12.7)</w:t>
            </w:r>
          </w:p>
        </w:tc>
        <w:tc>
          <w:tcPr>
            <w:tcW w:w="1642" w:type="dxa"/>
            <w:shd w:val="clear" w:color="auto" w:fill="FFFFFF"/>
          </w:tcPr>
          <w:p w14:paraId="1A79BB7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19,060 (14.9)</w:t>
            </w:r>
          </w:p>
        </w:tc>
        <w:tc>
          <w:tcPr>
            <w:tcW w:w="1728" w:type="dxa"/>
            <w:shd w:val="clear" w:color="auto" w:fill="FFFFFF"/>
          </w:tcPr>
          <w:p w14:paraId="4B18C0B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41,002 (8.0)</w:t>
            </w:r>
          </w:p>
        </w:tc>
      </w:tr>
      <w:tr w:rsidR="000709F1" w:rsidRPr="000F6719" w14:paraId="32F05409" w14:textId="77777777" w:rsidTr="004762C3">
        <w:trPr>
          <w:jc w:val="center"/>
        </w:trPr>
        <w:tc>
          <w:tcPr>
            <w:tcW w:w="2952" w:type="dxa"/>
            <w:shd w:val="clear" w:color="auto" w:fill="FFFFFF"/>
          </w:tcPr>
          <w:p w14:paraId="079111FE"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Diabetes with complications</w:t>
            </w:r>
          </w:p>
        </w:tc>
        <w:tc>
          <w:tcPr>
            <w:tcW w:w="1469" w:type="dxa"/>
            <w:shd w:val="clear" w:color="auto" w:fill="FFFFFF"/>
          </w:tcPr>
          <w:p w14:paraId="636BEAF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1,075 (26.9)</w:t>
            </w:r>
          </w:p>
        </w:tc>
        <w:tc>
          <w:tcPr>
            <w:tcW w:w="1642" w:type="dxa"/>
            <w:shd w:val="clear" w:color="auto" w:fill="FFFFFF"/>
          </w:tcPr>
          <w:p w14:paraId="3E227161"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3,064 (19.7)</w:t>
            </w:r>
          </w:p>
        </w:tc>
        <w:tc>
          <w:tcPr>
            <w:tcW w:w="1642" w:type="dxa"/>
            <w:shd w:val="clear" w:color="auto" w:fill="FFFFFF"/>
          </w:tcPr>
          <w:p w14:paraId="4A647A0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11,676 (9.1)</w:t>
            </w:r>
          </w:p>
        </w:tc>
        <w:tc>
          <w:tcPr>
            <w:tcW w:w="1728" w:type="dxa"/>
            <w:shd w:val="clear" w:color="auto" w:fill="FFFFFF"/>
          </w:tcPr>
          <w:p w14:paraId="0BAACFB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18,144 (3.6)</w:t>
            </w:r>
          </w:p>
        </w:tc>
      </w:tr>
      <w:tr w:rsidR="000709F1" w:rsidRPr="000F6719" w14:paraId="00FD841E" w14:textId="77777777" w:rsidTr="004762C3">
        <w:trPr>
          <w:jc w:val="center"/>
        </w:trPr>
        <w:tc>
          <w:tcPr>
            <w:tcW w:w="2952" w:type="dxa"/>
            <w:shd w:val="clear" w:color="auto" w:fill="FFFFFF"/>
          </w:tcPr>
          <w:p w14:paraId="48D4B6F5"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Hemiplegia or paraplegia</w:t>
            </w:r>
          </w:p>
        </w:tc>
        <w:tc>
          <w:tcPr>
            <w:tcW w:w="1469" w:type="dxa"/>
            <w:shd w:val="clear" w:color="auto" w:fill="FFFFFF"/>
          </w:tcPr>
          <w:p w14:paraId="237BBF1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212 (5.3)</w:t>
            </w:r>
          </w:p>
        </w:tc>
        <w:tc>
          <w:tcPr>
            <w:tcW w:w="1642" w:type="dxa"/>
            <w:shd w:val="clear" w:color="auto" w:fill="FFFFFF"/>
          </w:tcPr>
          <w:p w14:paraId="5D5F2A13"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636 (4.1)</w:t>
            </w:r>
          </w:p>
        </w:tc>
        <w:tc>
          <w:tcPr>
            <w:tcW w:w="1642" w:type="dxa"/>
            <w:shd w:val="clear" w:color="auto" w:fill="FFFFFF"/>
          </w:tcPr>
          <w:p w14:paraId="26DE0EB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1,458 (1.1)</w:t>
            </w:r>
          </w:p>
        </w:tc>
        <w:tc>
          <w:tcPr>
            <w:tcW w:w="1728" w:type="dxa"/>
            <w:shd w:val="clear" w:color="auto" w:fill="FFFFFF"/>
          </w:tcPr>
          <w:p w14:paraId="2FE861D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2,595 (0.5)</w:t>
            </w:r>
          </w:p>
        </w:tc>
      </w:tr>
      <w:tr w:rsidR="000709F1" w:rsidRPr="000F6719" w14:paraId="473A5DF1" w14:textId="77777777" w:rsidTr="004762C3">
        <w:trPr>
          <w:jc w:val="center"/>
        </w:trPr>
        <w:tc>
          <w:tcPr>
            <w:tcW w:w="2952" w:type="dxa"/>
            <w:shd w:val="clear" w:color="auto" w:fill="FFFFFF"/>
          </w:tcPr>
          <w:p w14:paraId="18C229AC"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lastRenderedPageBreak/>
              <w:t>Renal disease, mild/moderate</w:t>
            </w:r>
          </w:p>
        </w:tc>
        <w:tc>
          <w:tcPr>
            <w:tcW w:w="1469" w:type="dxa"/>
            <w:shd w:val="clear" w:color="auto" w:fill="FFFFFF"/>
          </w:tcPr>
          <w:p w14:paraId="6BC57CD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630 (15.8)</w:t>
            </w:r>
          </w:p>
        </w:tc>
        <w:tc>
          <w:tcPr>
            <w:tcW w:w="1642" w:type="dxa"/>
            <w:shd w:val="clear" w:color="auto" w:fill="FFFFFF"/>
          </w:tcPr>
          <w:p w14:paraId="1253CCF1"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2,000 (12.9)</w:t>
            </w:r>
          </w:p>
        </w:tc>
        <w:tc>
          <w:tcPr>
            <w:tcW w:w="1642" w:type="dxa"/>
            <w:shd w:val="clear" w:color="auto" w:fill="FFFFFF"/>
          </w:tcPr>
          <w:p w14:paraId="33EA008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6,192 (4.8)</w:t>
            </w:r>
          </w:p>
        </w:tc>
        <w:tc>
          <w:tcPr>
            <w:tcW w:w="1728" w:type="dxa"/>
            <w:shd w:val="clear" w:color="auto" w:fill="FFFFFF"/>
          </w:tcPr>
          <w:p w14:paraId="33225597"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10,373 (2.0)</w:t>
            </w:r>
          </w:p>
        </w:tc>
      </w:tr>
      <w:tr w:rsidR="000709F1" w:rsidRPr="000F6719" w14:paraId="72EF2142" w14:textId="77777777" w:rsidTr="004762C3">
        <w:trPr>
          <w:jc w:val="center"/>
        </w:trPr>
        <w:tc>
          <w:tcPr>
            <w:tcW w:w="2952" w:type="dxa"/>
            <w:shd w:val="clear" w:color="auto" w:fill="FFFFFF"/>
          </w:tcPr>
          <w:p w14:paraId="2532C975"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Renal disease, severe</w:t>
            </w:r>
          </w:p>
        </w:tc>
        <w:tc>
          <w:tcPr>
            <w:tcW w:w="1469" w:type="dxa"/>
            <w:shd w:val="clear" w:color="auto" w:fill="FFFFFF"/>
          </w:tcPr>
          <w:p w14:paraId="28675E5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479 (12.0)</w:t>
            </w:r>
          </w:p>
        </w:tc>
        <w:tc>
          <w:tcPr>
            <w:tcW w:w="1642" w:type="dxa"/>
            <w:shd w:val="clear" w:color="auto" w:fill="FFFFFF"/>
          </w:tcPr>
          <w:p w14:paraId="209B7C2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1,009 (6.5)</w:t>
            </w:r>
          </w:p>
        </w:tc>
        <w:tc>
          <w:tcPr>
            <w:tcW w:w="1642" w:type="dxa"/>
            <w:shd w:val="clear" w:color="auto" w:fill="FFFFFF"/>
          </w:tcPr>
          <w:p w14:paraId="07F70617"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2,812 (2.2)</w:t>
            </w:r>
          </w:p>
        </w:tc>
        <w:tc>
          <w:tcPr>
            <w:tcW w:w="1728" w:type="dxa"/>
            <w:shd w:val="clear" w:color="auto" w:fill="FFFFFF"/>
          </w:tcPr>
          <w:p w14:paraId="2AB167FD"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2,543 (0.5)</w:t>
            </w:r>
          </w:p>
        </w:tc>
      </w:tr>
      <w:tr w:rsidR="000709F1" w:rsidRPr="000F6719" w14:paraId="7A537D31" w14:textId="77777777" w:rsidTr="004762C3">
        <w:trPr>
          <w:jc w:val="center"/>
        </w:trPr>
        <w:tc>
          <w:tcPr>
            <w:tcW w:w="2952" w:type="dxa"/>
            <w:shd w:val="clear" w:color="auto" w:fill="FFFFFF"/>
          </w:tcPr>
          <w:p w14:paraId="5ADBE4B3"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HIV</w:t>
            </w:r>
          </w:p>
        </w:tc>
        <w:tc>
          <w:tcPr>
            <w:tcW w:w="1469" w:type="dxa"/>
            <w:shd w:val="clear" w:color="auto" w:fill="FFFFFF"/>
          </w:tcPr>
          <w:p w14:paraId="40E18D4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44 (1.1)</w:t>
            </w:r>
          </w:p>
        </w:tc>
        <w:tc>
          <w:tcPr>
            <w:tcW w:w="1642" w:type="dxa"/>
            <w:shd w:val="clear" w:color="auto" w:fill="FFFFFF"/>
          </w:tcPr>
          <w:p w14:paraId="27F6C0D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122 (0.8)</w:t>
            </w:r>
          </w:p>
        </w:tc>
        <w:tc>
          <w:tcPr>
            <w:tcW w:w="1642" w:type="dxa"/>
            <w:shd w:val="clear" w:color="auto" w:fill="FFFFFF"/>
          </w:tcPr>
          <w:p w14:paraId="40514B07"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442 (0.3)</w:t>
            </w:r>
          </w:p>
        </w:tc>
        <w:tc>
          <w:tcPr>
            <w:tcW w:w="1728" w:type="dxa"/>
            <w:shd w:val="clear" w:color="auto" w:fill="FFFFFF"/>
          </w:tcPr>
          <w:p w14:paraId="09B8319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1,243 (0.2)</w:t>
            </w:r>
          </w:p>
        </w:tc>
      </w:tr>
      <w:tr w:rsidR="000709F1" w:rsidRPr="000F6719" w14:paraId="2ADBE731" w14:textId="77777777" w:rsidTr="004762C3">
        <w:trPr>
          <w:jc w:val="center"/>
        </w:trPr>
        <w:tc>
          <w:tcPr>
            <w:tcW w:w="2952" w:type="dxa"/>
            <w:shd w:val="clear" w:color="auto" w:fill="FFFFFF"/>
          </w:tcPr>
          <w:p w14:paraId="6FF6ACFF"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Metastatic solid tumor</w:t>
            </w:r>
          </w:p>
        </w:tc>
        <w:tc>
          <w:tcPr>
            <w:tcW w:w="1469" w:type="dxa"/>
            <w:shd w:val="clear" w:color="auto" w:fill="FFFFFF"/>
          </w:tcPr>
          <w:p w14:paraId="65579790"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191 (4.8)</w:t>
            </w:r>
          </w:p>
        </w:tc>
        <w:tc>
          <w:tcPr>
            <w:tcW w:w="1642" w:type="dxa"/>
            <w:shd w:val="clear" w:color="auto" w:fill="FFFFFF"/>
          </w:tcPr>
          <w:p w14:paraId="6C5E62ED"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576 (3.7)</w:t>
            </w:r>
          </w:p>
        </w:tc>
        <w:tc>
          <w:tcPr>
            <w:tcW w:w="1642" w:type="dxa"/>
            <w:shd w:val="clear" w:color="auto" w:fill="FFFFFF"/>
          </w:tcPr>
          <w:p w14:paraId="7C060259"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2,291 (1.8)</w:t>
            </w:r>
          </w:p>
        </w:tc>
        <w:tc>
          <w:tcPr>
            <w:tcW w:w="1728" w:type="dxa"/>
            <w:shd w:val="clear" w:color="auto" w:fill="FFFFFF"/>
          </w:tcPr>
          <w:p w14:paraId="0D9511E3"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3,607 (0.7)</w:t>
            </w:r>
          </w:p>
        </w:tc>
      </w:tr>
      <w:tr w:rsidR="000709F1" w:rsidRPr="000F6719" w14:paraId="6EF3B869" w14:textId="77777777" w:rsidTr="004762C3">
        <w:trPr>
          <w:jc w:val="center"/>
        </w:trPr>
        <w:tc>
          <w:tcPr>
            <w:tcW w:w="2952" w:type="dxa"/>
            <w:shd w:val="clear" w:color="auto" w:fill="FFFFFF"/>
          </w:tcPr>
          <w:p w14:paraId="5140FF58"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Malignancy</w:t>
            </w:r>
          </w:p>
        </w:tc>
        <w:tc>
          <w:tcPr>
            <w:tcW w:w="1469" w:type="dxa"/>
            <w:shd w:val="clear" w:color="auto" w:fill="FFFFFF"/>
          </w:tcPr>
          <w:p w14:paraId="4590A3D1"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700 (17.5)</w:t>
            </w:r>
          </w:p>
        </w:tc>
        <w:tc>
          <w:tcPr>
            <w:tcW w:w="1642" w:type="dxa"/>
            <w:shd w:val="clear" w:color="auto" w:fill="FFFFFF"/>
          </w:tcPr>
          <w:p w14:paraId="58E96264"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2,432 (15.7)</w:t>
            </w:r>
          </w:p>
        </w:tc>
        <w:tc>
          <w:tcPr>
            <w:tcW w:w="1642" w:type="dxa"/>
            <w:shd w:val="clear" w:color="auto" w:fill="FFFFFF"/>
          </w:tcPr>
          <w:p w14:paraId="0C706B86"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4,940 (3.9)</w:t>
            </w:r>
          </w:p>
        </w:tc>
        <w:tc>
          <w:tcPr>
            <w:tcW w:w="1728" w:type="dxa"/>
            <w:shd w:val="clear" w:color="auto" w:fill="FFFFFF"/>
          </w:tcPr>
          <w:p w14:paraId="4FD9BB4F"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13,622 (2.7)</w:t>
            </w:r>
          </w:p>
        </w:tc>
      </w:tr>
      <w:tr w:rsidR="000709F1" w:rsidRPr="000F6719" w14:paraId="6CD8F000" w14:textId="77777777" w:rsidTr="004762C3">
        <w:trPr>
          <w:jc w:val="center"/>
        </w:trPr>
        <w:tc>
          <w:tcPr>
            <w:tcW w:w="2952" w:type="dxa"/>
            <w:shd w:val="clear" w:color="auto" w:fill="FFFFFF"/>
          </w:tcPr>
          <w:p w14:paraId="16F697DF"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AIDS</w:t>
            </w:r>
          </w:p>
        </w:tc>
        <w:tc>
          <w:tcPr>
            <w:tcW w:w="1469" w:type="dxa"/>
            <w:shd w:val="clear" w:color="auto" w:fill="FFFFFF"/>
          </w:tcPr>
          <w:p w14:paraId="0D2D05E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63 (1.6)</w:t>
            </w:r>
          </w:p>
        </w:tc>
        <w:tc>
          <w:tcPr>
            <w:tcW w:w="1642" w:type="dxa"/>
            <w:shd w:val="clear" w:color="auto" w:fill="FFFFFF"/>
          </w:tcPr>
          <w:p w14:paraId="13492C9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252 (1.6)</w:t>
            </w:r>
          </w:p>
        </w:tc>
        <w:tc>
          <w:tcPr>
            <w:tcW w:w="1642" w:type="dxa"/>
            <w:shd w:val="clear" w:color="auto" w:fill="FFFFFF"/>
          </w:tcPr>
          <w:p w14:paraId="794162DE"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127 (0.1)</w:t>
            </w:r>
          </w:p>
        </w:tc>
        <w:tc>
          <w:tcPr>
            <w:tcW w:w="1728" w:type="dxa"/>
            <w:shd w:val="clear" w:color="auto" w:fill="FFFFFF"/>
          </w:tcPr>
          <w:p w14:paraId="5C7AC4B3"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269 (0.1)</w:t>
            </w:r>
          </w:p>
        </w:tc>
      </w:tr>
      <w:tr w:rsidR="000709F1" w:rsidRPr="000F6719" w14:paraId="5D6AFD20" w14:textId="77777777" w:rsidTr="004762C3">
        <w:trPr>
          <w:jc w:val="center"/>
        </w:trPr>
        <w:tc>
          <w:tcPr>
            <w:tcW w:w="2952" w:type="dxa"/>
            <w:shd w:val="clear" w:color="auto" w:fill="FFFFFF"/>
          </w:tcPr>
          <w:p w14:paraId="597C1C32" w14:textId="77777777" w:rsidR="000709F1" w:rsidRPr="000F6719" w:rsidRDefault="000709F1" w:rsidP="004762C3">
            <w:pPr>
              <w:spacing w:before="24" w:after="24"/>
              <w:rPr>
                <w:rFonts w:ascii="Times New Roman" w:hAnsi="Times New Roman" w:cs="Times New Roman"/>
              </w:rPr>
            </w:pPr>
            <w:r w:rsidRPr="000F6719">
              <w:rPr>
                <w:rFonts w:ascii="Times New Roman" w:hAnsi="Times New Roman" w:cs="Times New Roman"/>
                <w:b/>
                <w:color w:val="000000"/>
                <w:sz w:val="14"/>
              </w:rPr>
              <w:t>Pandemic wave</w:t>
            </w:r>
          </w:p>
        </w:tc>
        <w:tc>
          <w:tcPr>
            <w:tcW w:w="1469" w:type="dxa"/>
            <w:shd w:val="clear" w:color="auto" w:fill="FFFFFF"/>
          </w:tcPr>
          <w:p w14:paraId="09528F19"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3F4858E5" w14:textId="77777777" w:rsidR="000709F1" w:rsidRPr="000F6719" w:rsidRDefault="000709F1" w:rsidP="004762C3">
            <w:pPr>
              <w:spacing w:before="24" w:after="24"/>
              <w:jc w:val="right"/>
              <w:rPr>
                <w:rFonts w:ascii="Times New Roman" w:hAnsi="Times New Roman" w:cs="Times New Roman"/>
              </w:rPr>
            </w:pPr>
          </w:p>
        </w:tc>
        <w:tc>
          <w:tcPr>
            <w:tcW w:w="1642" w:type="dxa"/>
            <w:shd w:val="clear" w:color="auto" w:fill="FFFFFF"/>
          </w:tcPr>
          <w:p w14:paraId="5587267A" w14:textId="77777777" w:rsidR="000709F1" w:rsidRPr="000F6719" w:rsidRDefault="000709F1" w:rsidP="004762C3">
            <w:pPr>
              <w:spacing w:before="24" w:after="24"/>
              <w:jc w:val="right"/>
              <w:rPr>
                <w:rFonts w:ascii="Times New Roman" w:hAnsi="Times New Roman" w:cs="Times New Roman"/>
              </w:rPr>
            </w:pPr>
          </w:p>
        </w:tc>
        <w:tc>
          <w:tcPr>
            <w:tcW w:w="1728" w:type="dxa"/>
            <w:shd w:val="clear" w:color="auto" w:fill="FFFFFF"/>
          </w:tcPr>
          <w:p w14:paraId="3CDBF5A1" w14:textId="77777777" w:rsidR="000709F1" w:rsidRPr="000F6719" w:rsidRDefault="000709F1" w:rsidP="004762C3">
            <w:pPr>
              <w:spacing w:before="24" w:after="24"/>
              <w:jc w:val="right"/>
              <w:rPr>
                <w:rFonts w:ascii="Times New Roman" w:hAnsi="Times New Roman" w:cs="Times New Roman"/>
              </w:rPr>
            </w:pPr>
          </w:p>
        </w:tc>
      </w:tr>
      <w:tr w:rsidR="000709F1" w:rsidRPr="000F6719" w14:paraId="475C275C" w14:textId="77777777" w:rsidTr="004762C3">
        <w:trPr>
          <w:jc w:val="center"/>
        </w:trPr>
        <w:tc>
          <w:tcPr>
            <w:tcW w:w="2952" w:type="dxa"/>
            <w:shd w:val="clear" w:color="auto" w:fill="FFFFFF"/>
          </w:tcPr>
          <w:p w14:paraId="6C7D9415"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Pre-Delta</w:t>
            </w:r>
          </w:p>
        </w:tc>
        <w:tc>
          <w:tcPr>
            <w:tcW w:w="1469" w:type="dxa"/>
            <w:shd w:val="clear" w:color="auto" w:fill="FFFFFF"/>
          </w:tcPr>
          <w:p w14:paraId="28A6D334"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2,037 (51.0)</w:t>
            </w:r>
          </w:p>
        </w:tc>
        <w:tc>
          <w:tcPr>
            <w:tcW w:w="1642" w:type="dxa"/>
            <w:shd w:val="clear" w:color="auto" w:fill="FFFFFF"/>
          </w:tcPr>
          <w:p w14:paraId="2301492F"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7,222 (46.5)</w:t>
            </w:r>
          </w:p>
        </w:tc>
        <w:tc>
          <w:tcPr>
            <w:tcW w:w="1642" w:type="dxa"/>
            <w:shd w:val="clear" w:color="auto" w:fill="FFFFFF"/>
          </w:tcPr>
          <w:p w14:paraId="03615B0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48ED016A"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77CF2EE4" w14:textId="77777777" w:rsidTr="004762C3">
        <w:trPr>
          <w:jc w:val="center"/>
        </w:trPr>
        <w:tc>
          <w:tcPr>
            <w:tcW w:w="2952" w:type="dxa"/>
            <w:shd w:val="clear" w:color="auto" w:fill="FFFFFF"/>
          </w:tcPr>
          <w:p w14:paraId="355EC4D2"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Delta</w:t>
            </w:r>
          </w:p>
        </w:tc>
        <w:tc>
          <w:tcPr>
            <w:tcW w:w="1469" w:type="dxa"/>
            <w:shd w:val="clear" w:color="auto" w:fill="FFFFFF"/>
          </w:tcPr>
          <w:p w14:paraId="0FB1824F"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638 (16.0)</w:t>
            </w:r>
          </w:p>
        </w:tc>
        <w:tc>
          <w:tcPr>
            <w:tcW w:w="1642" w:type="dxa"/>
            <w:shd w:val="clear" w:color="auto" w:fill="FFFFFF"/>
          </w:tcPr>
          <w:p w14:paraId="27E0D842"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2,279 (14.7)</w:t>
            </w:r>
          </w:p>
        </w:tc>
        <w:tc>
          <w:tcPr>
            <w:tcW w:w="1642" w:type="dxa"/>
            <w:shd w:val="clear" w:color="auto" w:fill="FFFFFF"/>
          </w:tcPr>
          <w:p w14:paraId="77D5215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466DA7E7"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3536A637" w14:textId="77777777" w:rsidTr="004762C3">
        <w:trPr>
          <w:jc w:val="center"/>
        </w:trPr>
        <w:tc>
          <w:tcPr>
            <w:tcW w:w="2952" w:type="dxa"/>
            <w:tcBorders>
              <w:bottom w:val="single" w:sz="8" w:space="0" w:color="333333"/>
            </w:tcBorders>
            <w:shd w:val="clear" w:color="auto" w:fill="FFFFFF"/>
          </w:tcPr>
          <w:p w14:paraId="6246E932" w14:textId="77777777" w:rsidR="000709F1" w:rsidRPr="000F6719" w:rsidRDefault="000709F1"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Omicron</w:t>
            </w:r>
          </w:p>
        </w:tc>
        <w:tc>
          <w:tcPr>
            <w:tcW w:w="1469" w:type="dxa"/>
            <w:tcBorders>
              <w:bottom w:val="single" w:sz="8" w:space="0" w:color="333333"/>
            </w:tcBorders>
            <w:shd w:val="clear" w:color="auto" w:fill="FFFFFF"/>
          </w:tcPr>
          <w:p w14:paraId="556D137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1,322 (33.1)</w:t>
            </w:r>
          </w:p>
        </w:tc>
        <w:tc>
          <w:tcPr>
            <w:tcW w:w="1642" w:type="dxa"/>
            <w:tcBorders>
              <w:bottom w:val="single" w:sz="8" w:space="0" w:color="333333"/>
            </w:tcBorders>
            <w:shd w:val="clear" w:color="auto" w:fill="FFFFFF"/>
          </w:tcPr>
          <w:p w14:paraId="54913A3D"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6,022 (38.8)</w:t>
            </w:r>
          </w:p>
        </w:tc>
        <w:tc>
          <w:tcPr>
            <w:tcW w:w="1642" w:type="dxa"/>
            <w:tcBorders>
              <w:bottom w:val="single" w:sz="8" w:space="0" w:color="333333"/>
            </w:tcBorders>
            <w:shd w:val="clear" w:color="auto" w:fill="FFFFFF"/>
          </w:tcPr>
          <w:p w14:paraId="627406DB"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tcBorders>
              <w:bottom w:val="single" w:sz="8" w:space="0" w:color="333333"/>
            </w:tcBorders>
            <w:shd w:val="clear" w:color="auto" w:fill="FFFFFF"/>
          </w:tcPr>
          <w:p w14:paraId="1837F174" w14:textId="77777777" w:rsidR="000709F1" w:rsidRPr="000F6719" w:rsidRDefault="000709F1"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NA</w:t>
            </w:r>
          </w:p>
        </w:tc>
      </w:tr>
    </w:tbl>
    <w:p w14:paraId="0C9352DE"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3"/>
        </w:rPr>
        <w:t>ᵃNA, not available. Race and ethnicity are not captured in MarketScan commercial claims. Pandemic wave was included as a covariate in the MarketScan base model (Figure 3, eTable 9) but is not tabulated here. Cell counts &lt;20 are suppressed.</w:t>
      </w:r>
    </w:p>
    <w:p w14:paraId="0ADEBBAF"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3"/>
        </w:rPr>
        <w:t xml:space="preserve">ᵇVaccination “No record” denotes no vaccination record identified before the index date using the concept set in </w:t>
      </w:r>
      <w:proofErr w:type="spellStart"/>
      <w:r w:rsidRPr="000F6719">
        <w:rPr>
          <w:rFonts w:ascii="Times New Roman" w:hAnsi="Times New Roman" w:cs="Times New Roman"/>
          <w:sz w:val="13"/>
        </w:rPr>
        <w:t>eTable</w:t>
      </w:r>
      <w:proofErr w:type="spellEnd"/>
      <w:r w:rsidRPr="000F6719">
        <w:rPr>
          <w:rFonts w:ascii="Times New Roman" w:hAnsi="Times New Roman" w:cs="Times New Roman"/>
          <w:sz w:val="13"/>
        </w:rPr>
        <w:t xml:space="preserve"> 3; it does not confirm the participant was unvaccinated.</w:t>
      </w:r>
    </w:p>
    <w:p w14:paraId="1DD2E26C"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3"/>
        </w:rPr>
        <w:t>ᶜMarketScan captures commercially insured individuals, so adults aged ≥65 years, who are predominantly covered by Medicare, are under-represented.</w:t>
      </w:r>
    </w:p>
    <w:p w14:paraId="3E450567" w14:textId="77777777" w:rsidR="000F6719" w:rsidRPr="000F6719" w:rsidRDefault="000F6719" w:rsidP="000F6719">
      <w:pPr>
        <w:spacing w:line="480" w:lineRule="auto"/>
        <w:rPr>
          <w:rFonts w:ascii="Times New Roman" w:hAnsi="Times New Roman" w:cs="Times New Roman"/>
          <w:b/>
          <w:sz w:val="18"/>
        </w:rPr>
      </w:pPr>
    </w:p>
    <w:p w14:paraId="78ED14C9" w14:textId="77777777" w:rsidR="000F6719" w:rsidRPr="000F6719" w:rsidRDefault="000F6719" w:rsidP="000F6719">
      <w:pPr>
        <w:spacing w:line="480" w:lineRule="auto"/>
        <w:rPr>
          <w:rFonts w:ascii="Times New Roman" w:hAnsi="Times New Roman" w:cs="Times New Roman"/>
        </w:rPr>
      </w:pPr>
      <w:proofErr w:type="gramStart"/>
      <w:proofErr w:type="gramEnd"/>
      <w:r>
        <w:rPr>
          <w:rFonts w:ascii="Times New Roman" w:hAnsi="Times New Roman"/>
          <w:b/>
          <w:sz w:val="18"/>
        </w:rPr>
        <w:t>Table 2.</w:t>
      </w:r>
      <w:r>
        <w:rPr>
          <w:rFonts w:ascii="Times New Roman" w:hAnsi="Times New Roman"/>
          <w:b w:val="0"/>
          <w:sz w:val="18"/>
        </w:rPr>
        <w:t xml:space="preserve"> Social determinants of health characteristics, matched All of Us cohort.</w:t>
      </w:r>
    </w:p>
    <w:p w14:paraId="3A435117"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sz w:val="15"/>
        </w:rPr>
        <w:t>Data are n (%). Percentages are column percentages of the matched cohort (3,997 cases; 15,523 controls).</w:t>
      </w:r>
    </w:p>
    <w:tbl>
      <w:tblPr>
        <w:tblW w:w="0" w:type="auto"/>
        <w:jc w:val="center"/>
        <w:tblLayout w:type="fixed"/>
        <w:tblLook w:val="04A0" w:firstRow="1" w:lastRow="0" w:firstColumn="1" w:lastColumn="0" w:noHBand="0" w:noVBand="1"/>
      </w:tblPr>
      <w:tblGrid>
        <w:gridCol w:w="4392"/>
        <w:gridCol w:w="2232"/>
        <w:gridCol w:w="2232"/>
      </w:tblGrid>
      <w:tr w:rsidR="000F6719" w:rsidRPr="000F6719" w14:paraId="6924F823" w14:textId="77777777" w:rsidTr="004762C3">
        <w:trPr>
          <w:jc w:val="center"/>
        </w:trPr>
        <w:tc>
          <w:tcPr>
            <w:tcW w:w="4392" w:type="dxa"/>
            <w:tcBorders>
              <w:top w:val="single" w:sz="8" w:space="0" w:color="333333"/>
              <w:bottom w:val="single" w:sz="8" w:space="0" w:color="333333"/>
            </w:tcBorders>
            <w:shd w:val="clear" w:color="auto" w:fill="FFFFFF"/>
          </w:tcPr>
          <w:p w14:paraId="438AB2C0" w14:textId="77777777" w:rsidR="000F6719" w:rsidRPr="000F6719" w:rsidRDefault="000F6719" w:rsidP="004762C3">
            <w:pPr>
              <w:spacing w:before="24" w:after="24"/>
              <w:rPr>
                <w:rFonts w:ascii="Times New Roman" w:hAnsi="Times New Roman" w:cs="Times New Roman"/>
              </w:rPr>
            </w:pPr>
            <w:r w:rsidRPr="000F6719">
              <w:rPr>
                <w:rFonts w:ascii="Times New Roman" w:hAnsi="Times New Roman" w:cs="Times New Roman"/>
                <w:b/>
                <w:color w:val="000000"/>
                <w:sz w:val="14"/>
              </w:rPr>
              <w:t>Variable</w:t>
            </w:r>
          </w:p>
        </w:tc>
        <w:tc>
          <w:tcPr>
            <w:tcW w:w="2232" w:type="dxa"/>
            <w:tcBorders>
              <w:top w:val="single" w:sz="8" w:space="0" w:color="333333"/>
              <w:bottom w:val="single" w:sz="8" w:space="0" w:color="333333"/>
            </w:tcBorders>
            <w:shd w:val="clear" w:color="auto" w:fill="FFFFFF"/>
          </w:tcPr>
          <w:p w14:paraId="3AF84FF5"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b/>
                <w:color w:val="000000"/>
                <w:sz w:val="14"/>
              </w:rPr>
              <w:t>Cases</w:t>
            </w:r>
          </w:p>
        </w:tc>
        <w:tc>
          <w:tcPr>
            <w:tcW w:w="2232" w:type="dxa"/>
            <w:tcBorders>
              <w:top w:val="single" w:sz="8" w:space="0" w:color="333333"/>
              <w:bottom w:val="single" w:sz="8" w:space="0" w:color="333333"/>
            </w:tcBorders>
            <w:shd w:val="clear" w:color="auto" w:fill="FFFFFF"/>
          </w:tcPr>
          <w:p w14:paraId="63204C88"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b/>
                <w:color w:val="000000"/>
                <w:sz w:val="14"/>
              </w:rPr>
              <w:t>Controls</w:t>
            </w:r>
          </w:p>
        </w:tc>
      </w:tr>
      <w:tr w:rsidR="000F6719" w:rsidRPr="000F6719" w14:paraId="1733B520" w14:textId="77777777" w:rsidTr="004762C3">
        <w:trPr>
          <w:jc w:val="center"/>
        </w:trPr>
        <w:tc>
          <w:tcPr>
            <w:tcW w:w="4392" w:type="dxa"/>
            <w:shd w:val="clear" w:color="auto" w:fill="FFFFFF"/>
          </w:tcPr>
          <w:p w14:paraId="4A5044C9" w14:textId="77777777" w:rsidR="000F6719" w:rsidRPr="000F6719" w:rsidRDefault="000F6719" w:rsidP="004762C3">
            <w:pPr>
              <w:spacing w:before="24" w:after="24"/>
              <w:rPr>
                <w:rFonts w:ascii="Times New Roman" w:hAnsi="Times New Roman" w:cs="Times New Roman"/>
              </w:rPr>
            </w:pPr>
            <w:r w:rsidRPr="000F6719">
              <w:rPr>
                <w:rFonts w:ascii="Times New Roman" w:hAnsi="Times New Roman" w:cs="Times New Roman"/>
                <w:b/>
                <w:color w:val="000000"/>
                <w:sz w:val="14"/>
              </w:rPr>
              <w:t>Income</w:t>
            </w:r>
          </w:p>
        </w:tc>
        <w:tc>
          <w:tcPr>
            <w:tcW w:w="2232" w:type="dxa"/>
            <w:shd w:val="clear" w:color="auto" w:fill="FFFFFF"/>
          </w:tcPr>
          <w:p w14:paraId="046BA658" w14:textId="77777777" w:rsidR="000F6719" w:rsidRPr="000F6719" w:rsidRDefault="000F6719" w:rsidP="004762C3">
            <w:pPr>
              <w:spacing w:before="24" w:after="24"/>
              <w:jc w:val="right"/>
              <w:rPr>
                <w:rFonts w:ascii="Times New Roman" w:hAnsi="Times New Roman" w:cs="Times New Roman"/>
              </w:rPr>
            </w:pPr>
          </w:p>
        </w:tc>
        <w:tc>
          <w:tcPr>
            <w:tcW w:w="2232" w:type="dxa"/>
            <w:shd w:val="clear" w:color="auto" w:fill="FFFFFF"/>
          </w:tcPr>
          <w:p w14:paraId="30D930D9" w14:textId="77777777" w:rsidR="000F6719" w:rsidRPr="000F6719" w:rsidRDefault="000F6719" w:rsidP="004762C3">
            <w:pPr>
              <w:spacing w:before="24" w:after="24"/>
              <w:jc w:val="right"/>
              <w:rPr>
                <w:rFonts w:ascii="Times New Roman" w:hAnsi="Times New Roman" w:cs="Times New Roman"/>
              </w:rPr>
            </w:pPr>
          </w:p>
        </w:tc>
      </w:tr>
      <w:tr w:rsidR="000F6719" w:rsidRPr="000F6719" w14:paraId="61085C5E" w14:textId="77777777" w:rsidTr="004762C3">
        <w:trPr>
          <w:jc w:val="center"/>
        </w:trPr>
        <w:tc>
          <w:tcPr>
            <w:tcW w:w="4392" w:type="dxa"/>
            <w:shd w:val="clear" w:color="auto" w:fill="FFFFFF"/>
          </w:tcPr>
          <w:p w14:paraId="35B83A42"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&lt;$10,000</w:t>
            </w:r>
          </w:p>
        </w:tc>
        <w:tc>
          <w:tcPr>
            <w:tcW w:w="2232" w:type="dxa"/>
            <w:shd w:val="clear" w:color="auto" w:fill="FFFFFF"/>
          </w:tcPr>
          <w:p w14:paraId="779FC134"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665 (16.6)</w:t>
            </w:r>
          </w:p>
        </w:tc>
        <w:tc>
          <w:tcPr>
            <w:tcW w:w="2232" w:type="dxa"/>
            <w:shd w:val="clear" w:color="auto" w:fill="FFFFFF"/>
          </w:tcPr>
          <w:p w14:paraId="46C3CFD1"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2,066 (13.3)</w:t>
            </w:r>
          </w:p>
        </w:tc>
      </w:tr>
      <w:tr w:rsidR="000F6719" w:rsidRPr="000F6719" w14:paraId="7CAF9CE7" w14:textId="77777777" w:rsidTr="004762C3">
        <w:trPr>
          <w:jc w:val="center"/>
        </w:trPr>
        <w:tc>
          <w:tcPr>
            <w:tcW w:w="4392" w:type="dxa"/>
            <w:shd w:val="clear" w:color="auto" w:fill="FFFFFF"/>
          </w:tcPr>
          <w:p w14:paraId="18CC5B04"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$10,000–24,999</w:t>
            </w:r>
          </w:p>
        </w:tc>
        <w:tc>
          <w:tcPr>
            <w:tcW w:w="2232" w:type="dxa"/>
            <w:shd w:val="clear" w:color="auto" w:fill="FFFFFF"/>
          </w:tcPr>
          <w:p w14:paraId="72CC6C43"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641 (16.0)</w:t>
            </w:r>
          </w:p>
        </w:tc>
        <w:tc>
          <w:tcPr>
            <w:tcW w:w="2232" w:type="dxa"/>
            <w:shd w:val="clear" w:color="auto" w:fill="FFFFFF"/>
          </w:tcPr>
          <w:p w14:paraId="27622EF1"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2,156 (13.9)</w:t>
            </w:r>
          </w:p>
        </w:tc>
      </w:tr>
      <w:tr w:rsidR="000F6719" w:rsidRPr="000F6719" w14:paraId="26CDE41B" w14:textId="77777777" w:rsidTr="004762C3">
        <w:trPr>
          <w:jc w:val="center"/>
        </w:trPr>
        <w:tc>
          <w:tcPr>
            <w:tcW w:w="4392" w:type="dxa"/>
            <w:shd w:val="clear" w:color="auto" w:fill="FFFFFF"/>
          </w:tcPr>
          <w:p w14:paraId="78234373"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$25,000–34,999</w:t>
            </w:r>
          </w:p>
        </w:tc>
        <w:tc>
          <w:tcPr>
            <w:tcW w:w="2232" w:type="dxa"/>
            <w:shd w:val="clear" w:color="auto" w:fill="FFFFFF"/>
          </w:tcPr>
          <w:p w14:paraId="7BDF8471"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314 (7.9)</w:t>
            </w:r>
          </w:p>
        </w:tc>
        <w:tc>
          <w:tcPr>
            <w:tcW w:w="2232" w:type="dxa"/>
            <w:shd w:val="clear" w:color="auto" w:fill="FFFFFF"/>
          </w:tcPr>
          <w:p w14:paraId="48E8D205"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1,363 (8.8)</w:t>
            </w:r>
          </w:p>
        </w:tc>
      </w:tr>
      <w:tr w:rsidR="000F6719" w:rsidRPr="000F6719" w14:paraId="55C8CF11" w14:textId="77777777" w:rsidTr="004762C3">
        <w:trPr>
          <w:jc w:val="center"/>
        </w:trPr>
        <w:tc>
          <w:tcPr>
            <w:tcW w:w="4392" w:type="dxa"/>
            <w:shd w:val="clear" w:color="auto" w:fill="FFFFFF"/>
          </w:tcPr>
          <w:p w14:paraId="43B4B4ED"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$35,000–99,999 (reference)</w:t>
            </w:r>
          </w:p>
        </w:tc>
        <w:tc>
          <w:tcPr>
            <w:tcW w:w="2232" w:type="dxa"/>
            <w:shd w:val="clear" w:color="auto" w:fill="FFFFFF"/>
          </w:tcPr>
          <w:p w14:paraId="068DCF21"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782 (19.6)</w:t>
            </w:r>
          </w:p>
        </w:tc>
        <w:tc>
          <w:tcPr>
            <w:tcW w:w="2232" w:type="dxa"/>
            <w:shd w:val="clear" w:color="auto" w:fill="FFFFFF"/>
          </w:tcPr>
          <w:p w14:paraId="094FCF1A"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4,253 (27.4)</w:t>
            </w:r>
          </w:p>
        </w:tc>
      </w:tr>
      <w:tr w:rsidR="000F6719" w:rsidRPr="000F6719" w14:paraId="1D3213DF" w14:textId="77777777" w:rsidTr="004762C3">
        <w:trPr>
          <w:jc w:val="center"/>
        </w:trPr>
        <w:tc>
          <w:tcPr>
            <w:tcW w:w="4392" w:type="dxa"/>
            <w:shd w:val="clear" w:color="auto" w:fill="FFFFFF"/>
          </w:tcPr>
          <w:p w14:paraId="13BCA8FA"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$100,000–149,999</w:t>
            </w:r>
          </w:p>
        </w:tc>
        <w:tc>
          <w:tcPr>
            <w:tcW w:w="2232" w:type="dxa"/>
            <w:shd w:val="clear" w:color="auto" w:fill="FFFFFF"/>
          </w:tcPr>
          <w:p w14:paraId="47AB4494"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274 (6.9)</w:t>
            </w:r>
          </w:p>
        </w:tc>
        <w:tc>
          <w:tcPr>
            <w:tcW w:w="2232" w:type="dxa"/>
            <w:shd w:val="clear" w:color="auto" w:fill="FFFFFF"/>
          </w:tcPr>
          <w:p w14:paraId="1072BFBB"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1,385 (8.9)</w:t>
            </w:r>
          </w:p>
        </w:tc>
      </w:tr>
      <w:tr w:rsidR="000F6719" w:rsidRPr="000F6719" w14:paraId="45ABD75B" w14:textId="77777777" w:rsidTr="004762C3">
        <w:trPr>
          <w:jc w:val="center"/>
        </w:trPr>
        <w:tc>
          <w:tcPr>
            <w:tcW w:w="4392" w:type="dxa"/>
            <w:shd w:val="clear" w:color="auto" w:fill="FFFFFF"/>
          </w:tcPr>
          <w:p w14:paraId="25310890"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$150,000–199,999</w:t>
            </w:r>
          </w:p>
        </w:tc>
        <w:tc>
          <w:tcPr>
            <w:tcW w:w="2232" w:type="dxa"/>
            <w:shd w:val="clear" w:color="auto" w:fill="FFFFFF"/>
          </w:tcPr>
          <w:p w14:paraId="652238C7"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122 (3.1)</w:t>
            </w:r>
          </w:p>
        </w:tc>
        <w:tc>
          <w:tcPr>
            <w:tcW w:w="2232" w:type="dxa"/>
            <w:shd w:val="clear" w:color="auto" w:fill="FFFFFF"/>
          </w:tcPr>
          <w:p w14:paraId="6CE91A88"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606 (3.9)</w:t>
            </w:r>
          </w:p>
        </w:tc>
      </w:tr>
      <w:tr w:rsidR="000F6719" w:rsidRPr="000F6719" w14:paraId="53F635B5" w14:textId="77777777" w:rsidTr="004762C3">
        <w:trPr>
          <w:jc w:val="center"/>
        </w:trPr>
        <w:tc>
          <w:tcPr>
            <w:tcW w:w="4392" w:type="dxa"/>
            <w:shd w:val="clear" w:color="auto" w:fill="FFFFFF"/>
          </w:tcPr>
          <w:p w14:paraId="6C7192F3"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≥$200,000</w:t>
            </w:r>
          </w:p>
        </w:tc>
        <w:tc>
          <w:tcPr>
            <w:tcW w:w="2232" w:type="dxa"/>
            <w:shd w:val="clear" w:color="auto" w:fill="FFFFFF"/>
          </w:tcPr>
          <w:p w14:paraId="5C1F6CC3"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138 (3.5)</w:t>
            </w:r>
          </w:p>
        </w:tc>
        <w:tc>
          <w:tcPr>
            <w:tcW w:w="2232" w:type="dxa"/>
            <w:shd w:val="clear" w:color="auto" w:fill="FFFFFF"/>
          </w:tcPr>
          <w:p w14:paraId="3C9C51AD"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737 (4.7)</w:t>
            </w:r>
          </w:p>
        </w:tc>
      </w:tr>
      <w:tr w:rsidR="000F6719" w:rsidRPr="000F6719" w14:paraId="3C170859" w14:textId="77777777" w:rsidTr="004762C3">
        <w:trPr>
          <w:jc w:val="center"/>
        </w:trPr>
        <w:tc>
          <w:tcPr>
            <w:tcW w:w="4392" w:type="dxa"/>
            <w:shd w:val="clear" w:color="auto" w:fill="FFFFFF"/>
          </w:tcPr>
          <w:p w14:paraId="2777551F"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28093D1C"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1,061 (26.5)</w:t>
            </w:r>
          </w:p>
        </w:tc>
        <w:tc>
          <w:tcPr>
            <w:tcW w:w="2232" w:type="dxa"/>
            <w:shd w:val="clear" w:color="auto" w:fill="FFFFFF"/>
          </w:tcPr>
          <w:p w14:paraId="057A3384"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2,957 (19.0)</w:t>
            </w:r>
          </w:p>
        </w:tc>
      </w:tr>
      <w:tr w:rsidR="000F6719" w:rsidRPr="000F6719" w14:paraId="517A02BA" w14:textId="77777777" w:rsidTr="004762C3">
        <w:trPr>
          <w:jc w:val="center"/>
        </w:trPr>
        <w:tc>
          <w:tcPr>
            <w:tcW w:w="4392" w:type="dxa"/>
            <w:shd w:val="clear" w:color="auto" w:fill="FFFFFF"/>
          </w:tcPr>
          <w:p w14:paraId="5AA81D6A" w14:textId="77777777" w:rsidR="000F6719" w:rsidRPr="000F6719" w:rsidRDefault="000F6719" w:rsidP="004762C3">
            <w:pPr>
              <w:spacing w:before="24" w:after="24"/>
              <w:rPr>
                <w:rFonts w:ascii="Times New Roman" w:hAnsi="Times New Roman" w:cs="Times New Roman"/>
              </w:rPr>
            </w:pPr>
            <w:r w:rsidRPr="000F6719">
              <w:rPr>
                <w:rFonts w:ascii="Times New Roman" w:hAnsi="Times New Roman" w:cs="Times New Roman"/>
                <w:b/>
                <w:color w:val="000000"/>
                <w:sz w:val="14"/>
              </w:rPr>
              <w:t>Employment</w:t>
            </w:r>
          </w:p>
        </w:tc>
        <w:tc>
          <w:tcPr>
            <w:tcW w:w="2232" w:type="dxa"/>
            <w:shd w:val="clear" w:color="auto" w:fill="FFFFFF"/>
          </w:tcPr>
          <w:p w14:paraId="7E7D589A" w14:textId="77777777" w:rsidR="000F6719" w:rsidRPr="000F6719" w:rsidRDefault="000F6719" w:rsidP="004762C3">
            <w:pPr>
              <w:spacing w:before="24" w:after="24"/>
              <w:jc w:val="right"/>
              <w:rPr>
                <w:rFonts w:ascii="Times New Roman" w:hAnsi="Times New Roman" w:cs="Times New Roman"/>
              </w:rPr>
            </w:pPr>
          </w:p>
        </w:tc>
        <w:tc>
          <w:tcPr>
            <w:tcW w:w="2232" w:type="dxa"/>
            <w:shd w:val="clear" w:color="auto" w:fill="FFFFFF"/>
          </w:tcPr>
          <w:p w14:paraId="29BCF7C5" w14:textId="77777777" w:rsidR="000F6719" w:rsidRPr="000F6719" w:rsidRDefault="000F6719" w:rsidP="004762C3">
            <w:pPr>
              <w:spacing w:before="24" w:after="24"/>
              <w:jc w:val="right"/>
              <w:rPr>
                <w:rFonts w:ascii="Times New Roman" w:hAnsi="Times New Roman" w:cs="Times New Roman"/>
              </w:rPr>
            </w:pPr>
          </w:p>
        </w:tc>
      </w:tr>
      <w:tr w:rsidR="000F6719" w:rsidRPr="000F6719" w14:paraId="5819DD00" w14:textId="77777777" w:rsidTr="004762C3">
        <w:trPr>
          <w:jc w:val="center"/>
        </w:trPr>
        <w:tc>
          <w:tcPr>
            <w:tcW w:w="4392" w:type="dxa"/>
            <w:shd w:val="clear" w:color="auto" w:fill="FFFFFF"/>
          </w:tcPr>
          <w:p w14:paraId="50C78252"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Employed (reference)</w:t>
            </w:r>
          </w:p>
        </w:tc>
        <w:tc>
          <w:tcPr>
            <w:tcW w:w="2232" w:type="dxa"/>
            <w:shd w:val="clear" w:color="auto" w:fill="FFFFFF"/>
          </w:tcPr>
          <w:p w14:paraId="10DF5B15"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1,065 (26.6)</w:t>
            </w:r>
          </w:p>
        </w:tc>
        <w:tc>
          <w:tcPr>
            <w:tcW w:w="2232" w:type="dxa"/>
            <w:shd w:val="clear" w:color="auto" w:fill="FFFFFF"/>
          </w:tcPr>
          <w:p w14:paraId="63B5FF8E"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6,027 (38.8)</w:t>
            </w:r>
          </w:p>
        </w:tc>
      </w:tr>
      <w:tr w:rsidR="000F6719" w:rsidRPr="000F6719" w14:paraId="659C5796" w14:textId="77777777" w:rsidTr="004762C3">
        <w:trPr>
          <w:jc w:val="center"/>
        </w:trPr>
        <w:tc>
          <w:tcPr>
            <w:tcW w:w="4392" w:type="dxa"/>
            <w:shd w:val="clear" w:color="auto" w:fill="FFFFFF"/>
          </w:tcPr>
          <w:p w14:paraId="734030D9"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Student</w:t>
            </w:r>
          </w:p>
        </w:tc>
        <w:tc>
          <w:tcPr>
            <w:tcW w:w="2232" w:type="dxa"/>
            <w:shd w:val="clear" w:color="auto" w:fill="FFFFFF"/>
          </w:tcPr>
          <w:p w14:paraId="009EEB99"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84 (2.1)</w:t>
            </w:r>
          </w:p>
        </w:tc>
        <w:tc>
          <w:tcPr>
            <w:tcW w:w="2232" w:type="dxa"/>
            <w:shd w:val="clear" w:color="auto" w:fill="FFFFFF"/>
          </w:tcPr>
          <w:p w14:paraId="6BC0FC4F"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331 (2.1)</w:t>
            </w:r>
          </w:p>
        </w:tc>
      </w:tr>
      <w:tr w:rsidR="000F6719" w:rsidRPr="000F6719" w14:paraId="0C3534CD" w14:textId="77777777" w:rsidTr="004762C3">
        <w:trPr>
          <w:jc w:val="center"/>
        </w:trPr>
        <w:tc>
          <w:tcPr>
            <w:tcW w:w="4392" w:type="dxa"/>
            <w:shd w:val="clear" w:color="auto" w:fill="FFFFFF"/>
          </w:tcPr>
          <w:p w14:paraId="39D908A8"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Unemployed</w:t>
            </w:r>
          </w:p>
        </w:tc>
        <w:tc>
          <w:tcPr>
            <w:tcW w:w="2232" w:type="dxa"/>
            <w:shd w:val="clear" w:color="auto" w:fill="FFFFFF"/>
          </w:tcPr>
          <w:p w14:paraId="562DF5D6"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1,314 (32.9)</w:t>
            </w:r>
          </w:p>
        </w:tc>
        <w:tc>
          <w:tcPr>
            <w:tcW w:w="2232" w:type="dxa"/>
            <w:shd w:val="clear" w:color="auto" w:fill="FFFFFF"/>
          </w:tcPr>
          <w:p w14:paraId="3C3D06A8"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3,994 (25.7)</w:t>
            </w:r>
          </w:p>
        </w:tc>
      </w:tr>
      <w:tr w:rsidR="000F6719" w:rsidRPr="000F6719" w14:paraId="6CC95A63" w14:textId="77777777" w:rsidTr="004762C3">
        <w:trPr>
          <w:jc w:val="center"/>
        </w:trPr>
        <w:tc>
          <w:tcPr>
            <w:tcW w:w="4392" w:type="dxa"/>
            <w:shd w:val="clear" w:color="auto" w:fill="FFFFFF"/>
          </w:tcPr>
          <w:p w14:paraId="703740CF"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Retired or other</w:t>
            </w:r>
          </w:p>
        </w:tc>
        <w:tc>
          <w:tcPr>
            <w:tcW w:w="2232" w:type="dxa"/>
            <w:shd w:val="clear" w:color="auto" w:fill="FFFFFF"/>
          </w:tcPr>
          <w:p w14:paraId="12BE4913"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1,416 (35.4)</w:t>
            </w:r>
          </w:p>
        </w:tc>
        <w:tc>
          <w:tcPr>
            <w:tcW w:w="2232" w:type="dxa"/>
            <w:shd w:val="clear" w:color="auto" w:fill="FFFFFF"/>
          </w:tcPr>
          <w:p w14:paraId="29062BC1"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4,786 (30.8)</w:t>
            </w:r>
          </w:p>
        </w:tc>
      </w:tr>
      <w:tr w:rsidR="000F6719" w:rsidRPr="000F6719" w14:paraId="388DB0C4" w14:textId="77777777" w:rsidTr="004762C3">
        <w:trPr>
          <w:jc w:val="center"/>
        </w:trPr>
        <w:tc>
          <w:tcPr>
            <w:tcW w:w="4392" w:type="dxa"/>
            <w:shd w:val="clear" w:color="auto" w:fill="FFFFFF"/>
          </w:tcPr>
          <w:p w14:paraId="039D688D"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48C0A1F1"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118 (3.0)</w:t>
            </w:r>
          </w:p>
        </w:tc>
        <w:tc>
          <w:tcPr>
            <w:tcW w:w="2232" w:type="dxa"/>
            <w:shd w:val="clear" w:color="auto" w:fill="FFFFFF"/>
          </w:tcPr>
          <w:p w14:paraId="211187A6"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385 (2.5)</w:t>
            </w:r>
          </w:p>
        </w:tc>
      </w:tr>
      <w:tr w:rsidR="000F6719" w:rsidRPr="000F6719" w14:paraId="7A9F5089" w14:textId="77777777" w:rsidTr="004762C3">
        <w:trPr>
          <w:jc w:val="center"/>
        </w:trPr>
        <w:tc>
          <w:tcPr>
            <w:tcW w:w="4392" w:type="dxa"/>
            <w:shd w:val="clear" w:color="auto" w:fill="FFFFFF"/>
          </w:tcPr>
          <w:p w14:paraId="2EC3114B" w14:textId="77777777" w:rsidR="000F6719" w:rsidRPr="000F6719" w:rsidRDefault="000F6719" w:rsidP="004762C3">
            <w:pPr>
              <w:spacing w:before="24" w:after="24"/>
              <w:rPr>
                <w:rFonts w:ascii="Times New Roman" w:hAnsi="Times New Roman" w:cs="Times New Roman"/>
              </w:rPr>
            </w:pPr>
            <w:r w:rsidRPr="000F6719">
              <w:rPr>
                <w:rFonts w:ascii="Times New Roman" w:hAnsi="Times New Roman" w:cs="Times New Roman"/>
                <w:b/>
                <w:color w:val="000000"/>
                <w:sz w:val="14"/>
              </w:rPr>
              <w:t>Education</w:t>
            </w:r>
          </w:p>
        </w:tc>
        <w:tc>
          <w:tcPr>
            <w:tcW w:w="2232" w:type="dxa"/>
            <w:shd w:val="clear" w:color="auto" w:fill="FFFFFF"/>
          </w:tcPr>
          <w:p w14:paraId="0C7B25AB" w14:textId="77777777" w:rsidR="000F6719" w:rsidRPr="000F6719" w:rsidRDefault="000F6719" w:rsidP="004762C3">
            <w:pPr>
              <w:spacing w:before="24" w:after="24"/>
              <w:jc w:val="right"/>
              <w:rPr>
                <w:rFonts w:ascii="Times New Roman" w:hAnsi="Times New Roman" w:cs="Times New Roman"/>
              </w:rPr>
            </w:pPr>
          </w:p>
        </w:tc>
        <w:tc>
          <w:tcPr>
            <w:tcW w:w="2232" w:type="dxa"/>
            <w:shd w:val="clear" w:color="auto" w:fill="FFFFFF"/>
          </w:tcPr>
          <w:p w14:paraId="6B60C62B" w14:textId="77777777" w:rsidR="000F6719" w:rsidRPr="000F6719" w:rsidRDefault="000F6719" w:rsidP="004762C3">
            <w:pPr>
              <w:spacing w:before="24" w:after="24"/>
              <w:jc w:val="right"/>
              <w:rPr>
                <w:rFonts w:ascii="Times New Roman" w:hAnsi="Times New Roman" w:cs="Times New Roman"/>
              </w:rPr>
            </w:pPr>
          </w:p>
        </w:tc>
      </w:tr>
      <w:tr w:rsidR="000F6719" w:rsidRPr="000F6719" w14:paraId="314689C7" w14:textId="77777777" w:rsidTr="004762C3">
        <w:trPr>
          <w:jc w:val="center"/>
        </w:trPr>
        <w:tc>
          <w:tcPr>
            <w:tcW w:w="4392" w:type="dxa"/>
            <w:shd w:val="clear" w:color="auto" w:fill="FFFFFF"/>
          </w:tcPr>
          <w:p w14:paraId="4CE18DC8"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Below high school or GED</w:t>
            </w:r>
          </w:p>
        </w:tc>
        <w:tc>
          <w:tcPr>
            <w:tcW w:w="2232" w:type="dxa"/>
            <w:shd w:val="clear" w:color="auto" w:fill="FFFFFF"/>
          </w:tcPr>
          <w:p w14:paraId="04090ECC"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565 (14.1)</w:t>
            </w:r>
          </w:p>
        </w:tc>
        <w:tc>
          <w:tcPr>
            <w:tcW w:w="2232" w:type="dxa"/>
            <w:shd w:val="clear" w:color="auto" w:fill="FFFFFF"/>
          </w:tcPr>
          <w:p w14:paraId="6A89531E"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1,594 (10.3)</w:t>
            </w:r>
          </w:p>
        </w:tc>
      </w:tr>
      <w:tr w:rsidR="000F6719" w:rsidRPr="000F6719" w14:paraId="3E9B3E51" w14:textId="77777777" w:rsidTr="004762C3">
        <w:trPr>
          <w:jc w:val="center"/>
        </w:trPr>
        <w:tc>
          <w:tcPr>
            <w:tcW w:w="4392" w:type="dxa"/>
            <w:shd w:val="clear" w:color="auto" w:fill="FFFFFF"/>
          </w:tcPr>
          <w:p w14:paraId="7A207600"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High school, GED, or some college</w:t>
            </w:r>
          </w:p>
        </w:tc>
        <w:tc>
          <w:tcPr>
            <w:tcW w:w="2232" w:type="dxa"/>
            <w:shd w:val="clear" w:color="auto" w:fill="FFFFFF"/>
          </w:tcPr>
          <w:p w14:paraId="4A5BCE9E"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2,099 (52.5)</w:t>
            </w:r>
          </w:p>
        </w:tc>
        <w:tc>
          <w:tcPr>
            <w:tcW w:w="2232" w:type="dxa"/>
            <w:shd w:val="clear" w:color="auto" w:fill="FFFFFF"/>
          </w:tcPr>
          <w:p w14:paraId="3F125D8A"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7,801 (50.3)</w:t>
            </w:r>
          </w:p>
        </w:tc>
      </w:tr>
      <w:tr w:rsidR="000F6719" w:rsidRPr="000F6719" w14:paraId="3BE41E1B" w14:textId="77777777" w:rsidTr="004762C3">
        <w:trPr>
          <w:jc w:val="center"/>
        </w:trPr>
        <w:tc>
          <w:tcPr>
            <w:tcW w:w="4392" w:type="dxa"/>
            <w:shd w:val="clear" w:color="auto" w:fill="FFFFFF"/>
          </w:tcPr>
          <w:p w14:paraId="64B27254"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College graduate or higher (reference)</w:t>
            </w:r>
          </w:p>
        </w:tc>
        <w:tc>
          <w:tcPr>
            <w:tcW w:w="2232" w:type="dxa"/>
            <w:shd w:val="clear" w:color="auto" w:fill="FFFFFF"/>
          </w:tcPr>
          <w:p w14:paraId="2CD8F69B"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1,223 (30.6)</w:t>
            </w:r>
          </w:p>
        </w:tc>
        <w:tc>
          <w:tcPr>
            <w:tcW w:w="2232" w:type="dxa"/>
            <w:shd w:val="clear" w:color="auto" w:fill="FFFFFF"/>
          </w:tcPr>
          <w:p w14:paraId="1A7955FA"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5,860 (37.8)</w:t>
            </w:r>
          </w:p>
        </w:tc>
      </w:tr>
      <w:tr w:rsidR="000F6719" w:rsidRPr="000F6719" w14:paraId="7540455C" w14:textId="77777777" w:rsidTr="004762C3">
        <w:trPr>
          <w:jc w:val="center"/>
        </w:trPr>
        <w:tc>
          <w:tcPr>
            <w:tcW w:w="4392" w:type="dxa"/>
            <w:shd w:val="clear" w:color="auto" w:fill="FFFFFF"/>
          </w:tcPr>
          <w:p w14:paraId="3963B3D2"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40F65A1A"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110 (2.8)</w:t>
            </w:r>
          </w:p>
        </w:tc>
        <w:tc>
          <w:tcPr>
            <w:tcW w:w="2232" w:type="dxa"/>
            <w:shd w:val="clear" w:color="auto" w:fill="FFFFFF"/>
          </w:tcPr>
          <w:p w14:paraId="45EB76FB"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268 (1.7)</w:t>
            </w:r>
          </w:p>
        </w:tc>
      </w:tr>
      <w:tr w:rsidR="000F6719" w:rsidRPr="000F6719" w14:paraId="74C5B85D" w14:textId="77777777" w:rsidTr="004762C3">
        <w:trPr>
          <w:jc w:val="center"/>
        </w:trPr>
        <w:tc>
          <w:tcPr>
            <w:tcW w:w="4392" w:type="dxa"/>
            <w:shd w:val="clear" w:color="auto" w:fill="FFFFFF"/>
          </w:tcPr>
          <w:p w14:paraId="3DB1D3E2"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b/>
                <w:color w:val="000000"/>
                <w:sz w:val="14"/>
              </w:rPr>
              <w:t>Housing tenure</w:t>
            </w:r>
          </w:p>
        </w:tc>
        <w:tc>
          <w:tcPr>
            <w:tcW w:w="2232" w:type="dxa"/>
            <w:shd w:val="clear" w:color="auto" w:fill="FFFFFF"/>
          </w:tcPr>
          <w:p w14:paraId="6A1A4982" w14:textId="77777777" w:rsidR="000F6719" w:rsidRPr="000F6719" w:rsidRDefault="000F6719" w:rsidP="004762C3">
            <w:pPr>
              <w:spacing w:before="24" w:after="24"/>
              <w:jc w:val="right"/>
              <w:rPr>
                <w:rFonts w:ascii="Times New Roman" w:hAnsi="Times New Roman" w:cs="Times New Roman"/>
              </w:rPr>
            </w:pPr>
          </w:p>
        </w:tc>
        <w:tc>
          <w:tcPr>
            <w:tcW w:w="2232" w:type="dxa"/>
            <w:shd w:val="clear" w:color="auto" w:fill="FFFFFF"/>
          </w:tcPr>
          <w:p w14:paraId="0D82FA37" w14:textId="77777777" w:rsidR="000F6719" w:rsidRPr="000F6719" w:rsidRDefault="000F6719" w:rsidP="004762C3">
            <w:pPr>
              <w:spacing w:before="24" w:after="24"/>
              <w:jc w:val="right"/>
              <w:rPr>
                <w:rFonts w:ascii="Times New Roman" w:hAnsi="Times New Roman" w:cs="Times New Roman"/>
              </w:rPr>
            </w:pPr>
          </w:p>
        </w:tc>
      </w:tr>
      <w:tr w:rsidR="000F6719" w:rsidRPr="000F6719" w14:paraId="5390719B" w14:textId="77777777" w:rsidTr="004762C3">
        <w:trPr>
          <w:jc w:val="center"/>
        </w:trPr>
        <w:tc>
          <w:tcPr>
            <w:tcW w:w="4392" w:type="dxa"/>
            <w:shd w:val="clear" w:color="auto" w:fill="FFFFFF"/>
          </w:tcPr>
          <w:p w14:paraId="603EC450" w14:textId="77777777" w:rsidR="000F6719" w:rsidRPr="000F6719" w:rsidRDefault="000F6719" w:rsidP="004762C3">
            <w:pPr>
              <w:spacing w:before="24" w:after="24"/>
              <w:rPr>
                <w:rFonts w:ascii="Times New Roman" w:hAnsi="Times New Roman" w:cs="Times New Roman"/>
              </w:rPr>
            </w:pPr>
            <w:r w:rsidRPr="000F6719">
              <w:rPr>
                <w:rFonts w:ascii="Times New Roman" w:hAnsi="Times New Roman" w:cs="Times New Roman"/>
                <w:color w:val="000000"/>
                <w:sz w:val="14"/>
              </w:rPr>
              <w:t>Own home (reference)</w:t>
            </w:r>
          </w:p>
        </w:tc>
        <w:tc>
          <w:tcPr>
            <w:tcW w:w="2232" w:type="dxa"/>
            <w:shd w:val="clear" w:color="auto" w:fill="FFFFFF"/>
          </w:tcPr>
          <w:p w14:paraId="62FE2CEB" w14:textId="77777777" w:rsidR="000F6719" w:rsidRPr="000F6719" w:rsidRDefault="000F6719" w:rsidP="004762C3">
            <w:pPr>
              <w:spacing w:before="24" w:after="24"/>
              <w:jc w:val="right"/>
              <w:rPr>
                <w:rFonts w:ascii="Times New Roman" w:hAnsi="Times New Roman" w:cs="Times New Roman"/>
              </w:rPr>
            </w:pPr>
            <w:r>
              <w:rPr>
                <w:rFonts w:ascii="Times New Roman" w:hAnsi="Times New Roman"/>
                <w:sz w:val="14"/>
              </w:rPr>
              <w:t>1,503 (37.6)</w:t>
            </w:r>
          </w:p>
        </w:tc>
        <w:tc>
          <w:tcPr>
            <w:tcW w:w="2232" w:type="dxa"/>
            <w:shd w:val="clear" w:color="auto" w:fill="FFFFFF"/>
          </w:tcPr>
          <w:p w14:paraId="4C0E16E0" w14:textId="77777777" w:rsidR="000F6719" w:rsidRPr="000F6719" w:rsidRDefault="000F6719" w:rsidP="004762C3">
            <w:pPr>
              <w:spacing w:before="24" w:after="24"/>
              <w:jc w:val="right"/>
              <w:rPr>
                <w:rFonts w:ascii="Times New Roman" w:hAnsi="Times New Roman" w:cs="Times New Roman"/>
              </w:rPr>
            </w:pPr>
            <w:r>
              <w:rPr>
                <w:rFonts w:ascii="Times New Roman" w:hAnsi="Times New Roman"/>
                <w:sz w:val="14"/>
              </w:rPr>
              <w:t>6,949 (44.8)</w:t>
            </w:r>
          </w:p>
        </w:tc>
      </w:tr>
      <w:tr w:rsidR="000F6719" w:rsidRPr="000F6719" w14:paraId="444D8EEE" w14:textId="77777777" w:rsidTr="004762C3">
        <w:trPr>
          <w:jc w:val="center"/>
        </w:trPr>
        <w:tc>
          <w:tcPr>
            <w:tcW w:w="4392" w:type="dxa"/>
            <w:shd w:val="clear" w:color="auto" w:fill="FFFFFF"/>
          </w:tcPr>
          <w:p w14:paraId="6763262A"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Rent</w:t>
            </w:r>
          </w:p>
        </w:tc>
        <w:tc>
          <w:tcPr>
            <w:tcW w:w="2232" w:type="dxa"/>
            <w:shd w:val="clear" w:color="auto" w:fill="FFFFFF"/>
          </w:tcPr>
          <w:p w14:paraId="61BC17CF"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1,987 (49.7)</w:t>
            </w:r>
          </w:p>
        </w:tc>
        <w:tc>
          <w:tcPr>
            <w:tcW w:w="2232" w:type="dxa"/>
            <w:shd w:val="clear" w:color="auto" w:fill="FFFFFF"/>
          </w:tcPr>
          <w:p w14:paraId="07EA5863"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6,633 (42.7)</w:t>
            </w:r>
          </w:p>
        </w:tc>
      </w:tr>
      <w:tr w:rsidR="000F6719" w:rsidRPr="000F6719" w14:paraId="3A69C13E" w14:textId="77777777" w:rsidTr="004762C3">
        <w:trPr>
          <w:jc w:val="center"/>
        </w:trPr>
        <w:tc>
          <w:tcPr>
            <w:tcW w:w="4392" w:type="dxa"/>
            <w:shd w:val="clear" w:color="auto" w:fill="FFFFFF"/>
          </w:tcPr>
          <w:p w14:paraId="6E710671"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Other</w:t>
            </w:r>
          </w:p>
        </w:tc>
        <w:tc>
          <w:tcPr>
            <w:tcW w:w="2232" w:type="dxa"/>
            <w:shd w:val="clear" w:color="auto" w:fill="FFFFFF"/>
          </w:tcPr>
          <w:p w14:paraId="01110FEC"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338 (8.5)</w:t>
            </w:r>
          </w:p>
        </w:tc>
        <w:tc>
          <w:tcPr>
            <w:tcW w:w="2232" w:type="dxa"/>
            <w:shd w:val="clear" w:color="auto" w:fill="FFFFFF"/>
          </w:tcPr>
          <w:p w14:paraId="069C6F62"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1,406 (9.1)</w:t>
            </w:r>
          </w:p>
        </w:tc>
      </w:tr>
      <w:tr w:rsidR="000F6719" w:rsidRPr="000F6719" w14:paraId="5266A713" w14:textId="77777777" w:rsidTr="004762C3">
        <w:trPr>
          <w:jc w:val="center"/>
        </w:trPr>
        <w:tc>
          <w:tcPr>
            <w:tcW w:w="4392" w:type="dxa"/>
            <w:shd w:val="clear" w:color="auto" w:fill="FFFFFF"/>
          </w:tcPr>
          <w:p w14:paraId="0627472C"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2BE22479"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169 (4.2)</w:t>
            </w:r>
          </w:p>
        </w:tc>
        <w:tc>
          <w:tcPr>
            <w:tcW w:w="2232" w:type="dxa"/>
            <w:shd w:val="clear" w:color="auto" w:fill="FFFFFF"/>
          </w:tcPr>
          <w:p w14:paraId="1D9E065C"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535 (3.4)</w:t>
            </w:r>
          </w:p>
        </w:tc>
      </w:tr>
      <w:tr w:rsidR="000F6719" w:rsidRPr="000F6719" w14:paraId="429D76A7" w14:textId="77777777" w:rsidTr="004762C3">
        <w:trPr>
          <w:jc w:val="center"/>
        </w:trPr>
        <w:tc>
          <w:tcPr>
            <w:tcW w:w="4392" w:type="dxa"/>
            <w:shd w:val="clear" w:color="auto" w:fill="FFFFFF"/>
          </w:tcPr>
          <w:p w14:paraId="472471D2"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b/>
                <w:color w:val="000000"/>
                <w:sz w:val="14"/>
              </w:rPr>
              <w:t>Housing stability</w:t>
            </w:r>
          </w:p>
        </w:tc>
        <w:tc>
          <w:tcPr>
            <w:tcW w:w="2232" w:type="dxa"/>
            <w:shd w:val="clear" w:color="auto" w:fill="FFFFFF"/>
          </w:tcPr>
          <w:p w14:paraId="5C2F7109" w14:textId="77777777" w:rsidR="000F6719" w:rsidRPr="000F6719" w:rsidRDefault="000F6719" w:rsidP="004762C3">
            <w:pPr>
              <w:spacing w:before="24" w:after="24"/>
              <w:jc w:val="right"/>
              <w:rPr>
                <w:rFonts w:ascii="Times New Roman" w:hAnsi="Times New Roman" w:cs="Times New Roman"/>
              </w:rPr>
            </w:pPr>
          </w:p>
        </w:tc>
        <w:tc>
          <w:tcPr>
            <w:tcW w:w="2232" w:type="dxa"/>
            <w:shd w:val="clear" w:color="auto" w:fill="FFFFFF"/>
          </w:tcPr>
          <w:p w14:paraId="231047C1" w14:textId="77777777" w:rsidR="000F6719" w:rsidRPr="000F6719" w:rsidRDefault="000F6719" w:rsidP="004762C3">
            <w:pPr>
              <w:spacing w:before="24" w:after="24"/>
              <w:jc w:val="right"/>
              <w:rPr>
                <w:rFonts w:ascii="Times New Roman" w:hAnsi="Times New Roman" w:cs="Times New Roman"/>
              </w:rPr>
            </w:pPr>
          </w:p>
        </w:tc>
      </w:tr>
      <w:tr w:rsidR="000F6719" w:rsidRPr="000F6719" w14:paraId="4A428762" w14:textId="77777777" w:rsidTr="004762C3">
        <w:trPr>
          <w:jc w:val="center"/>
        </w:trPr>
        <w:tc>
          <w:tcPr>
            <w:tcW w:w="4392" w:type="dxa"/>
            <w:shd w:val="clear" w:color="auto" w:fill="FFFFFF"/>
          </w:tcPr>
          <w:p w14:paraId="2DDDBFB5" w14:textId="77777777" w:rsidR="000F6719" w:rsidRPr="000F6719" w:rsidRDefault="000F6719" w:rsidP="004762C3">
            <w:pPr>
              <w:spacing w:before="24" w:after="24"/>
              <w:rPr>
                <w:rFonts w:ascii="Times New Roman" w:hAnsi="Times New Roman" w:cs="Times New Roman"/>
              </w:rPr>
            </w:pPr>
            <w:r w:rsidRPr="000F6719">
              <w:rPr>
                <w:rFonts w:ascii="Times New Roman" w:hAnsi="Times New Roman" w:cs="Times New Roman"/>
                <w:color w:val="000000"/>
                <w:sz w:val="14"/>
              </w:rPr>
              <w:t>Stable (reference)</w:t>
            </w:r>
          </w:p>
        </w:tc>
        <w:tc>
          <w:tcPr>
            <w:tcW w:w="2232" w:type="dxa"/>
            <w:shd w:val="clear" w:color="auto" w:fill="FFFFFF"/>
          </w:tcPr>
          <w:p w14:paraId="2F1050D5" w14:textId="77777777" w:rsidR="000F6719" w:rsidRPr="000F6719" w:rsidRDefault="000F6719" w:rsidP="004762C3">
            <w:pPr>
              <w:spacing w:before="24" w:after="24"/>
              <w:jc w:val="right"/>
              <w:rPr>
                <w:rFonts w:ascii="Times New Roman" w:hAnsi="Times New Roman" w:cs="Times New Roman"/>
              </w:rPr>
            </w:pPr>
            <w:r>
              <w:rPr>
                <w:rFonts w:ascii="Times New Roman" w:hAnsi="Times New Roman"/>
                <w:sz w:val="14"/>
              </w:rPr>
              <w:t>3,229 (80.8)</w:t>
            </w:r>
          </w:p>
        </w:tc>
        <w:tc>
          <w:tcPr>
            <w:tcW w:w="2232" w:type="dxa"/>
            <w:shd w:val="clear" w:color="auto" w:fill="FFFFFF"/>
          </w:tcPr>
          <w:p w14:paraId="1FF9B932" w14:textId="77777777" w:rsidR="000F6719" w:rsidRPr="000F6719" w:rsidRDefault="000F6719" w:rsidP="004762C3">
            <w:pPr>
              <w:spacing w:before="24" w:after="24"/>
              <w:jc w:val="right"/>
              <w:rPr>
                <w:rFonts w:ascii="Times New Roman" w:hAnsi="Times New Roman" w:cs="Times New Roman"/>
              </w:rPr>
            </w:pPr>
            <w:r>
              <w:rPr>
                <w:rFonts w:ascii="Times New Roman" w:hAnsi="Times New Roman"/>
                <w:sz w:val="14"/>
              </w:rPr>
              <w:t>12,673 (81.6)</w:t>
            </w:r>
          </w:p>
        </w:tc>
      </w:tr>
      <w:tr w:rsidR="000F6719" w:rsidRPr="000F6719" w14:paraId="4EE5BAD7" w14:textId="77777777" w:rsidTr="004762C3">
        <w:trPr>
          <w:jc w:val="center"/>
        </w:trPr>
        <w:tc>
          <w:tcPr>
            <w:tcW w:w="4392" w:type="dxa"/>
            <w:shd w:val="clear" w:color="auto" w:fill="FFFFFF"/>
          </w:tcPr>
          <w:p w14:paraId="75509ABB"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Unstable</w:t>
            </w:r>
          </w:p>
        </w:tc>
        <w:tc>
          <w:tcPr>
            <w:tcW w:w="2232" w:type="dxa"/>
            <w:shd w:val="clear" w:color="auto" w:fill="FFFFFF"/>
          </w:tcPr>
          <w:p w14:paraId="304CF9DC"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695 (17.4)</w:t>
            </w:r>
          </w:p>
        </w:tc>
        <w:tc>
          <w:tcPr>
            <w:tcW w:w="2232" w:type="dxa"/>
            <w:shd w:val="clear" w:color="auto" w:fill="FFFFFF"/>
          </w:tcPr>
          <w:p w14:paraId="141A456A"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2,653 (17.1)</w:t>
            </w:r>
          </w:p>
        </w:tc>
      </w:tr>
      <w:tr w:rsidR="000F6719" w:rsidRPr="000F6719" w14:paraId="49FFF74A" w14:textId="77777777" w:rsidTr="004762C3">
        <w:trPr>
          <w:jc w:val="center"/>
        </w:trPr>
        <w:tc>
          <w:tcPr>
            <w:tcW w:w="4392" w:type="dxa"/>
            <w:shd w:val="clear" w:color="auto" w:fill="FFFFFF"/>
          </w:tcPr>
          <w:p w14:paraId="5E3DA0F2"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7D5451C1"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73 (1.8)</w:t>
            </w:r>
          </w:p>
        </w:tc>
        <w:tc>
          <w:tcPr>
            <w:tcW w:w="2232" w:type="dxa"/>
            <w:shd w:val="clear" w:color="auto" w:fill="FFFFFF"/>
          </w:tcPr>
          <w:p w14:paraId="26D16442"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197 (1.3)</w:t>
            </w:r>
          </w:p>
        </w:tc>
      </w:tr>
      <w:tr w:rsidR="000F6719" w:rsidRPr="000F6719" w14:paraId="21C70093" w14:textId="77777777" w:rsidTr="004762C3">
        <w:trPr>
          <w:jc w:val="center"/>
        </w:trPr>
        <w:tc>
          <w:tcPr>
            <w:tcW w:w="4392" w:type="dxa"/>
            <w:shd w:val="clear" w:color="auto" w:fill="FFFFFF"/>
          </w:tcPr>
          <w:p w14:paraId="7BBEBE60"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b/>
                <w:color w:val="000000"/>
                <w:sz w:val="14"/>
              </w:rPr>
              <w:t>Disability (any)</w:t>
            </w:r>
          </w:p>
        </w:tc>
        <w:tc>
          <w:tcPr>
            <w:tcW w:w="2232" w:type="dxa"/>
            <w:shd w:val="clear" w:color="auto" w:fill="FFFFFF"/>
          </w:tcPr>
          <w:p w14:paraId="5F9A69AD" w14:textId="77777777" w:rsidR="000F6719" w:rsidRPr="000F6719" w:rsidRDefault="000F6719" w:rsidP="004762C3">
            <w:pPr>
              <w:spacing w:before="24" w:after="24"/>
              <w:jc w:val="right"/>
              <w:rPr>
                <w:rFonts w:ascii="Times New Roman" w:hAnsi="Times New Roman" w:cs="Times New Roman"/>
              </w:rPr>
            </w:pPr>
          </w:p>
        </w:tc>
        <w:tc>
          <w:tcPr>
            <w:tcW w:w="2232" w:type="dxa"/>
            <w:shd w:val="clear" w:color="auto" w:fill="FFFFFF"/>
          </w:tcPr>
          <w:p w14:paraId="41D4F4FA" w14:textId="77777777" w:rsidR="000F6719" w:rsidRPr="000F6719" w:rsidRDefault="000F6719" w:rsidP="004762C3">
            <w:pPr>
              <w:spacing w:before="24" w:after="24"/>
              <w:jc w:val="right"/>
              <w:rPr>
                <w:rFonts w:ascii="Times New Roman" w:hAnsi="Times New Roman" w:cs="Times New Roman"/>
              </w:rPr>
            </w:pPr>
          </w:p>
        </w:tc>
      </w:tr>
      <w:tr w:rsidR="000F6719" w:rsidRPr="000F6719" w14:paraId="1FB7CF58" w14:textId="77777777" w:rsidTr="004762C3">
        <w:trPr>
          <w:jc w:val="center"/>
        </w:trPr>
        <w:tc>
          <w:tcPr>
            <w:tcW w:w="4392" w:type="dxa"/>
            <w:shd w:val="clear" w:color="auto" w:fill="FFFFFF"/>
          </w:tcPr>
          <w:p w14:paraId="6A6DD480" w14:textId="77777777" w:rsidR="000F6719" w:rsidRPr="000F6719" w:rsidRDefault="000F6719" w:rsidP="004762C3">
            <w:pPr>
              <w:spacing w:before="24" w:after="24"/>
              <w:rPr>
                <w:rFonts w:ascii="Times New Roman" w:hAnsi="Times New Roman" w:cs="Times New Roman"/>
              </w:rPr>
            </w:pPr>
            <w:r w:rsidRPr="000F6719">
              <w:rPr>
                <w:rFonts w:ascii="Times New Roman" w:hAnsi="Times New Roman" w:cs="Times New Roman"/>
                <w:color w:val="000000"/>
                <w:sz w:val="14"/>
              </w:rPr>
              <w:t>Yes</w:t>
            </w:r>
          </w:p>
        </w:tc>
        <w:tc>
          <w:tcPr>
            <w:tcW w:w="2232" w:type="dxa"/>
            <w:shd w:val="clear" w:color="auto" w:fill="FFFFFF"/>
          </w:tcPr>
          <w:p w14:paraId="127E2F2F" w14:textId="77777777" w:rsidR="000F6719" w:rsidRPr="000F6719" w:rsidRDefault="000F6719" w:rsidP="004762C3">
            <w:pPr>
              <w:spacing w:before="24" w:after="24"/>
              <w:jc w:val="right"/>
              <w:rPr>
                <w:rFonts w:ascii="Times New Roman" w:hAnsi="Times New Roman" w:cs="Times New Roman"/>
              </w:rPr>
            </w:pPr>
            <w:r>
              <w:rPr>
                <w:rFonts w:ascii="Times New Roman" w:hAnsi="Times New Roman"/>
                <w:sz w:val="14"/>
              </w:rPr>
              <w:t>546 (13.7)</w:t>
            </w:r>
          </w:p>
        </w:tc>
        <w:tc>
          <w:tcPr>
            <w:tcW w:w="2232" w:type="dxa"/>
            <w:shd w:val="clear" w:color="auto" w:fill="FFFFFF"/>
          </w:tcPr>
          <w:p w14:paraId="0DE4DB25" w14:textId="77777777" w:rsidR="000F6719" w:rsidRPr="000F6719" w:rsidRDefault="000F6719" w:rsidP="004762C3">
            <w:pPr>
              <w:spacing w:before="24" w:after="24"/>
              <w:jc w:val="right"/>
              <w:rPr>
                <w:rFonts w:ascii="Times New Roman" w:hAnsi="Times New Roman" w:cs="Times New Roman"/>
              </w:rPr>
            </w:pPr>
            <w:r>
              <w:rPr>
                <w:rFonts w:ascii="Times New Roman" w:hAnsi="Times New Roman"/>
                <w:sz w:val="14"/>
              </w:rPr>
              <w:t>1,969 (12.7)</w:t>
            </w:r>
          </w:p>
        </w:tc>
      </w:tr>
      <w:tr w:rsidR="000F6719" w:rsidRPr="000F6719" w14:paraId="320CF491" w14:textId="77777777" w:rsidTr="004762C3">
        <w:trPr>
          <w:jc w:val="center"/>
        </w:trPr>
        <w:tc>
          <w:tcPr>
            <w:tcW w:w="4392" w:type="dxa"/>
            <w:shd w:val="clear" w:color="auto" w:fill="FFFFFF"/>
          </w:tcPr>
          <w:p w14:paraId="699A1F95"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No (reference)</w:t>
            </w:r>
          </w:p>
        </w:tc>
        <w:tc>
          <w:tcPr>
            <w:tcW w:w="2232" w:type="dxa"/>
            <w:shd w:val="clear" w:color="auto" w:fill="FFFFFF"/>
          </w:tcPr>
          <w:p w14:paraId="58BA954F"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788 (19.7)</w:t>
            </w:r>
          </w:p>
        </w:tc>
        <w:tc>
          <w:tcPr>
            <w:tcW w:w="2232" w:type="dxa"/>
            <w:shd w:val="clear" w:color="auto" w:fill="FFFFFF"/>
          </w:tcPr>
          <w:p w14:paraId="08FECD0C"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3,308 (21.3)</w:t>
            </w:r>
          </w:p>
        </w:tc>
      </w:tr>
      <w:tr w:rsidR="000F6719" w:rsidRPr="000F6719" w14:paraId="50F99B73" w14:textId="77777777" w:rsidTr="004762C3">
        <w:trPr>
          <w:jc w:val="center"/>
        </w:trPr>
        <w:tc>
          <w:tcPr>
            <w:tcW w:w="4392" w:type="dxa"/>
            <w:shd w:val="clear" w:color="auto" w:fill="FFFFFF"/>
          </w:tcPr>
          <w:p w14:paraId="360F22C9"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7DB65720"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2,663 (66.6)</w:t>
            </w:r>
          </w:p>
        </w:tc>
        <w:tc>
          <w:tcPr>
            <w:tcW w:w="2232" w:type="dxa"/>
            <w:shd w:val="clear" w:color="auto" w:fill="FFFFFF"/>
          </w:tcPr>
          <w:p w14:paraId="57396C39"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10,246 (66.0)</w:t>
            </w:r>
          </w:p>
        </w:tc>
      </w:tr>
      <w:tr w:rsidR="000F6719" w:rsidRPr="000F6719" w14:paraId="607F7FE7" w14:textId="77777777" w:rsidTr="004762C3">
        <w:trPr>
          <w:jc w:val="center"/>
        </w:trPr>
        <w:tc>
          <w:tcPr>
            <w:tcW w:w="4392" w:type="dxa"/>
            <w:shd w:val="clear" w:color="auto" w:fill="FFFFFF"/>
          </w:tcPr>
          <w:p w14:paraId="12CD7554"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b/>
                <w:color w:val="000000"/>
                <w:sz w:val="14"/>
              </w:rPr>
              <w:lastRenderedPageBreak/>
              <w:t>Insurance type</w:t>
            </w:r>
          </w:p>
        </w:tc>
        <w:tc>
          <w:tcPr>
            <w:tcW w:w="2232" w:type="dxa"/>
            <w:shd w:val="clear" w:color="auto" w:fill="FFFFFF"/>
          </w:tcPr>
          <w:p w14:paraId="6F1AD63A" w14:textId="77777777" w:rsidR="000F6719" w:rsidRPr="000F6719" w:rsidRDefault="000F6719" w:rsidP="004762C3">
            <w:pPr>
              <w:spacing w:before="24" w:after="24"/>
              <w:jc w:val="right"/>
              <w:rPr>
                <w:rFonts w:ascii="Times New Roman" w:hAnsi="Times New Roman" w:cs="Times New Roman"/>
              </w:rPr>
            </w:pPr>
          </w:p>
        </w:tc>
        <w:tc>
          <w:tcPr>
            <w:tcW w:w="2232" w:type="dxa"/>
            <w:shd w:val="clear" w:color="auto" w:fill="FFFFFF"/>
          </w:tcPr>
          <w:p w14:paraId="7399708B" w14:textId="77777777" w:rsidR="000F6719" w:rsidRPr="000F6719" w:rsidRDefault="000F6719" w:rsidP="004762C3">
            <w:pPr>
              <w:spacing w:before="24" w:after="24"/>
              <w:jc w:val="right"/>
              <w:rPr>
                <w:rFonts w:ascii="Times New Roman" w:hAnsi="Times New Roman" w:cs="Times New Roman"/>
              </w:rPr>
            </w:pPr>
          </w:p>
        </w:tc>
      </w:tr>
      <w:tr w:rsidR="000F6719" w:rsidRPr="000F6719" w14:paraId="49CA226C" w14:textId="77777777" w:rsidTr="004762C3">
        <w:trPr>
          <w:jc w:val="center"/>
        </w:trPr>
        <w:tc>
          <w:tcPr>
            <w:tcW w:w="4392" w:type="dxa"/>
            <w:shd w:val="clear" w:color="auto" w:fill="FFFFFF"/>
          </w:tcPr>
          <w:p w14:paraId="165AA10E" w14:textId="77777777" w:rsidR="000F6719" w:rsidRPr="000F6719" w:rsidRDefault="000F6719" w:rsidP="004762C3">
            <w:pPr>
              <w:spacing w:before="24" w:after="24"/>
              <w:rPr>
                <w:rFonts w:ascii="Times New Roman" w:hAnsi="Times New Roman" w:cs="Times New Roman"/>
              </w:rPr>
            </w:pPr>
            <w:r w:rsidRPr="000F6719">
              <w:rPr>
                <w:rFonts w:ascii="Times New Roman" w:hAnsi="Times New Roman" w:cs="Times New Roman"/>
                <w:color w:val="000000"/>
                <w:sz w:val="14"/>
              </w:rPr>
              <w:t>Employer (reference)</w:t>
            </w:r>
          </w:p>
        </w:tc>
        <w:tc>
          <w:tcPr>
            <w:tcW w:w="2232" w:type="dxa"/>
            <w:shd w:val="clear" w:color="auto" w:fill="FFFFFF"/>
          </w:tcPr>
          <w:p w14:paraId="2DE14B49" w14:textId="77777777" w:rsidR="000F6719" w:rsidRPr="000F6719" w:rsidRDefault="000F6719" w:rsidP="004762C3">
            <w:pPr>
              <w:spacing w:before="24" w:after="24"/>
              <w:jc w:val="right"/>
              <w:rPr>
                <w:rFonts w:ascii="Times New Roman" w:hAnsi="Times New Roman" w:cs="Times New Roman"/>
              </w:rPr>
            </w:pPr>
            <w:r>
              <w:rPr>
                <w:rFonts w:ascii="Times New Roman" w:hAnsi="Times New Roman"/>
                <w:sz w:val="14"/>
              </w:rPr>
              <w:t>775 (19.4)</w:t>
            </w:r>
          </w:p>
        </w:tc>
        <w:tc>
          <w:tcPr>
            <w:tcW w:w="2232" w:type="dxa"/>
            <w:shd w:val="clear" w:color="auto" w:fill="FFFFFF"/>
          </w:tcPr>
          <w:p w14:paraId="37120803" w14:textId="77777777" w:rsidR="000F6719" w:rsidRPr="000F6719" w:rsidRDefault="000F6719" w:rsidP="004762C3">
            <w:pPr>
              <w:spacing w:before="24" w:after="24"/>
              <w:jc w:val="right"/>
              <w:rPr>
                <w:rFonts w:ascii="Times New Roman" w:hAnsi="Times New Roman" w:cs="Times New Roman"/>
              </w:rPr>
            </w:pPr>
            <w:r>
              <w:rPr>
                <w:rFonts w:ascii="Times New Roman" w:hAnsi="Times New Roman"/>
                <w:sz w:val="14"/>
              </w:rPr>
              <w:t>4,313 (27.8)</w:t>
            </w:r>
          </w:p>
        </w:tc>
      </w:tr>
      <w:tr w:rsidR="000F6719" w:rsidRPr="000F6719" w14:paraId="39457ADC" w14:textId="77777777" w:rsidTr="004762C3">
        <w:trPr>
          <w:jc w:val="center"/>
        </w:trPr>
        <w:tc>
          <w:tcPr>
            <w:tcW w:w="4392" w:type="dxa"/>
            <w:shd w:val="clear" w:color="auto" w:fill="FFFFFF"/>
          </w:tcPr>
          <w:p w14:paraId="6A976013"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Medicare</w:t>
            </w:r>
          </w:p>
        </w:tc>
        <w:tc>
          <w:tcPr>
            <w:tcW w:w="2232" w:type="dxa"/>
            <w:shd w:val="clear" w:color="auto" w:fill="FFFFFF"/>
          </w:tcPr>
          <w:p w14:paraId="4C4DA6BF"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929 (23.2)</w:t>
            </w:r>
          </w:p>
        </w:tc>
        <w:tc>
          <w:tcPr>
            <w:tcW w:w="2232" w:type="dxa"/>
            <w:shd w:val="clear" w:color="auto" w:fill="FFFFFF"/>
          </w:tcPr>
          <w:p w14:paraId="5A02D22A"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3,245 (20.9)</w:t>
            </w:r>
          </w:p>
        </w:tc>
      </w:tr>
      <w:tr w:rsidR="000F6719" w:rsidRPr="000F6719" w14:paraId="29FB260B" w14:textId="77777777" w:rsidTr="004762C3">
        <w:trPr>
          <w:jc w:val="center"/>
        </w:trPr>
        <w:tc>
          <w:tcPr>
            <w:tcW w:w="4392" w:type="dxa"/>
            <w:shd w:val="clear" w:color="auto" w:fill="FFFFFF"/>
          </w:tcPr>
          <w:p w14:paraId="39872F73"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Medicaid</w:t>
            </w:r>
          </w:p>
        </w:tc>
        <w:tc>
          <w:tcPr>
            <w:tcW w:w="2232" w:type="dxa"/>
            <w:shd w:val="clear" w:color="auto" w:fill="FFFFFF"/>
          </w:tcPr>
          <w:p w14:paraId="12342D57"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1,387 (34.7)</w:t>
            </w:r>
          </w:p>
        </w:tc>
        <w:tc>
          <w:tcPr>
            <w:tcW w:w="2232" w:type="dxa"/>
            <w:shd w:val="clear" w:color="auto" w:fill="FFFFFF"/>
          </w:tcPr>
          <w:p w14:paraId="76BC1EEB"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4,083 (26.3)</w:t>
            </w:r>
          </w:p>
        </w:tc>
      </w:tr>
      <w:tr w:rsidR="000F6719" w:rsidRPr="000F6719" w14:paraId="201CA969" w14:textId="77777777" w:rsidTr="004762C3">
        <w:trPr>
          <w:jc w:val="center"/>
        </w:trPr>
        <w:tc>
          <w:tcPr>
            <w:tcW w:w="4392" w:type="dxa"/>
            <w:shd w:val="clear" w:color="auto" w:fill="FFFFFF"/>
          </w:tcPr>
          <w:p w14:paraId="22EF3376"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Other or none</w:t>
            </w:r>
          </w:p>
        </w:tc>
        <w:tc>
          <w:tcPr>
            <w:tcW w:w="2232" w:type="dxa"/>
            <w:shd w:val="clear" w:color="auto" w:fill="FFFFFF"/>
          </w:tcPr>
          <w:p w14:paraId="4D9609F0"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364 (9.1)</w:t>
            </w:r>
          </w:p>
        </w:tc>
        <w:tc>
          <w:tcPr>
            <w:tcW w:w="2232" w:type="dxa"/>
            <w:shd w:val="clear" w:color="auto" w:fill="FFFFFF"/>
          </w:tcPr>
          <w:p w14:paraId="10080E63"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1,290 (8.3)</w:t>
            </w:r>
          </w:p>
        </w:tc>
      </w:tr>
      <w:tr w:rsidR="000F6719" w:rsidRPr="000F6719" w14:paraId="0C08D508" w14:textId="77777777" w:rsidTr="004762C3">
        <w:trPr>
          <w:jc w:val="center"/>
        </w:trPr>
        <w:tc>
          <w:tcPr>
            <w:tcW w:w="4392" w:type="dxa"/>
            <w:shd w:val="clear" w:color="auto" w:fill="FFFFFF"/>
          </w:tcPr>
          <w:p w14:paraId="069BD287" w14:textId="77777777" w:rsidR="000F6719" w:rsidRPr="000F6719" w:rsidRDefault="000F6719" w:rsidP="004762C3">
            <w:pPr>
              <w:spacing w:before="24" w:after="24"/>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22E82D0F"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542 (13.6)</w:t>
            </w:r>
          </w:p>
        </w:tc>
        <w:tc>
          <w:tcPr>
            <w:tcW w:w="2232" w:type="dxa"/>
            <w:shd w:val="clear" w:color="auto" w:fill="FFFFFF"/>
          </w:tcPr>
          <w:p w14:paraId="40154BC7" w14:textId="77777777" w:rsidR="000F6719" w:rsidRPr="000F6719" w:rsidRDefault="000F6719" w:rsidP="004762C3">
            <w:pPr>
              <w:spacing w:before="24" w:after="24"/>
              <w:jc w:val="right"/>
              <w:rPr>
                <w:rFonts w:ascii="Times New Roman" w:hAnsi="Times New Roman" w:cs="Times New Roman"/>
              </w:rPr>
            </w:pPr>
            <w:r w:rsidRPr="000F6719">
              <w:rPr>
                <w:rFonts w:ascii="Times New Roman" w:hAnsi="Times New Roman" w:cs="Times New Roman"/>
                <w:color w:val="000000"/>
                <w:sz w:val="14"/>
              </w:rPr>
              <w:t>2,592 (16.7)</w:t>
            </w:r>
          </w:p>
        </w:tc>
      </w:tr>
    </w:tbl>
    <w:p w14:paraId="49E14F2D"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sz w:val="13"/>
        </w:rPr>
        <w:t>“Missing” denotes a Skip or Prefer-not-to-answer response. Cell counts under 20 are suppressed per the All of Us Data and Statistics Dissemination Policy, which also forbids reporting counts from which such a count could be derived by subtraction. Participants who reported never having attended school are therefore counted within the “Below high school or GED” row here; they were modelled as a separate category, whose estimate is not reported.</w:t>
      </w:r>
    </w:p>
    <w:p w14:paraId="63A73ED2"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sz w:val="13"/>
        </w:rPr>
        <w:t xml:space="preserve">*Disability and insurance missingness </w:t>
      </w:r>
      <w:proofErr w:type="gramStart"/>
      <w:r w:rsidRPr="000F6719">
        <w:rPr>
          <w:rFonts w:ascii="Times New Roman" w:hAnsi="Times New Roman" w:cs="Times New Roman"/>
          <w:sz w:val="13"/>
        </w:rPr>
        <w:t>is</w:t>
      </w:r>
      <w:proofErr w:type="gramEnd"/>
      <w:r w:rsidRPr="000F6719">
        <w:rPr>
          <w:rFonts w:ascii="Times New Roman" w:hAnsi="Times New Roman" w:cs="Times New Roman"/>
          <w:sz w:val="13"/>
        </w:rPr>
        <w:t xml:space="preserve"> mainly non-administration: the ACS-6 items were added to The Basics survey on November 10, 2020, and the insurance item after enrollment began.</w:t>
      </w:r>
    </w:p>
    <w:p w14:paraId="2221F773"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rPr>
        <w:br w:type="page"/>
      </w:r>
    </w:p>
    <w:p w14:paraId="0C1EC59B" w14:textId="77777777" w:rsidR="00452027" w:rsidRPr="000F6719" w:rsidRDefault="00452027" w:rsidP="00C06BCF">
      <w:pPr>
        <w:spacing w:before="60" w:line="480" w:lineRule="auto"/>
        <w:rPr>
          <w:rFonts w:ascii="Times New Roman" w:hAnsi="Times New Roman" w:cs="Times New Roman"/>
        </w:rPr>
      </w:pPr>
    </w:p>
    <w:p w14:paraId="138F8216" w14:textId="77777777" w:rsidR="00840028" w:rsidRPr="000F6719" w:rsidRDefault="004D6DF4" w:rsidP="00B96FCD">
      <w:pPr>
        <w:spacing w:after="120" w:line="480" w:lineRule="auto"/>
        <w:jc w:val="center"/>
        <w:rPr>
          <w:rFonts w:ascii="Times New Roman" w:hAnsi="Times New Roman" w:cs="Times New Roman"/>
        </w:rPr>
      </w:pPr>
      <w:r>
        <w:rPr>
          <w:rFonts w:ascii="Times New Roman" w:hAnsi="Times New Roman" w:cs="Times New Roman"/>
          <w:noProof/>
        </w:rPr>
        <w:drawing>
          <wp:inline distT="0" distB="0" distL="0" distR="0" wp14:anchorId="38F9E994" wp14:editId="0CDEA0D0">
            <wp:extent cx="5943600" cy="5445252"/>
            <wp:effectExtent l="0" t="0" r="0" b="0"/>
            <wp:docPr id="52876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61091" name="Picture 5287610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445252"/>
                    </a:xfrm>
                    <a:prstGeom prst="rect">
                      <a:avLst/>
                    </a:prstGeom>
                  </pic:spPr>
                </pic:pic>
              </a:graphicData>
            </a:graphic>
          </wp:inline>
        </w:drawing>
      </w:r>
    </w:p>
    <w:p w14:paraId="037E3101"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Social determinants of health</w:t>
      </w:r>
    </w:p>
    <w:p w14:paraId="1B2AB0E2" w14:textId="77777777"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 xml:space="preserve">Each domain was first entered alone into the base model (Table 3, Figure 4). Medicaid coverage carried the largest insurance estimate (AOR 1.54, 1.38-1.71) and other or no coverage was also elevated (1.33, 1.15-1.54). The income pattern was not monotonic: the three lowest strata were elevated (&lt;$10,000, 1.51, 1.33-1.71) but so was $100,000-149,999 (1.17, 1.002-1.37), which may reflect heterogeneity within the broad $35,000-99,999 reference or residual confounding </w:t>
      </w:r>
      <w:r w:rsidRPr="000F6719">
        <w:rPr>
          <w:rFonts w:ascii="Times New Roman" w:eastAsia="Arial" w:hAnsi="Times New Roman" w:cs="Times New Roman"/>
        </w:rPr>
        <w:lastRenderedPageBreak/>
        <w:t>from unmeasured factors such as occupational exposure. Education below GED (1.29, 1.13-1.47), unemployment (1.55, 1.40-1.71), student status (1.48, 1.14-1.92), non-employment (1.40, 1.25-1.56), and renting (1.28, 1.18-1.40) were all elevated. Housing instability was not significant (1.00, 0.91-1.10), and neither was disability under any of the seven definitions tested, from a single lumped indicator (1.02, 0.90-1.17) to each ACS-6 item entered separately. A fifth education category, participants who reported never having attended school, was carried in the models but is not reported: fewer than 20 participants fall in it in each group.</w:t>
      </w:r>
    </w:p>
    <w:p w14:paraId="4FD08672" w14:textId="77777777" w:rsidR="006263F7" w:rsidRPr="000F6719" w:rsidRDefault="003C31BD" w:rsidP="006263F7">
      <w:pPr>
        <w:spacing w:after="120" w:line="480" w:lineRule="auto"/>
        <w:jc w:val="center"/>
        <w:rPr>
          <w:rFonts w:ascii="Times New Roman" w:hAnsi="Times New Roman" w:cs="Times New Roman"/>
        </w:rPr>
      </w:pPr>
      <w:r>
        <w:rPr>
          <w:rFonts w:ascii="Times New Roman" w:hAnsi="Times New Roman" w:cs="Times New Roman"/>
          <w:noProof/>
        </w:rPr>
        <w:drawing>
          <wp:inline distT="0" distB="0" distL="0" distR="0" wp14:anchorId="2C74AAB1" wp14:editId="17B81A88">
            <wp:extent cx="5943600" cy="3784701"/>
            <wp:effectExtent l="0" t="0" r="0" b="0"/>
            <wp:docPr id="133815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52551" name="Picture 1338152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84701"/>
                    </a:xfrm>
                    <a:prstGeom prst="rect">
                      <a:avLst/>
                    </a:prstGeom>
                  </pic:spPr>
                </pic:pic>
              </a:graphicData>
            </a:graphic>
          </wp:inline>
        </w:drawing>
      </w:r>
    </w:p>
    <w:p w14:paraId="0DC2B409" w14:textId="77777777" w:rsidR="00C06AB3" w:rsidRPr="00C06AB3" w:rsidRDefault="00C06AB3" w:rsidP="00C06AB3">
      <w:pPr>
        <w:spacing w:line="480" w:lineRule="auto"/>
        <w:rPr>
          <w:rFonts w:ascii="Times New Roman" w:hAnsi="Times New Roman" w:cs="Times New Roman"/>
        </w:rPr>
      </w:pPr>
      <w:proofErr w:type="spellStart"/>
      <w:proofErr w:type="spellEnd"/>
      <w:r>
        <w:rPr>
          <w:rFonts w:ascii="Times New Roman" w:hAnsi="Times New Roman"/>
          <w:b/>
          <w:sz w:val="18"/>
        </w:rPr>
        <w:t>Table 3.</w:t>
      </w:r>
      <w:r>
        <w:rPr>
          <w:rFonts w:ascii="Times New Roman" w:hAnsi="Times New Roman"/>
          <w:b w:val="0"/>
          <w:sz w:val="18"/>
        </w:rPr>
        <w:t xml:space="preserve"> Domain-specific and jointly adjusted associations of survey-derived SDoH with COVID-19 hospitalization.</w:t>
      </w:r>
    </w:p>
    <w:p w14:paraId="018170F9" w14:textId="77777777" w:rsidR="00C06AB3" w:rsidRPr="00C06AB3" w:rsidRDefault="00C06AB3" w:rsidP="00C06AB3">
      <w:pPr>
        <w:spacing w:line="480" w:lineRule="auto"/>
        <w:rPr>
          <w:rFonts w:ascii="Times New Roman" w:hAnsi="Times New Roman" w:cs="Times New Roman"/>
        </w:rPr>
      </w:pPr>
      <w:r w:rsidRPr="00C06AB3">
        <w:rPr>
          <w:rFonts w:ascii="Times New Roman" w:hAnsi="Times New Roman" w:cs="Times New Roman"/>
          <w:sz w:val="15"/>
        </w:rPr>
        <w:t xml:space="preserve">Values are adjusted odds ratios (95% confidence intervals) from conditional logistic regression within matched strata. The domain-specific model adds one </w:t>
      </w:r>
      <w:proofErr w:type="spellStart"/>
      <w:r w:rsidRPr="00C06AB3">
        <w:rPr>
          <w:rFonts w:ascii="Times New Roman" w:hAnsi="Times New Roman" w:cs="Times New Roman"/>
          <w:sz w:val="15"/>
        </w:rPr>
        <w:t>SDoH</w:t>
      </w:r>
      <w:proofErr w:type="spellEnd"/>
      <w:r w:rsidRPr="00C06AB3">
        <w:rPr>
          <w:rFonts w:ascii="Times New Roman" w:hAnsi="Times New Roman" w:cs="Times New Roman"/>
          <w:sz w:val="15"/>
        </w:rPr>
        <w:t xml:space="preserve"> domain to the base model; the joint model adds all six domains simultaneously. Both adjust for sex, race, ethnicity, age, vaccination, pandemic wave, and 19 Charlson comorbidities.</w:t>
      </w:r>
    </w:p>
    <w:tbl>
      <w:tblPr>
        <w:tblW w:w="0" w:type="auto"/>
        <w:jc w:val="center"/>
        <w:tblLayout w:type="fixed"/>
        <w:tblLook w:val="04A0" w:firstRow="1" w:lastRow="0" w:firstColumn="1" w:lastColumn="0" w:noHBand="0" w:noVBand="1"/>
      </w:tblPr>
      <w:tblGrid>
        <w:gridCol w:w="3528"/>
        <w:gridCol w:w="2664"/>
        <w:gridCol w:w="2664"/>
      </w:tblGrid>
      <w:tr w:rsidR="00C06AB3" w:rsidRPr="00C06AB3" w14:paraId="645885F3" w14:textId="77777777" w:rsidTr="004762C3">
        <w:trPr>
          <w:jc w:val="center"/>
        </w:trPr>
        <w:tc>
          <w:tcPr>
            <w:tcW w:w="3528" w:type="dxa"/>
            <w:tcBorders>
              <w:top w:val="single" w:sz="8" w:space="0" w:color="333333"/>
              <w:bottom w:val="single" w:sz="8" w:space="0" w:color="333333"/>
            </w:tcBorders>
            <w:shd w:val="clear" w:color="auto" w:fill="FFFFFF"/>
          </w:tcPr>
          <w:p w14:paraId="5DD7C0AB" w14:textId="77777777" w:rsidR="00C06AB3" w:rsidRPr="00C06AB3" w:rsidRDefault="00C06AB3" w:rsidP="004762C3">
            <w:pPr>
              <w:spacing w:before="24" w:after="24"/>
              <w:rPr>
                <w:rFonts w:ascii="Times New Roman" w:hAnsi="Times New Roman" w:cs="Times New Roman"/>
              </w:rPr>
            </w:pPr>
            <w:r w:rsidRPr="00C06AB3">
              <w:rPr>
                <w:rFonts w:ascii="Times New Roman" w:hAnsi="Times New Roman" w:cs="Times New Roman"/>
                <w:b/>
                <w:color w:val="000000"/>
                <w:sz w:val="14"/>
              </w:rPr>
              <w:t>Variable</w:t>
            </w:r>
          </w:p>
        </w:tc>
        <w:tc>
          <w:tcPr>
            <w:tcW w:w="2664" w:type="dxa"/>
            <w:tcBorders>
              <w:top w:val="single" w:sz="8" w:space="0" w:color="333333"/>
              <w:bottom w:val="single" w:sz="8" w:space="0" w:color="333333"/>
            </w:tcBorders>
            <w:shd w:val="clear" w:color="auto" w:fill="FFFFFF"/>
          </w:tcPr>
          <w:p w14:paraId="39075383"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b/>
                <w:color w:val="000000"/>
                <w:sz w:val="14"/>
              </w:rPr>
              <w:t>Domain-specific AOR (95% CI)</w:t>
            </w:r>
          </w:p>
        </w:tc>
        <w:tc>
          <w:tcPr>
            <w:tcW w:w="2664" w:type="dxa"/>
            <w:tcBorders>
              <w:top w:val="single" w:sz="8" w:space="0" w:color="333333"/>
              <w:bottom w:val="single" w:sz="8" w:space="0" w:color="333333"/>
            </w:tcBorders>
            <w:shd w:val="clear" w:color="auto" w:fill="FFFFFF"/>
          </w:tcPr>
          <w:p w14:paraId="691BA367"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b/>
                <w:color w:val="000000"/>
                <w:sz w:val="14"/>
              </w:rPr>
              <w:t>Joint AOR (95% CI)</w:t>
            </w:r>
          </w:p>
        </w:tc>
      </w:tr>
      <w:tr w:rsidR="00C06AB3" w:rsidRPr="00C06AB3" w14:paraId="792F829F" w14:textId="77777777" w:rsidTr="004762C3">
        <w:trPr>
          <w:jc w:val="center"/>
        </w:trPr>
        <w:tc>
          <w:tcPr>
            <w:tcW w:w="3528" w:type="dxa"/>
            <w:shd w:val="clear" w:color="auto" w:fill="FFFFFF"/>
          </w:tcPr>
          <w:p w14:paraId="3317ABD2" w14:textId="77777777" w:rsidR="00C06AB3" w:rsidRPr="00C06AB3" w:rsidRDefault="00C06AB3" w:rsidP="004762C3">
            <w:pPr>
              <w:spacing w:before="24" w:after="24"/>
              <w:rPr>
                <w:rFonts w:ascii="Times New Roman" w:hAnsi="Times New Roman" w:cs="Times New Roman"/>
              </w:rPr>
            </w:pPr>
            <w:r w:rsidRPr="00C06AB3">
              <w:rPr>
                <w:rFonts w:ascii="Times New Roman" w:hAnsi="Times New Roman" w:cs="Times New Roman"/>
                <w:b/>
                <w:color w:val="000000"/>
                <w:sz w:val="14"/>
              </w:rPr>
              <w:t>Income (reference: $35,000–99,999)</w:t>
            </w:r>
          </w:p>
        </w:tc>
        <w:tc>
          <w:tcPr>
            <w:tcW w:w="2664" w:type="dxa"/>
            <w:shd w:val="clear" w:color="auto" w:fill="FFFFFF"/>
          </w:tcPr>
          <w:p w14:paraId="2E276A63" w14:textId="77777777" w:rsidR="00C06AB3" w:rsidRPr="00C06AB3" w:rsidRDefault="00C06AB3" w:rsidP="004762C3">
            <w:pPr>
              <w:spacing w:before="24" w:after="24"/>
              <w:jc w:val="right"/>
              <w:rPr>
                <w:rFonts w:ascii="Times New Roman" w:hAnsi="Times New Roman" w:cs="Times New Roman"/>
              </w:rPr>
            </w:pPr>
          </w:p>
        </w:tc>
        <w:tc>
          <w:tcPr>
            <w:tcW w:w="2664" w:type="dxa"/>
            <w:shd w:val="clear" w:color="auto" w:fill="FFFFFF"/>
          </w:tcPr>
          <w:p w14:paraId="39291C4D" w14:textId="77777777" w:rsidR="00C06AB3" w:rsidRPr="00C06AB3" w:rsidRDefault="00C06AB3" w:rsidP="004762C3">
            <w:pPr>
              <w:spacing w:before="24" w:after="24"/>
              <w:jc w:val="right"/>
              <w:rPr>
                <w:rFonts w:ascii="Times New Roman" w:hAnsi="Times New Roman" w:cs="Times New Roman"/>
              </w:rPr>
            </w:pPr>
          </w:p>
        </w:tc>
      </w:tr>
      <w:tr w:rsidR="00C06AB3" w:rsidRPr="00C06AB3" w14:paraId="06715692" w14:textId="77777777" w:rsidTr="004762C3">
        <w:trPr>
          <w:jc w:val="center"/>
        </w:trPr>
        <w:tc>
          <w:tcPr>
            <w:tcW w:w="3528" w:type="dxa"/>
            <w:shd w:val="clear" w:color="auto" w:fill="FFFFFF"/>
          </w:tcPr>
          <w:p w14:paraId="2EB306FF"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&lt;$10,000</w:t>
            </w:r>
          </w:p>
        </w:tc>
        <w:tc>
          <w:tcPr>
            <w:tcW w:w="2664" w:type="dxa"/>
            <w:shd w:val="clear" w:color="auto" w:fill="FFFFFF"/>
          </w:tcPr>
          <w:p w14:paraId="25203A6E"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1.50*** (1.33–1.71)</w:t>
            </w:r>
          </w:p>
        </w:tc>
        <w:tc>
          <w:tcPr>
            <w:tcW w:w="2664" w:type="dxa"/>
            <w:shd w:val="clear" w:color="auto" w:fill="FFFFFF"/>
          </w:tcPr>
          <w:p w14:paraId="606E66F9"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1.21* (1.05–1.40)</w:t>
            </w:r>
          </w:p>
        </w:tc>
      </w:tr>
      <w:tr w:rsidR="00C06AB3" w:rsidRPr="00C06AB3" w14:paraId="35BDB9D2" w14:textId="77777777" w:rsidTr="004762C3">
        <w:trPr>
          <w:jc w:val="center"/>
        </w:trPr>
        <w:tc>
          <w:tcPr>
            <w:tcW w:w="3528" w:type="dxa"/>
            <w:shd w:val="clear" w:color="auto" w:fill="FFFFFF"/>
          </w:tcPr>
          <w:p w14:paraId="4512D909"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$10,000–24,999</w:t>
            </w:r>
          </w:p>
        </w:tc>
        <w:tc>
          <w:tcPr>
            <w:tcW w:w="2664" w:type="dxa"/>
            <w:shd w:val="clear" w:color="auto" w:fill="FFFFFF"/>
          </w:tcPr>
          <w:p w14:paraId="7F1CF85F"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1.41*** (1.24–1.60)</w:t>
            </w:r>
          </w:p>
        </w:tc>
        <w:tc>
          <w:tcPr>
            <w:tcW w:w="2664" w:type="dxa"/>
            <w:shd w:val="clear" w:color="auto" w:fill="FFFFFF"/>
          </w:tcPr>
          <w:p w14:paraId="15714701"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1.21** (1.05–1.38)</w:t>
            </w:r>
          </w:p>
        </w:tc>
      </w:tr>
      <w:tr w:rsidR="00C06AB3" w:rsidRPr="00C06AB3" w14:paraId="3BC5F28B" w14:textId="77777777" w:rsidTr="004762C3">
        <w:trPr>
          <w:jc w:val="center"/>
        </w:trPr>
        <w:tc>
          <w:tcPr>
            <w:tcW w:w="3528" w:type="dxa"/>
            <w:shd w:val="clear" w:color="auto" w:fill="FFFFFF"/>
          </w:tcPr>
          <w:p w14:paraId="4A8E7991"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lastRenderedPageBreak/>
              <w:t>$25,000–34,999</w:t>
            </w:r>
          </w:p>
        </w:tc>
        <w:tc>
          <w:tcPr>
            <w:tcW w:w="2664" w:type="dxa"/>
            <w:shd w:val="clear" w:color="auto" w:fill="FFFFFF"/>
          </w:tcPr>
          <w:p w14:paraId="56DA8611"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1.18* (1.01–1.37)</w:t>
            </w:r>
          </w:p>
        </w:tc>
        <w:tc>
          <w:tcPr>
            <w:tcW w:w="2664" w:type="dxa"/>
            <w:shd w:val="clear" w:color="auto" w:fill="FFFFFF"/>
          </w:tcPr>
          <w:p w14:paraId="18562494"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1.10 (0.94–1.28)</w:t>
            </w:r>
          </w:p>
        </w:tc>
      </w:tr>
      <w:tr w:rsidR="00C06AB3" w:rsidRPr="00C06AB3" w14:paraId="3ABF2F08" w14:textId="77777777" w:rsidTr="004762C3">
        <w:trPr>
          <w:jc w:val="center"/>
        </w:trPr>
        <w:tc>
          <w:tcPr>
            <w:tcW w:w="3528" w:type="dxa"/>
            <w:shd w:val="clear" w:color="auto" w:fill="FFFFFF"/>
          </w:tcPr>
          <w:p w14:paraId="33F6A1DA"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$100,000–149,999</w:t>
            </w:r>
          </w:p>
        </w:tc>
        <w:tc>
          <w:tcPr>
            <w:tcW w:w="2664" w:type="dxa"/>
            <w:shd w:val="clear" w:color="auto" w:fill="FFFFFF"/>
          </w:tcPr>
          <w:p w14:paraId="17ABFC7E"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1.17* (1.002–1.37)</w:t>
            </w:r>
          </w:p>
        </w:tc>
        <w:tc>
          <w:tcPr>
            <w:tcW w:w="2664" w:type="dxa"/>
            <w:shd w:val="clear" w:color="auto" w:fill="FFFFFF"/>
          </w:tcPr>
          <w:p w14:paraId="3C022E83"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1.21* (1.03–1.42)</w:t>
            </w:r>
          </w:p>
        </w:tc>
      </w:tr>
      <w:tr w:rsidR="00C06AB3" w:rsidRPr="00C06AB3" w14:paraId="63F3FFB1" w14:textId="77777777" w:rsidTr="004762C3">
        <w:trPr>
          <w:jc w:val="center"/>
        </w:trPr>
        <w:tc>
          <w:tcPr>
            <w:tcW w:w="3528" w:type="dxa"/>
            <w:shd w:val="clear" w:color="auto" w:fill="FFFFFF"/>
          </w:tcPr>
          <w:p w14:paraId="537C1EC5"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$150,000–199,999</w:t>
            </w:r>
          </w:p>
        </w:tc>
        <w:tc>
          <w:tcPr>
            <w:tcW w:w="2664" w:type="dxa"/>
            <w:shd w:val="clear" w:color="auto" w:fill="FFFFFF"/>
          </w:tcPr>
          <w:p w14:paraId="5BB555BD"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1.21 (0.97–1.50)</w:t>
            </w:r>
          </w:p>
        </w:tc>
        <w:tc>
          <w:tcPr>
            <w:tcW w:w="2664" w:type="dxa"/>
            <w:shd w:val="clear" w:color="auto" w:fill="FFFFFF"/>
          </w:tcPr>
          <w:p w14:paraId="56A71C42"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1.26* (1.01–1.57)</w:t>
            </w:r>
          </w:p>
        </w:tc>
      </w:tr>
      <w:tr w:rsidR="00C06AB3" w:rsidRPr="00C06AB3" w14:paraId="279EF113" w14:textId="77777777" w:rsidTr="004762C3">
        <w:trPr>
          <w:jc w:val="center"/>
        </w:trPr>
        <w:tc>
          <w:tcPr>
            <w:tcW w:w="3528" w:type="dxa"/>
            <w:shd w:val="clear" w:color="auto" w:fill="FFFFFF"/>
          </w:tcPr>
          <w:p w14:paraId="22A522D6"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≥$200,000</w:t>
            </w:r>
          </w:p>
        </w:tc>
        <w:tc>
          <w:tcPr>
            <w:tcW w:w="2664" w:type="dxa"/>
            <w:shd w:val="clear" w:color="auto" w:fill="FFFFFF"/>
          </w:tcPr>
          <w:p w14:paraId="3436370C"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1.09 (0.89–1.34)</w:t>
            </w:r>
          </w:p>
        </w:tc>
        <w:tc>
          <w:tcPr>
            <w:tcW w:w="2664" w:type="dxa"/>
            <w:shd w:val="clear" w:color="auto" w:fill="FFFFFF"/>
          </w:tcPr>
          <w:p w14:paraId="1EEA8FE4"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1.15 (0.93–1.42)</w:t>
            </w:r>
          </w:p>
        </w:tc>
      </w:tr>
      <w:tr w:rsidR="00C06AB3" w:rsidRPr="00C06AB3" w14:paraId="7A5845D4" w14:textId="77777777" w:rsidTr="004762C3">
        <w:trPr>
          <w:jc w:val="center"/>
        </w:trPr>
        <w:tc>
          <w:tcPr>
            <w:tcW w:w="3528" w:type="dxa"/>
            <w:shd w:val="clear" w:color="auto" w:fill="FFFFFF"/>
          </w:tcPr>
          <w:p w14:paraId="1793382D"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Missing</w:t>
            </w:r>
          </w:p>
        </w:tc>
        <w:tc>
          <w:tcPr>
            <w:tcW w:w="2664" w:type="dxa"/>
            <w:shd w:val="clear" w:color="auto" w:fill="FFFFFF"/>
          </w:tcPr>
          <w:p w14:paraId="05DEDAC3"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1.71*** (1.53–1.91)</w:t>
            </w:r>
          </w:p>
        </w:tc>
        <w:tc>
          <w:tcPr>
            <w:tcW w:w="2664" w:type="dxa"/>
            <w:shd w:val="clear" w:color="auto" w:fill="FFFFFF"/>
          </w:tcPr>
          <w:p w14:paraId="517B1819"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1.49*** (1.32–1.68)</w:t>
            </w:r>
          </w:p>
        </w:tc>
      </w:tr>
      <w:tr w:rsidR="00C06AB3" w:rsidRPr="00C06AB3" w14:paraId="6980D0C2" w14:textId="77777777" w:rsidTr="004762C3">
        <w:trPr>
          <w:jc w:val="center"/>
        </w:trPr>
        <w:tc>
          <w:tcPr>
            <w:tcW w:w="3528" w:type="dxa"/>
            <w:shd w:val="clear" w:color="auto" w:fill="FFFFFF"/>
          </w:tcPr>
          <w:p w14:paraId="277BD28C" w14:textId="77777777" w:rsidR="00C06AB3" w:rsidRPr="00C06AB3" w:rsidRDefault="00C06AB3" w:rsidP="004762C3">
            <w:pPr>
              <w:spacing w:before="24" w:after="24"/>
              <w:rPr>
                <w:rFonts w:ascii="Times New Roman" w:hAnsi="Times New Roman" w:cs="Times New Roman"/>
              </w:rPr>
            </w:pPr>
            <w:r w:rsidRPr="00C06AB3">
              <w:rPr>
                <w:rFonts w:ascii="Times New Roman" w:hAnsi="Times New Roman" w:cs="Times New Roman"/>
                <w:b/>
                <w:color w:val="000000"/>
                <w:sz w:val="14"/>
              </w:rPr>
              <w:t>Insurance (reference: Employer)</w:t>
            </w:r>
          </w:p>
        </w:tc>
        <w:tc>
          <w:tcPr>
            <w:tcW w:w="2664" w:type="dxa"/>
            <w:shd w:val="clear" w:color="auto" w:fill="FFFFFF"/>
          </w:tcPr>
          <w:p w14:paraId="54491A5A" w14:textId="77777777" w:rsidR="00C06AB3" w:rsidRPr="00C06AB3" w:rsidRDefault="00C06AB3" w:rsidP="004762C3">
            <w:pPr>
              <w:spacing w:before="24" w:after="24"/>
              <w:jc w:val="right"/>
              <w:rPr>
                <w:rFonts w:ascii="Times New Roman" w:hAnsi="Times New Roman" w:cs="Times New Roman"/>
              </w:rPr>
            </w:pPr>
          </w:p>
        </w:tc>
        <w:tc>
          <w:tcPr>
            <w:tcW w:w="2664" w:type="dxa"/>
            <w:shd w:val="clear" w:color="auto" w:fill="FFFFFF"/>
          </w:tcPr>
          <w:p w14:paraId="1384D234" w14:textId="77777777" w:rsidR="00C06AB3" w:rsidRPr="00C06AB3" w:rsidRDefault="00C06AB3" w:rsidP="004762C3">
            <w:pPr>
              <w:spacing w:before="24" w:after="24"/>
              <w:jc w:val="right"/>
              <w:rPr>
                <w:rFonts w:ascii="Times New Roman" w:hAnsi="Times New Roman" w:cs="Times New Roman"/>
              </w:rPr>
            </w:pPr>
          </w:p>
        </w:tc>
      </w:tr>
      <w:tr w:rsidR="00C06AB3" w:rsidRPr="00C06AB3" w14:paraId="0433EEC6" w14:textId="77777777" w:rsidTr="004762C3">
        <w:trPr>
          <w:jc w:val="center"/>
        </w:trPr>
        <w:tc>
          <w:tcPr>
            <w:tcW w:w="3528" w:type="dxa"/>
            <w:shd w:val="clear" w:color="auto" w:fill="FFFFFF"/>
          </w:tcPr>
          <w:p w14:paraId="0DD58157"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Medicare</w:t>
            </w:r>
          </w:p>
        </w:tc>
        <w:tc>
          <w:tcPr>
            <w:tcW w:w="2664" w:type="dxa"/>
            <w:shd w:val="clear" w:color="auto" w:fill="FFFFFF"/>
          </w:tcPr>
          <w:p w14:paraId="52CF986F"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1.15* (1.01–1.31)</w:t>
            </w:r>
          </w:p>
        </w:tc>
        <w:tc>
          <w:tcPr>
            <w:tcW w:w="2664" w:type="dxa"/>
            <w:shd w:val="clear" w:color="auto" w:fill="FFFFFF"/>
          </w:tcPr>
          <w:p w14:paraId="0117AC26"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0.98 (0.85–1.13)</w:t>
            </w:r>
          </w:p>
        </w:tc>
      </w:tr>
      <w:tr w:rsidR="00C06AB3" w:rsidRPr="00C06AB3" w14:paraId="43A48F0D" w14:textId="77777777" w:rsidTr="004762C3">
        <w:trPr>
          <w:jc w:val="center"/>
        </w:trPr>
        <w:tc>
          <w:tcPr>
            <w:tcW w:w="3528" w:type="dxa"/>
            <w:shd w:val="clear" w:color="auto" w:fill="FFFFFF"/>
          </w:tcPr>
          <w:p w14:paraId="575BC18D"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Medicaid</w:t>
            </w:r>
          </w:p>
        </w:tc>
        <w:tc>
          <w:tcPr>
            <w:tcW w:w="2664" w:type="dxa"/>
            <w:shd w:val="clear" w:color="auto" w:fill="FFFFFF"/>
          </w:tcPr>
          <w:p w14:paraId="761D1639"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1.54*** (1.38–1.71)</w:t>
            </w:r>
          </w:p>
        </w:tc>
        <w:tc>
          <w:tcPr>
            <w:tcW w:w="2664" w:type="dxa"/>
            <w:shd w:val="clear" w:color="auto" w:fill="FFFFFF"/>
          </w:tcPr>
          <w:p w14:paraId="54EA82B0"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1.19** (1.05–1.36)</w:t>
            </w:r>
          </w:p>
        </w:tc>
      </w:tr>
      <w:tr w:rsidR="00C06AB3" w:rsidRPr="00C06AB3" w14:paraId="753E1F79" w14:textId="77777777" w:rsidTr="004762C3">
        <w:trPr>
          <w:jc w:val="center"/>
        </w:trPr>
        <w:tc>
          <w:tcPr>
            <w:tcW w:w="3528" w:type="dxa"/>
            <w:shd w:val="clear" w:color="auto" w:fill="FFFFFF"/>
          </w:tcPr>
          <w:p w14:paraId="1B10BBE5"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Other or none</w:t>
            </w:r>
          </w:p>
        </w:tc>
        <w:tc>
          <w:tcPr>
            <w:tcW w:w="2664" w:type="dxa"/>
            <w:shd w:val="clear" w:color="auto" w:fill="FFFFFF"/>
          </w:tcPr>
          <w:p w14:paraId="6C04EF52"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1.33*** (1.15–1.54)</w:t>
            </w:r>
          </w:p>
        </w:tc>
        <w:tc>
          <w:tcPr>
            <w:tcW w:w="2664" w:type="dxa"/>
            <w:shd w:val="clear" w:color="auto" w:fill="FFFFFF"/>
          </w:tcPr>
          <w:p w14:paraId="145E004C"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1.11 (0.95–1.30)</w:t>
            </w:r>
          </w:p>
        </w:tc>
      </w:tr>
      <w:tr w:rsidR="00C06AB3" w:rsidRPr="00C06AB3" w14:paraId="37701ADC" w14:textId="77777777" w:rsidTr="004762C3">
        <w:trPr>
          <w:jc w:val="center"/>
        </w:trPr>
        <w:tc>
          <w:tcPr>
            <w:tcW w:w="3528" w:type="dxa"/>
            <w:shd w:val="clear" w:color="auto" w:fill="FFFFFF"/>
          </w:tcPr>
          <w:p w14:paraId="6B4A6A2D" w14:textId="77777777" w:rsidR="00C06AB3" w:rsidRPr="00C06AB3" w:rsidRDefault="00C06AB3" w:rsidP="004762C3">
            <w:pPr>
              <w:spacing w:before="24" w:after="24"/>
              <w:rPr>
                <w:rFonts w:ascii="Times New Roman" w:hAnsi="Times New Roman" w:cs="Times New Roman"/>
              </w:rPr>
            </w:pPr>
            <w:r w:rsidRPr="00C06AB3">
              <w:rPr>
                <w:rFonts w:ascii="Times New Roman" w:hAnsi="Times New Roman" w:cs="Times New Roman"/>
                <w:b/>
                <w:color w:val="000000"/>
                <w:sz w:val="14"/>
              </w:rPr>
              <w:t>Education (reference: College graduate or higher)</w:t>
            </w:r>
          </w:p>
        </w:tc>
        <w:tc>
          <w:tcPr>
            <w:tcW w:w="2664" w:type="dxa"/>
            <w:shd w:val="clear" w:color="auto" w:fill="FFFFFF"/>
          </w:tcPr>
          <w:p w14:paraId="20D83EE7" w14:textId="77777777" w:rsidR="00C06AB3" w:rsidRPr="00C06AB3" w:rsidRDefault="00C06AB3" w:rsidP="004762C3">
            <w:pPr>
              <w:spacing w:before="24" w:after="24"/>
              <w:jc w:val="right"/>
              <w:rPr>
                <w:rFonts w:ascii="Times New Roman" w:hAnsi="Times New Roman" w:cs="Times New Roman"/>
              </w:rPr>
            </w:pPr>
          </w:p>
        </w:tc>
        <w:tc>
          <w:tcPr>
            <w:tcW w:w="2664" w:type="dxa"/>
            <w:shd w:val="clear" w:color="auto" w:fill="FFFFFF"/>
          </w:tcPr>
          <w:p w14:paraId="22F1F5D1" w14:textId="77777777" w:rsidR="00C06AB3" w:rsidRPr="00C06AB3" w:rsidRDefault="00C06AB3" w:rsidP="004762C3">
            <w:pPr>
              <w:spacing w:before="24" w:after="24"/>
              <w:jc w:val="right"/>
              <w:rPr>
                <w:rFonts w:ascii="Times New Roman" w:hAnsi="Times New Roman" w:cs="Times New Roman"/>
              </w:rPr>
            </w:pPr>
          </w:p>
        </w:tc>
      </w:tr>
      <w:tr w:rsidR="00C06AB3" w:rsidRPr="00C06AB3" w14:paraId="2F42A59A" w14:textId="77777777" w:rsidTr="004762C3">
        <w:trPr>
          <w:jc w:val="center"/>
        </w:trPr>
        <w:tc>
          <w:tcPr>
            <w:tcW w:w="3528" w:type="dxa"/>
            <w:shd w:val="clear" w:color="auto" w:fill="FFFFFF"/>
          </w:tcPr>
          <w:p w14:paraId="62C32BC8"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Below GED</w:t>
            </w:r>
          </w:p>
        </w:tc>
        <w:tc>
          <w:tcPr>
            <w:tcW w:w="2664" w:type="dxa"/>
            <w:shd w:val="clear" w:color="auto" w:fill="FFFFFF"/>
          </w:tcPr>
          <w:p w14:paraId="74738AE5"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1.29*** (1.13–1.47)</w:t>
            </w:r>
          </w:p>
        </w:tc>
        <w:tc>
          <w:tcPr>
            <w:tcW w:w="2664" w:type="dxa"/>
            <w:shd w:val="clear" w:color="auto" w:fill="FFFFFF"/>
          </w:tcPr>
          <w:p w14:paraId="0FA45AF8"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1.06 (0.92–1.22)</w:t>
            </w:r>
          </w:p>
        </w:tc>
      </w:tr>
      <w:tr w:rsidR="00C06AB3" w:rsidRPr="00C06AB3" w14:paraId="05669962" w14:textId="77777777" w:rsidTr="004762C3">
        <w:trPr>
          <w:jc w:val="center"/>
        </w:trPr>
        <w:tc>
          <w:tcPr>
            <w:tcW w:w="3528" w:type="dxa"/>
            <w:shd w:val="clear" w:color="auto" w:fill="FFFFFF"/>
          </w:tcPr>
          <w:p w14:paraId="2AD7BFB1"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GED or some college</w:t>
            </w:r>
          </w:p>
        </w:tc>
        <w:tc>
          <w:tcPr>
            <w:tcW w:w="2664" w:type="dxa"/>
            <w:shd w:val="clear" w:color="auto" w:fill="FFFFFF"/>
          </w:tcPr>
          <w:p w14:paraId="31E1AC5D"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1.11* (1.01–1.21)</w:t>
            </w:r>
          </w:p>
        </w:tc>
        <w:tc>
          <w:tcPr>
            <w:tcW w:w="2664" w:type="dxa"/>
            <w:shd w:val="clear" w:color="auto" w:fill="FFFFFF"/>
          </w:tcPr>
          <w:p w14:paraId="399E3511"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1.01 (0.92–1.11)</w:t>
            </w:r>
          </w:p>
        </w:tc>
      </w:tr>
      <w:tr w:rsidR="00C06AB3" w:rsidRPr="00C06AB3" w14:paraId="627C27CE" w14:textId="77777777" w:rsidTr="004762C3">
        <w:trPr>
          <w:jc w:val="center"/>
        </w:trPr>
        <w:tc>
          <w:tcPr>
            <w:tcW w:w="3528" w:type="dxa"/>
            <w:shd w:val="clear" w:color="auto" w:fill="FFFFFF"/>
          </w:tcPr>
          <w:p w14:paraId="4C16EDA9"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b/>
                <w:color w:val="000000"/>
                <w:sz w:val="14"/>
              </w:rPr>
              <w:t>Employment (reference: Employed)</w:t>
            </w:r>
          </w:p>
        </w:tc>
        <w:tc>
          <w:tcPr>
            <w:tcW w:w="2664" w:type="dxa"/>
            <w:shd w:val="clear" w:color="auto" w:fill="FFFFFF"/>
          </w:tcPr>
          <w:p w14:paraId="26A85AEA" w14:textId="77777777" w:rsidR="00C06AB3" w:rsidRPr="00C06AB3" w:rsidRDefault="00C06AB3" w:rsidP="004762C3">
            <w:pPr>
              <w:spacing w:before="24" w:after="24"/>
              <w:jc w:val="right"/>
              <w:rPr>
                <w:rFonts w:ascii="Times New Roman" w:hAnsi="Times New Roman" w:cs="Times New Roman"/>
              </w:rPr>
            </w:pPr>
          </w:p>
        </w:tc>
        <w:tc>
          <w:tcPr>
            <w:tcW w:w="2664" w:type="dxa"/>
            <w:shd w:val="clear" w:color="auto" w:fill="FFFFFF"/>
          </w:tcPr>
          <w:p w14:paraId="23B499C7" w14:textId="77777777" w:rsidR="00C06AB3" w:rsidRPr="00C06AB3" w:rsidRDefault="00C06AB3" w:rsidP="004762C3">
            <w:pPr>
              <w:spacing w:before="24" w:after="24"/>
              <w:jc w:val="right"/>
              <w:rPr>
                <w:rFonts w:ascii="Times New Roman" w:hAnsi="Times New Roman" w:cs="Times New Roman"/>
              </w:rPr>
            </w:pPr>
          </w:p>
        </w:tc>
      </w:tr>
      <w:tr w:rsidR="00C06AB3" w:rsidRPr="00C06AB3" w14:paraId="2ADDCEBD" w14:textId="77777777" w:rsidTr="004762C3">
        <w:trPr>
          <w:jc w:val="center"/>
        </w:trPr>
        <w:tc>
          <w:tcPr>
            <w:tcW w:w="3528" w:type="dxa"/>
            <w:shd w:val="clear" w:color="auto" w:fill="FFFFFF"/>
          </w:tcPr>
          <w:p w14:paraId="500FF2BC" w14:textId="77777777" w:rsidR="00C06AB3" w:rsidRPr="00C06AB3" w:rsidRDefault="00C06AB3" w:rsidP="004762C3">
            <w:pPr>
              <w:spacing w:before="24" w:after="24"/>
              <w:rPr>
                <w:rFonts w:ascii="Times New Roman" w:hAnsi="Times New Roman" w:cs="Times New Roman"/>
              </w:rPr>
            </w:pPr>
            <w:r w:rsidRPr="00C06AB3">
              <w:rPr>
                <w:rFonts w:ascii="Times New Roman" w:hAnsi="Times New Roman" w:cs="Times New Roman"/>
                <w:color w:val="000000"/>
                <w:sz w:val="14"/>
              </w:rPr>
              <w:t>Unemployed</w:t>
            </w:r>
          </w:p>
        </w:tc>
        <w:tc>
          <w:tcPr>
            <w:tcW w:w="2664" w:type="dxa"/>
            <w:shd w:val="clear" w:color="auto" w:fill="FFFFFF"/>
          </w:tcPr>
          <w:p w14:paraId="0EDFFB87" w14:textId="77777777" w:rsidR="00C06AB3" w:rsidRPr="00C06AB3" w:rsidRDefault="00C06AB3" w:rsidP="004762C3">
            <w:pPr>
              <w:spacing w:before="24" w:after="24"/>
              <w:jc w:val="right"/>
              <w:rPr>
                <w:rFonts w:ascii="Times New Roman" w:hAnsi="Times New Roman" w:cs="Times New Roman"/>
              </w:rPr>
            </w:pPr>
            <w:r>
              <w:rPr>
                <w:rFonts w:ascii="Times New Roman" w:hAnsi="Times New Roman"/>
                <w:sz w:val="14"/>
              </w:rPr>
              <w:t>1.55*** (1.40–1.71)</w:t>
            </w:r>
          </w:p>
        </w:tc>
        <w:tc>
          <w:tcPr>
            <w:tcW w:w="2664" w:type="dxa"/>
            <w:shd w:val="clear" w:color="auto" w:fill="FFFFFF"/>
          </w:tcPr>
          <w:p w14:paraId="41C12CBB" w14:textId="77777777" w:rsidR="00C06AB3" w:rsidRPr="00C06AB3" w:rsidRDefault="00C06AB3" w:rsidP="004762C3">
            <w:pPr>
              <w:spacing w:before="24" w:after="24"/>
              <w:jc w:val="right"/>
              <w:rPr>
                <w:rFonts w:ascii="Times New Roman" w:hAnsi="Times New Roman" w:cs="Times New Roman"/>
              </w:rPr>
            </w:pPr>
            <w:r>
              <w:rPr>
                <w:rFonts w:ascii="Times New Roman" w:hAnsi="Times New Roman"/>
                <w:sz w:val="14"/>
              </w:rPr>
              <w:t>1.35*** (1.20–1.52)</w:t>
            </w:r>
          </w:p>
        </w:tc>
      </w:tr>
      <w:tr w:rsidR="00C06AB3" w:rsidRPr="00C06AB3" w14:paraId="4D4F0324" w14:textId="77777777" w:rsidTr="004762C3">
        <w:trPr>
          <w:jc w:val="center"/>
        </w:trPr>
        <w:tc>
          <w:tcPr>
            <w:tcW w:w="3528" w:type="dxa"/>
            <w:shd w:val="clear" w:color="auto" w:fill="FFFFFF"/>
          </w:tcPr>
          <w:p w14:paraId="1A50E31B"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Student</w:t>
            </w:r>
          </w:p>
        </w:tc>
        <w:tc>
          <w:tcPr>
            <w:tcW w:w="2664" w:type="dxa"/>
            <w:shd w:val="clear" w:color="auto" w:fill="FFFFFF"/>
          </w:tcPr>
          <w:p w14:paraId="2C25505C"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1.48** (1.14–1.92)</w:t>
            </w:r>
          </w:p>
        </w:tc>
        <w:tc>
          <w:tcPr>
            <w:tcW w:w="2664" w:type="dxa"/>
            <w:shd w:val="clear" w:color="auto" w:fill="FFFFFF"/>
          </w:tcPr>
          <w:p w14:paraId="2E88B330"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1.37* (1.05–1.78)</w:t>
            </w:r>
          </w:p>
        </w:tc>
      </w:tr>
      <w:tr w:rsidR="00C06AB3" w:rsidRPr="00C06AB3" w14:paraId="67B5BB12" w14:textId="77777777" w:rsidTr="004762C3">
        <w:trPr>
          <w:jc w:val="center"/>
        </w:trPr>
        <w:tc>
          <w:tcPr>
            <w:tcW w:w="3528" w:type="dxa"/>
            <w:shd w:val="clear" w:color="auto" w:fill="FFFFFF"/>
          </w:tcPr>
          <w:p w14:paraId="6B385996"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Retired or other</w:t>
            </w:r>
          </w:p>
        </w:tc>
        <w:tc>
          <w:tcPr>
            <w:tcW w:w="2664" w:type="dxa"/>
            <w:shd w:val="clear" w:color="auto" w:fill="FFFFFF"/>
          </w:tcPr>
          <w:p w14:paraId="6BD1C3B4"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1.40*** (1.25–1.56)</w:t>
            </w:r>
          </w:p>
        </w:tc>
        <w:tc>
          <w:tcPr>
            <w:tcW w:w="2664" w:type="dxa"/>
            <w:shd w:val="clear" w:color="auto" w:fill="FFFFFF"/>
          </w:tcPr>
          <w:p w14:paraId="694DC61A"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1.28*** (1.14–1.44)</w:t>
            </w:r>
          </w:p>
        </w:tc>
      </w:tr>
      <w:tr w:rsidR="00C06AB3" w:rsidRPr="00C06AB3" w14:paraId="4D99F231" w14:textId="77777777" w:rsidTr="004762C3">
        <w:trPr>
          <w:jc w:val="center"/>
        </w:trPr>
        <w:tc>
          <w:tcPr>
            <w:tcW w:w="3528" w:type="dxa"/>
            <w:shd w:val="clear" w:color="auto" w:fill="FFFFFF"/>
          </w:tcPr>
          <w:p w14:paraId="41D68365"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b/>
                <w:color w:val="000000"/>
                <w:sz w:val="14"/>
              </w:rPr>
              <w:t>Housing tenure (reference: Own home)</w:t>
            </w:r>
          </w:p>
        </w:tc>
        <w:tc>
          <w:tcPr>
            <w:tcW w:w="2664" w:type="dxa"/>
            <w:shd w:val="clear" w:color="auto" w:fill="FFFFFF"/>
          </w:tcPr>
          <w:p w14:paraId="5D7B9C12" w14:textId="77777777" w:rsidR="00C06AB3" w:rsidRPr="00C06AB3" w:rsidRDefault="00C06AB3" w:rsidP="004762C3">
            <w:pPr>
              <w:spacing w:before="24" w:after="24"/>
              <w:jc w:val="right"/>
              <w:rPr>
                <w:rFonts w:ascii="Times New Roman" w:hAnsi="Times New Roman" w:cs="Times New Roman"/>
              </w:rPr>
            </w:pPr>
          </w:p>
        </w:tc>
        <w:tc>
          <w:tcPr>
            <w:tcW w:w="2664" w:type="dxa"/>
            <w:shd w:val="clear" w:color="auto" w:fill="FFFFFF"/>
          </w:tcPr>
          <w:p w14:paraId="6A1F4B55" w14:textId="77777777" w:rsidR="00C06AB3" w:rsidRPr="00C06AB3" w:rsidRDefault="00C06AB3" w:rsidP="004762C3">
            <w:pPr>
              <w:spacing w:before="24" w:after="24"/>
              <w:jc w:val="right"/>
              <w:rPr>
                <w:rFonts w:ascii="Times New Roman" w:hAnsi="Times New Roman" w:cs="Times New Roman"/>
              </w:rPr>
            </w:pPr>
          </w:p>
        </w:tc>
      </w:tr>
      <w:tr w:rsidR="00C06AB3" w:rsidRPr="00C06AB3" w14:paraId="09A88223" w14:textId="77777777" w:rsidTr="004762C3">
        <w:trPr>
          <w:jc w:val="center"/>
        </w:trPr>
        <w:tc>
          <w:tcPr>
            <w:tcW w:w="3528" w:type="dxa"/>
            <w:shd w:val="clear" w:color="auto" w:fill="FFFFFF"/>
          </w:tcPr>
          <w:p w14:paraId="25ED1460" w14:textId="77777777" w:rsidR="00C06AB3" w:rsidRPr="00C06AB3" w:rsidRDefault="00C06AB3" w:rsidP="004762C3">
            <w:pPr>
              <w:spacing w:before="24" w:after="24"/>
              <w:rPr>
                <w:rFonts w:ascii="Times New Roman" w:hAnsi="Times New Roman" w:cs="Times New Roman"/>
              </w:rPr>
            </w:pPr>
            <w:r w:rsidRPr="00C06AB3">
              <w:rPr>
                <w:rFonts w:ascii="Times New Roman" w:hAnsi="Times New Roman" w:cs="Times New Roman"/>
                <w:color w:val="000000"/>
                <w:sz w:val="14"/>
              </w:rPr>
              <w:t>Rent</w:t>
            </w:r>
          </w:p>
        </w:tc>
        <w:tc>
          <w:tcPr>
            <w:tcW w:w="2664" w:type="dxa"/>
            <w:shd w:val="clear" w:color="auto" w:fill="FFFFFF"/>
          </w:tcPr>
          <w:p w14:paraId="133360CC" w14:textId="77777777" w:rsidR="00C06AB3" w:rsidRPr="00C06AB3" w:rsidRDefault="00C06AB3" w:rsidP="004762C3">
            <w:pPr>
              <w:spacing w:before="24" w:after="24"/>
              <w:jc w:val="right"/>
              <w:rPr>
                <w:rFonts w:ascii="Times New Roman" w:hAnsi="Times New Roman" w:cs="Times New Roman"/>
              </w:rPr>
            </w:pPr>
            <w:r>
              <w:rPr>
                <w:rFonts w:ascii="Times New Roman" w:hAnsi="Times New Roman"/>
                <w:sz w:val="14"/>
              </w:rPr>
              <w:t>1.28*** (1.18–1.40)</w:t>
            </w:r>
          </w:p>
        </w:tc>
        <w:tc>
          <w:tcPr>
            <w:tcW w:w="2664" w:type="dxa"/>
            <w:shd w:val="clear" w:color="auto" w:fill="FFFFFF"/>
          </w:tcPr>
          <w:p w14:paraId="3515353F" w14:textId="77777777" w:rsidR="00C06AB3" w:rsidRPr="00C06AB3" w:rsidRDefault="00C06AB3" w:rsidP="004762C3">
            <w:pPr>
              <w:spacing w:before="24" w:after="24"/>
              <w:jc w:val="right"/>
              <w:rPr>
                <w:rFonts w:ascii="Times New Roman" w:hAnsi="Times New Roman" w:cs="Times New Roman"/>
              </w:rPr>
            </w:pPr>
            <w:r>
              <w:rPr>
                <w:rFonts w:ascii="Times New Roman" w:hAnsi="Times New Roman"/>
                <w:sz w:val="14"/>
              </w:rPr>
              <w:t>1.16** (1.05–1.28)</w:t>
            </w:r>
          </w:p>
        </w:tc>
      </w:tr>
      <w:tr w:rsidR="00C06AB3" w:rsidRPr="00C06AB3" w14:paraId="46FA8851" w14:textId="77777777" w:rsidTr="004762C3">
        <w:trPr>
          <w:jc w:val="center"/>
        </w:trPr>
        <w:tc>
          <w:tcPr>
            <w:tcW w:w="3528" w:type="dxa"/>
            <w:shd w:val="clear" w:color="auto" w:fill="FFFFFF"/>
          </w:tcPr>
          <w:p w14:paraId="209540CC"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color w:val="000000"/>
                <w:sz w:val="14"/>
              </w:rPr>
              <w:t>Other</w:t>
            </w:r>
          </w:p>
        </w:tc>
        <w:tc>
          <w:tcPr>
            <w:tcW w:w="2664" w:type="dxa"/>
            <w:shd w:val="clear" w:color="auto" w:fill="FFFFFF"/>
          </w:tcPr>
          <w:p w14:paraId="18E3A1E9"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1.13 (0.98–1.30)</w:t>
            </w:r>
          </w:p>
        </w:tc>
        <w:tc>
          <w:tcPr>
            <w:tcW w:w="2664" w:type="dxa"/>
            <w:shd w:val="clear" w:color="auto" w:fill="FFFFFF"/>
          </w:tcPr>
          <w:p w14:paraId="6FC72C47" w14:textId="77777777" w:rsidR="00C06AB3" w:rsidRPr="00C06AB3" w:rsidRDefault="00C06AB3" w:rsidP="004762C3">
            <w:pPr>
              <w:spacing w:before="24" w:after="24"/>
              <w:jc w:val="right"/>
              <w:rPr>
                <w:rFonts w:ascii="Times New Roman" w:hAnsi="Times New Roman" w:cs="Times New Roman"/>
              </w:rPr>
            </w:pPr>
            <w:r w:rsidRPr="00C06AB3">
              <w:rPr>
                <w:rFonts w:ascii="Times New Roman" w:hAnsi="Times New Roman" w:cs="Times New Roman"/>
                <w:color w:val="000000"/>
                <w:sz w:val="14"/>
              </w:rPr>
              <w:t>0.98 (0.84–1.14)</w:t>
            </w:r>
          </w:p>
        </w:tc>
      </w:tr>
      <w:tr w:rsidR="00C06AB3" w:rsidRPr="00C06AB3" w14:paraId="2572FE7C" w14:textId="77777777" w:rsidTr="004762C3">
        <w:trPr>
          <w:jc w:val="center"/>
        </w:trPr>
        <w:tc>
          <w:tcPr>
            <w:tcW w:w="3528" w:type="dxa"/>
            <w:shd w:val="clear" w:color="auto" w:fill="FFFFFF"/>
          </w:tcPr>
          <w:p w14:paraId="144C7441"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b/>
                <w:color w:val="000000"/>
                <w:sz w:val="14"/>
              </w:rPr>
              <w:t>Housing stability (reference: Stable)</w:t>
            </w:r>
          </w:p>
        </w:tc>
        <w:tc>
          <w:tcPr>
            <w:tcW w:w="2664" w:type="dxa"/>
            <w:shd w:val="clear" w:color="auto" w:fill="FFFFFF"/>
          </w:tcPr>
          <w:p w14:paraId="54149982" w14:textId="77777777" w:rsidR="00C06AB3" w:rsidRPr="00C06AB3" w:rsidRDefault="00C06AB3" w:rsidP="004762C3">
            <w:pPr>
              <w:spacing w:before="24" w:after="24"/>
              <w:jc w:val="right"/>
              <w:rPr>
                <w:rFonts w:ascii="Times New Roman" w:hAnsi="Times New Roman" w:cs="Times New Roman"/>
              </w:rPr>
            </w:pPr>
          </w:p>
        </w:tc>
        <w:tc>
          <w:tcPr>
            <w:tcW w:w="2664" w:type="dxa"/>
            <w:shd w:val="clear" w:color="auto" w:fill="FFFFFF"/>
          </w:tcPr>
          <w:p w14:paraId="3551FD66" w14:textId="77777777" w:rsidR="00C06AB3" w:rsidRPr="00C06AB3" w:rsidRDefault="00C06AB3" w:rsidP="004762C3">
            <w:pPr>
              <w:spacing w:before="24" w:after="24"/>
              <w:jc w:val="right"/>
              <w:rPr>
                <w:rFonts w:ascii="Times New Roman" w:hAnsi="Times New Roman" w:cs="Times New Roman"/>
              </w:rPr>
            </w:pPr>
          </w:p>
        </w:tc>
      </w:tr>
      <w:tr w:rsidR="00C06AB3" w:rsidRPr="00C06AB3" w14:paraId="41B3909B" w14:textId="77777777" w:rsidTr="004762C3">
        <w:trPr>
          <w:jc w:val="center"/>
        </w:trPr>
        <w:tc>
          <w:tcPr>
            <w:tcW w:w="3528" w:type="dxa"/>
            <w:shd w:val="clear" w:color="auto" w:fill="FFFFFF"/>
          </w:tcPr>
          <w:p w14:paraId="47999903" w14:textId="77777777" w:rsidR="00C06AB3" w:rsidRPr="00C06AB3" w:rsidRDefault="00C06AB3" w:rsidP="004762C3">
            <w:pPr>
              <w:spacing w:before="24" w:after="24"/>
              <w:rPr>
                <w:rFonts w:ascii="Times New Roman" w:hAnsi="Times New Roman" w:cs="Times New Roman"/>
              </w:rPr>
            </w:pPr>
            <w:r w:rsidRPr="00C06AB3">
              <w:rPr>
                <w:rFonts w:ascii="Times New Roman" w:hAnsi="Times New Roman" w:cs="Times New Roman"/>
                <w:color w:val="000000"/>
                <w:sz w:val="14"/>
              </w:rPr>
              <w:t>Unstable</w:t>
            </w:r>
          </w:p>
        </w:tc>
        <w:tc>
          <w:tcPr>
            <w:tcW w:w="2664" w:type="dxa"/>
            <w:shd w:val="clear" w:color="auto" w:fill="FFFFFF"/>
          </w:tcPr>
          <w:p w14:paraId="6A8FEA3E" w14:textId="77777777" w:rsidR="00C06AB3" w:rsidRPr="00C06AB3" w:rsidRDefault="00C06AB3" w:rsidP="004762C3">
            <w:pPr>
              <w:spacing w:before="24" w:after="24"/>
              <w:jc w:val="right"/>
              <w:rPr>
                <w:rFonts w:ascii="Times New Roman" w:hAnsi="Times New Roman" w:cs="Times New Roman"/>
              </w:rPr>
            </w:pPr>
            <w:r>
              <w:rPr>
                <w:rFonts w:ascii="Times New Roman" w:hAnsi="Times New Roman"/>
                <w:sz w:val="14"/>
              </w:rPr>
              <w:t>1.00 (0.91–1.10)</w:t>
            </w:r>
          </w:p>
        </w:tc>
        <w:tc>
          <w:tcPr>
            <w:tcW w:w="2664" w:type="dxa"/>
            <w:shd w:val="clear" w:color="auto" w:fill="FFFFFF"/>
          </w:tcPr>
          <w:p w14:paraId="2E1A4AC7" w14:textId="77777777" w:rsidR="00C06AB3" w:rsidRPr="00C06AB3" w:rsidRDefault="00C06AB3" w:rsidP="004762C3">
            <w:pPr>
              <w:spacing w:before="24" w:after="24"/>
              <w:jc w:val="right"/>
              <w:rPr>
                <w:rFonts w:ascii="Times New Roman" w:hAnsi="Times New Roman" w:cs="Times New Roman"/>
              </w:rPr>
            </w:pPr>
            <w:r>
              <w:rPr>
                <w:rFonts w:ascii="Times New Roman" w:hAnsi="Times New Roman"/>
                <w:sz w:val="14"/>
              </w:rPr>
              <w:t>0.91 (0.82–1.01)</w:t>
            </w:r>
          </w:p>
        </w:tc>
      </w:tr>
      <w:tr w:rsidR="00C06AB3" w:rsidRPr="00C06AB3" w14:paraId="6216C9A1" w14:textId="77777777" w:rsidTr="004762C3">
        <w:trPr>
          <w:jc w:val="center"/>
        </w:trPr>
        <w:tc>
          <w:tcPr>
            <w:tcW w:w="3528" w:type="dxa"/>
            <w:shd w:val="clear" w:color="auto" w:fill="FFFFFF"/>
          </w:tcPr>
          <w:p w14:paraId="20BF5BC2" w14:textId="77777777" w:rsidR="00C06AB3" w:rsidRPr="00C06AB3" w:rsidRDefault="00C06AB3" w:rsidP="004762C3">
            <w:pPr>
              <w:spacing w:before="24" w:after="24"/>
              <w:ind w:left="180"/>
              <w:rPr>
                <w:rFonts w:ascii="Times New Roman" w:hAnsi="Times New Roman" w:cs="Times New Roman"/>
              </w:rPr>
            </w:pPr>
            <w:r w:rsidRPr="00C06AB3">
              <w:rPr>
                <w:rFonts w:ascii="Times New Roman" w:hAnsi="Times New Roman" w:cs="Times New Roman"/>
                <w:b/>
                <w:color w:val="000000"/>
                <w:sz w:val="14"/>
              </w:rPr>
              <w:t>Disability (reference: No)</w:t>
            </w:r>
          </w:p>
        </w:tc>
        <w:tc>
          <w:tcPr>
            <w:tcW w:w="2664" w:type="dxa"/>
            <w:shd w:val="clear" w:color="auto" w:fill="FFFFFF"/>
          </w:tcPr>
          <w:p w14:paraId="682FE5F5" w14:textId="77777777" w:rsidR="00C06AB3" w:rsidRPr="00C06AB3" w:rsidRDefault="00C06AB3" w:rsidP="004762C3">
            <w:pPr>
              <w:spacing w:before="24" w:after="24"/>
              <w:jc w:val="right"/>
              <w:rPr>
                <w:rFonts w:ascii="Times New Roman" w:hAnsi="Times New Roman" w:cs="Times New Roman"/>
              </w:rPr>
            </w:pPr>
          </w:p>
        </w:tc>
        <w:tc>
          <w:tcPr>
            <w:tcW w:w="2664" w:type="dxa"/>
            <w:shd w:val="clear" w:color="auto" w:fill="FFFFFF"/>
          </w:tcPr>
          <w:p w14:paraId="1095E8F5" w14:textId="77777777" w:rsidR="00C06AB3" w:rsidRPr="00C06AB3" w:rsidRDefault="00C06AB3" w:rsidP="004762C3">
            <w:pPr>
              <w:spacing w:before="24" w:after="24"/>
              <w:jc w:val="right"/>
              <w:rPr>
                <w:rFonts w:ascii="Times New Roman" w:hAnsi="Times New Roman" w:cs="Times New Roman"/>
              </w:rPr>
            </w:pPr>
          </w:p>
        </w:tc>
      </w:tr>
      <w:tr w:rsidR="00C06AB3" w:rsidRPr="00C06AB3" w14:paraId="6BAF7722" w14:textId="77777777" w:rsidTr="004762C3">
        <w:trPr>
          <w:jc w:val="center"/>
        </w:trPr>
        <w:tc>
          <w:tcPr>
            <w:tcW w:w="3528" w:type="dxa"/>
            <w:shd w:val="clear" w:color="auto" w:fill="FFFFFF"/>
          </w:tcPr>
          <w:p w14:paraId="1F422265" w14:textId="77777777" w:rsidR="00C06AB3" w:rsidRPr="00C06AB3" w:rsidRDefault="00C06AB3" w:rsidP="004762C3">
            <w:pPr>
              <w:spacing w:before="24" w:after="24"/>
              <w:rPr>
                <w:rFonts w:ascii="Times New Roman" w:hAnsi="Times New Roman" w:cs="Times New Roman"/>
              </w:rPr>
            </w:pPr>
            <w:r w:rsidRPr="00C06AB3">
              <w:rPr>
                <w:rFonts w:ascii="Times New Roman" w:hAnsi="Times New Roman" w:cs="Times New Roman"/>
                <w:color w:val="000000"/>
                <w:sz w:val="14"/>
              </w:rPr>
              <w:t>Any disability</w:t>
            </w:r>
          </w:p>
        </w:tc>
        <w:tc>
          <w:tcPr>
            <w:tcW w:w="2664" w:type="dxa"/>
            <w:shd w:val="clear" w:color="auto" w:fill="FFFFFF"/>
          </w:tcPr>
          <w:p w14:paraId="472E4EAA" w14:textId="77777777" w:rsidR="00C06AB3" w:rsidRPr="00C06AB3" w:rsidRDefault="00C06AB3" w:rsidP="004762C3">
            <w:pPr>
              <w:spacing w:before="24" w:after="24"/>
              <w:jc w:val="right"/>
              <w:rPr>
                <w:rFonts w:ascii="Times New Roman" w:hAnsi="Times New Roman" w:cs="Times New Roman"/>
              </w:rPr>
            </w:pPr>
            <w:r>
              <w:rPr>
                <w:rFonts w:ascii="Times New Roman" w:hAnsi="Times New Roman"/>
                <w:sz w:val="14"/>
              </w:rPr>
              <w:t>1.02 (0.90–1.17)</w:t>
            </w:r>
          </w:p>
        </w:tc>
        <w:tc>
          <w:tcPr>
            <w:tcW w:w="2664" w:type="dxa"/>
            <w:shd w:val="clear" w:color="auto" w:fill="FFFFFF"/>
          </w:tcPr>
          <w:p w14:paraId="568C9EA8" w14:textId="77777777" w:rsidR="00C06AB3" w:rsidRPr="00C06AB3" w:rsidRDefault="00C06AB3" w:rsidP="004762C3">
            <w:pPr>
              <w:spacing w:before="24" w:after="24"/>
              <w:jc w:val="right"/>
              <w:rPr>
                <w:rFonts w:ascii="Times New Roman" w:hAnsi="Times New Roman" w:cs="Times New Roman"/>
              </w:rPr>
            </w:pPr>
            <w:r>
              <w:rPr>
                <w:rFonts w:ascii="Times New Roman" w:hAnsi="Times New Roman"/>
                <w:sz w:val="14"/>
              </w:rPr>
              <w:t>0.92 (0.81–1.06)</w:t>
            </w:r>
          </w:p>
        </w:tc>
      </w:tr>
    </w:tbl>
    <w:p w14:paraId="457A46F7" w14:textId="77777777" w:rsidR="00C06AB3" w:rsidRPr="00C06AB3" w:rsidRDefault="00C06AB3" w:rsidP="00C06AB3">
      <w:pPr>
        <w:spacing w:line="480" w:lineRule="auto"/>
        <w:rPr>
          <w:rFonts w:ascii="Times New Roman" w:hAnsi="Times New Roman" w:cs="Times New Roman"/>
        </w:rPr>
      </w:pPr>
      <w:r w:rsidRPr="00C06AB3">
        <w:rPr>
          <w:rFonts w:ascii="Times New Roman" w:hAnsi="Times New Roman" w:cs="Times New Roman"/>
          <w:sz w:val="13"/>
        </w:rPr>
        <w:t>*P &lt; 0.05; **P &lt; 0.01; ***P &lt; 0.001. One lower bound is shown to three decimals where rounding to two would obscure whether the interval excludes 1. Abbreviations: AOR, adjusted odds ratio; CI, confidence interval; GED, General Educational Development; SDoH, social determinants of health.</w:t>
      </w:r>
    </w:p>
    <w:p w14:paraId="7F01560E" w14:textId="77777777" w:rsidR="00841284" w:rsidRPr="00C06AB3" w:rsidRDefault="00D413D7" w:rsidP="00E3018C">
      <w:pPr>
        <w:pStyle w:val="Heading2"/>
        <w:rPr>
          <w:rFonts w:ascii="Times New Roman" w:hAnsi="Times New Roman" w:cs="Times New Roman"/>
        </w:rPr>
      </w:pPr>
      <w:r w:rsidRPr="00C06AB3">
        <w:rPr>
          <w:rFonts w:ascii="Times New Roman" w:hAnsi="Times New Roman" w:cs="Times New Roman"/>
        </w:rPr>
        <w:t xml:space="preserve">Mutually adjusted </w:t>
      </w:r>
      <w:proofErr w:type="spellStart"/>
      <w:r w:rsidRPr="00C06AB3">
        <w:rPr>
          <w:rFonts w:ascii="Times New Roman" w:hAnsi="Times New Roman" w:cs="Times New Roman"/>
        </w:rPr>
        <w:t>SDoH</w:t>
      </w:r>
      <w:proofErr w:type="spellEnd"/>
      <w:r w:rsidRPr="00C06AB3">
        <w:rPr>
          <w:rFonts w:ascii="Times New Roman" w:hAnsi="Times New Roman" w:cs="Times New Roman"/>
        </w:rPr>
        <w:t xml:space="preserve"> associations and Black-race coefficient attenuation</w:t>
      </w:r>
    </w:p>
    <w:p w14:paraId="714F5F9A"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Under mutual adjustment (Table 3), unemployment carried the largest social association (1.35, 1.20-1.52), followed by non-employment (1.28, 1.14-1.44), the two lowest income strata (&lt;$10,000, 1.21, 1.05-1.40; $10,000-24,999, 1.21, 1.05-1.38), Medicaid (1.19, 1.05-1.36), and renting (1.16, 1.05-1.28). Student status remained elevated (1.37, 1.05-1.78), and the two upper-middle income strata were elevated as well, so the gradient is not monotonic under mutual adjustment either (Table 3). Education below GED lost significance (1.06, 0.92-1.22, P = 0.42), indicating overlap with income and employment rather than a separate contribution. Disability (0.92, 0.81-1.06), housing instability (0.91, 0.82-1.01), and housing tenure recorded as other (0.98, 0.84-1.14) were not associated. Insurance no longer carried the largest social estimate: restricting the matching variables to pre-index records moved Medicaid from 1.33 to 1.19 while </w:t>
      </w:r>
      <w:r w:rsidRPr="000F6719">
        <w:rPr>
          <w:rFonts w:ascii="Times New Roman" w:eastAsia="Arial" w:hAnsi="Times New Roman" w:cs="Times New Roman"/>
        </w:rPr>
        <w:lastRenderedPageBreak/>
        <w:t>moving unemployment from 1.23 to 1.35, so the ordering among domains is not robust to how the propensity model is specified, even though which domains remain associated is.</w:t>
      </w:r>
    </w:p>
    <w:p w14:paraId="0D139534"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Including all six domains reduced the Black-race AOR from 2.39 (2.18-2.62) to 2.09 (1.89-2.31; eTable 11a), an attenuation of 15.1% on the log scale. Entering the domains one at a time shows that income accounts for 11.7 of those 15.1 percentage points, housing tenure 8.7 and insurance 6.2, while housing stability and disability account for none (eTable 11a). The association narrowed but did not resolve: Black participants retained roughly twice the odds of hospitalization. Individual-level socioeconomic factors, as measured by self-report and dominated by income, therefore capture only a fraction of the racial association, consistent with UK Biobank and integrated-care studies reporting similarly modest </w:t>
      </w:r>
      <w:proofErr w:type="gramStart"/>
      <w:r w:rsidRPr="000F6719">
        <w:rPr>
          <w:rFonts w:ascii="Times New Roman" w:eastAsia="Arial" w:hAnsi="Times New Roman" w:cs="Times New Roman"/>
        </w:rPr>
        <w:t>attenuation.[</w:t>
      </w:r>
      <w:proofErr w:type="gramEnd"/>
      <w:r w:rsidRPr="000F6719">
        <w:rPr>
          <w:rFonts w:ascii="Times New Roman" w:eastAsia="Arial" w:hAnsi="Times New Roman" w:cs="Times New Roman"/>
        </w:rPr>
        <w:t>33, 34]</w:t>
      </w:r>
    </w:p>
    <w:p w14:paraId="434FA1EA"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combined profile of Medicaid coverage, household income of $10,000-24,999, and renting carried 1.67-fold higher odds (1.40-1.99) than employer-insured homeowners in the reference income stratum; the equivalent product of the domain-specific odds ratios is 2.77. This is a within-stratum odds ratio, so absolute probabilities are not identified.</w:t>
      </w:r>
    </w:p>
    <w:p w14:paraId="6103666C"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Wave-stratified associations</w:t>
      </w:r>
    </w:p>
    <w:p w14:paraId="5A7D23F6"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lower-income association persisted across waves (Figure 5a; eTable 12). Income below $10,000 was elevated in every wave and highest during Omicron, when vaccines were available (values in the Figure 5 legend). The income-by-wave interaction was not significant (chi-square 17.77, 14 df, P = 0.22), so no difference across waves was detectable, and the design cannot test treatment-access mechanisms directly. Period-based work has reported income-related disparities persisting across variant transitions.[29]</w:t>
      </w:r>
    </w:p>
    <w:p w14:paraId="0DD96F55" w14:textId="77777777" w:rsidR="00E42FB3" w:rsidRPr="000F6719" w:rsidRDefault="000A5D01" w:rsidP="00E3018C">
      <w:pPr>
        <w:spacing w:after="120" w:line="480" w:lineRule="auto"/>
        <w:rPr>
          <w:rFonts w:ascii="Times New Roman" w:eastAsia="Arial" w:hAnsi="Times New Roman" w:cs="Times New Roman"/>
          <w:b/>
          <w:bCs/>
        </w:rPr>
      </w:pPr>
      <w:r>
        <w:rPr>
          <w:rFonts w:ascii="Times New Roman" w:eastAsia="Arial" w:hAnsi="Times New Roman" w:cs="Times New Roman" w:hint="eastAsia"/>
          <w:b/>
          <w:bCs/>
          <w:noProof/>
        </w:rPr>
        <w:lastRenderedPageBreak/>
        <w:drawing>
          <wp:inline distT="0" distB="0" distL="0" distR="0" wp14:anchorId="018BAF2D" wp14:editId="6DCE2040">
            <wp:extent cx="5943600" cy="2555748"/>
            <wp:effectExtent l="0" t="0" r="0" b="0"/>
            <wp:docPr id="591522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2689" name="Picture 5915226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55748"/>
                    </a:xfrm>
                    <a:prstGeom prst="rect">
                      <a:avLst/>
                    </a:prstGeom>
                  </pic:spPr>
                </pic:pic>
              </a:graphicData>
            </a:graphic>
          </wp:inline>
        </w:drawing>
      </w:r>
    </w:p>
    <w:p w14:paraId="6990D6FC" w14:textId="77777777" w:rsidR="00555E61" w:rsidRPr="000F6719" w:rsidRDefault="00555E61" w:rsidP="00E3018C">
      <w:pPr>
        <w:spacing w:after="120" w:line="480" w:lineRule="auto"/>
        <w:rPr>
          <w:rFonts w:ascii="Times New Roman" w:hAnsi="Times New Roman" w:cs="Times New Roman"/>
        </w:rPr>
      </w:pPr>
    </w:p>
    <w:p w14:paraId="749469D8" w14:textId="77777777" w:rsidR="00841284" w:rsidRPr="000F6719" w:rsidRDefault="00131340"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The Black-race association was 2.30 (2.01-2.64) pre-Delta, 2.24 (1.77-2.83) during Delta, and 1.78 (1.52-2.09) during Omicron (Figure 5b), and remained significant in all three. The omnibus race-by-wave interaction was not significant (chi-square 11.51, 6 df, P = 0.07); it is diluted by the Asian category, whose Delta estimate spans 0.14 to 1.65. The pre-specified contrast was significant: pre-Delta against Omicron for Black race, P = 0.017, while pre-Delta against Delta was not (P = 0.83). The association was therefore flat through Delta and narrower by Omicron. Insurance was the one exposure whose omnibus wave interaction reached significance (chi-square 23.58, 8 df, P = 0.003). Models fitted within each wave attenuate the Black-race estimate by 10.5% pre-Delta and 21.4% during Omicron but by -34.9% during Delta, where adjustment moved it away from the null; Delta holds the fewest strata and its within-wave estimates are correspondingly unstable, which is why the pooled model is primary (eTable 11b). Medicaid was elevated in every wave in the domain-specific models, but under within-wave mutual adjustment it was elevated only before Delta (1.52, 1.22-1.90; </w:t>
      </w:r>
      <w:proofErr w:type="spellStart"/>
      <w:r w:rsidRPr="000F6719">
        <w:rPr>
          <w:rFonts w:ascii="Times New Roman" w:eastAsia="Arial" w:hAnsi="Times New Roman" w:cs="Times New Roman"/>
        </w:rPr>
        <w:t>eTable</w:t>
      </w:r>
      <w:proofErr w:type="spellEnd"/>
      <w:r w:rsidRPr="000F6719">
        <w:rPr>
          <w:rFonts w:ascii="Times New Roman" w:eastAsia="Arial" w:hAnsi="Times New Roman" w:cs="Times New Roman"/>
        </w:rPr>
        <w:t xml:space="preserve"> 11c).</w:t>
      </w:r>
    </w:p>
    <w:p w14:paraId="7CAD7DAC"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Sensitivity analyses</w:t>
      </w:r>
    </w:p>
    <w:p w14:paraId="26BB3994"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lastRenderedPageBreak/>
        <w:t>Five sensitivity analyses are reported in eTable 13: restriction to inpatient-only cases, exclusion of controls with acute-care utilization, restriction to surveys completed before infection, removal of vaccination, and collapse of income to three levels. Unemployment carried the largest social estimate in all five (1.31-1.39) and renting remained associated throughout (1.12-1.20). Two estimates crossed the null: income below $10,000 when surveys completed after infection were excluded (1.16, 0.99-1.36, against 1.21 in the joint model) and Medicaid when cases were restricted to inpatient admissions (1.15, 0.999-1.32, against 1.19). Collapsing income to three levels gave 1.17 (1.04-1.31) below $35,000.</w:t>
      </w:r>
    </w:p>
    <w:p w14:paraId="779CB39C" w14:textId="77777777" w:rsidR="00841284" w:rsidRPr="000F6719" w:rsidRDefault="000A696E" w:rsidP="00E3018C">
      <w:pPr>
        <w:pStyle w:val="Heading2"/>
        <w:rPr>
          <w:rFonts w:ascii="Times New Roman" w:hAnsi="Times New Roman" w:cs="Times New Roman"/>
        </w:rPr>
      </w:pPr>
      <w:r w:rsidRPr="000F6719">
        <w:rPr>
          <w:rFonts w:ascii="Times New Roman" w:hAnsi="Times New Roman" w:cs="Times New Roman"/>
        </w:rPr>
        <w:t>Cross-cohort clinical-model comparison</w:t>
      </w:r>
    </w:p>
    <w:p w14:paraId="51A36780" w14:textId="77777777" w:rsidR="00841284" w:rsidRPr="000F6719" w:rsidRDefault="00A865D0" w:rsidP="00E3018C">
      <w:pPr>
        <w:spacing w:after="120" w:line="480" w:lineRule="auto"/>
        <w:rPr>
          <w:rFonts w:ascii="Times New Roman" w:hAnsi="Times New Roman" w:cs="Times New Roman"/>
        </w:rPr>
      </w:pPr>
      <w:r w:rsidRPr="000F6719">
        <w:rPr>
          <w:rFonts w:ascii="Times New Roman" w:eastAsia="Arial" w:hAnsi="Times New Roman" w:cs="Times New Roman"/>
        </w:rPr>
        <w:t>In MarketScan (637,679 matched observations; 127,696 cases; Table 1), female sex (AOR 0.75, 95% CI 0.74-0.76), recorded vaccination (0.50, 0.49-0.52), and the age gradient (2.52, 2.16-2.93 at 65 or over) were directionally concordant with All of Us, and comorbidity associations were larger, led by severe renal disease (3.31, 3.11-3.53) and metastatic solid tumor (2.63, 2.48-2.79). Of the 26 estimates comparable across cohorts, 21 agreed in direction and five did not: peripheral vascular disease, chronic pulmonary disease, peptic ulcer disease, mild liver disease, and AIDS (eTable 9). Agreement in direction is a weak criterion, and the Omicron row shows why: All of Us gives 1.00 (0.92-1.09) against 0.73 (0.70-0.76) and counts as agreement only because the point estimate falls four decimal places below 1.0. Read substantively, odds during Omicron were unchanged from the pre-Delta period in All of Us and clearly lower in MarketScan.</w:t>
      </w:r>
    </w:p>
    <w:p w14:paraId="04C66EB3" w14:textId="77777777" w:rsidR="00841284" w:rsidRPr="000F6719" w:rsidRDefault="00A865D0"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Restricting the matching variables to the pre-index period changed the claims cohort far more than it changed All of Us. Coverage span was nearly balanced between cases and controls when measured across the whole enrollment record (median 1,094 against 1,154 days; standardized mean difference -0.14) and clearly imbalanced in the same participants when truncated at the </w:t>
      </w:r>
      <w:r w:rsidRPr="000F6719">
        <w:rPr>
          <w:rFonts w:ascii="Times New Roman" w:eastAsia="Arial" w:hAnsi="Times New Roman" w:cs="Times New Roman"/>
        </w:rPr>
        <w:lastRenderedPageBreak/>
        <w:t>index date (382 against 469 days; -0.30), so matching had little to do before the correction and real work to do after it (eTable 8). Nine of the 19 Charlson conditions had carried significant inverse associations in MarketScan; none is inverse in the corrected model and seven now carry significantly elevated odds. Case comorbidity counts are almost unchanged while control prevalences fall by a fifth to a third (Table 1), because the matched controls no longer carry the longer pre-index observation windows over which they had accumulated diagnosis codes. In All of Us the same restriction moved the two inverse estimates about a third of the way toward the null without reversing them, and the affected matching variable moved much less (0.49 to 0.41) - so four of the five cross-cohort disagreements are exactly the estimates that stayed inverse there.</w:t>
      </w:r>
    </w:p>
    <w:p w14:paraId="4B916A4C" w14:textId="77777777" w:rsidR="00841284" w:rsidRPr="000F6719" w:rsidRDefault="00841284" w:rsidP="00E3018C">
      <w:pPr>
        <w:spacing w:line="480" w:lineRule="auto"/>
        <w:rPr>
          <w:rFonts w:ascii="Times New Roman" w:hAnsi="Times New Roman" w:cs="Times New Roman"/>
        </w:rPr>
      </w:pPr>
    </w:p>
    <w:p w14:paraId="24A7B1F7"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DISCUSSION</w:t>
      </w:r>
    </w:p>
    <w:p w14:paraId="506307BA" w14:textId="77777777" w:rsidR="00585117" w:rsidRPr="000F6719" w:rsidRDefault="008A2FA1"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Prior work in these data sources identified individual risk factors. Choi et al. found an income gradient in All of Us and no education association, and did not test employment or housing;[11] in N3C, Bennett et al. found Black race and obesity independently associated with severity,[35] and Vaidya et al. used EHR-coded fields.[16] Gupta et al.'s composite All of Us deprivation index collapses insurance, income, employment, and housing into a single score, which cannot separate them.[36] We reproduce the low-income and residual Black-race associations and add independent employment, insurance, and housing associations that few-variable and composite approaches did not surface.</w:t>
      </w:r>
    </w:p>
    <w:p w14:paraId="022C50DA" w14:textId="77777777" w:rsidR="00841284" w:rsidRPr="000F6719" w:rsidRDefault="0053094D"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 xml:space="preserve">The two models answer complementary questions. A domain-specific estimate is the association a domain carries when it is the only social factor in the model; the mutually adjusted estimate is what remains once the others are included. Neither supersedes the other, and the difference </w:t>
      </w:r>
      <w:r w:rsidRPr="000F6719">
        <w:rPr>
          <w:rFonts w:ascii="Times New Roman" w:eastAsia="Arial" w:hAnsi="Times New Roman" w:cs="Times New Roman"/>
        </w:rPr>
        <w:lastRenderedPageBreak/>
        <w:t>between them is itself a finding: education below GED is elevated alone and null once income and employment enter the same model (Figure 4). Matching on encounter density rather than on clinical characteristics is what makes these within-stratum associations interpretable in EHR-derived data.[17]</w:t>
      </w:r>
    </w:p>
    <w:p w14:paraId="79266C58"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What persists and what attenuates</w:t>
      </w:r>
    </w:p>
    <w:p w14:paraId="5217722B"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In the joint model, unemployment, the two lowest income strata, Medicaid coverage, and renting retained independent associations, and unemployment carried the largest of them. The Medicaid finding is consistent with cohort evidence that insurance type is associated with COVID-19 hospitalization beyond underlying health conditions,[38] and insurance likely functions as both a poverty marker and an access-barrier marker; separating those requires designs beyond what case-control data can provide.[39] The renter association is consistent with housing tenure tracking crowding, shared facilities, and reduced ability to isolate, and with the state-level increases in COVID-19 incidence observed after eviction moratoria expired.[40] Education below GED attenuated to 1.06 (0.92-1.22) once economic variables entered, matching Choi et al.'s null education finding.[11]</w:t>
      </w:r>
    </w:p>
    <w:p w14:paraId="6883B250"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 xml:space="preserve">The Black-race association: what </w:t>
      </w:r>
      <w:proofErr w:type="spellStart"/>
      <w:r w:rsidRPr="000F6719">
        <w:rPr>
          <w:rFonts w:ascii="Times New Roman" w:hAnsi="Times New Roman" w:cs="Times New Roman"/>
        </w:rPr>
        <w:t>SDoH</w:t>
      </w:r>
      <w:proofErr w:type="spellEnd"/>
      <w:r w:rsidRPr="000F6719">
        <w:rPr>
          <w:rFonts w:ascii="Times New Roman" w:hAnsi="Times New Roman" w:cs="Times New Roman"/>
        </w:rPr>
        <w:t xml:space="preserve"> adjustment does and does not capture</w:t>
      </w:r>
    </w:p>
    <w:p w14:paraId="1F5C86F9"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After adjustment for six individual-level social domains, Black participants retained roughly twice the odds of hospitalization (AOR 2.09, 1.89-2.31), and the decomposition shows the adjustment is carried almost entirely by income. Interpreting a residual race coefficient requires care: the socioeconomic variables adjusted for are themselves shaped by structural disadvantage, and residual confounding from imperfectly measured socioeconomic position tends to bias such coefficients toward appearing independent.[41, 42] Because the odds ratio is non-collapsible, </w:t>
      </w:r>
      <w:r w:rsidRPr="000F6719">
        <w:rPr>
          <w:rFonts w:ascii="Times New Roman" w:eastAsia="Arial" w:hAnsi="Times New Roman" w:cs="Times New Roman"/>
        </w:rPr>
        <w:lastRenderedPageBreak/>
        <w:t>part of the observed change on adjustment may reflect scale properties rather than confounding or mediation, so the attenuation estimates indicate direction and approximate magnitude rather than precise explained fractions.[43]</w:t>
      </w:r>
    </w:p>
    <w:p w14:paraId="3BB2C51D"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This overall attenuation masks a temporal shift, and the interaction tests locate it precisely. The Black-race association was flat from pre-Delta to Delta (P = 0.83) and narrower by Omicron (P = 0.017), while the omnibus test across all race categories did not reach significance (P = 0.07). Early in the pandemic, structural factors beyond the reach of individual measures - residential segregation, essential-worker exposure, differential testing access - may have contributed more; as those exposures equalized, the residual association narrowed. Insurance was the only exposure with a significant omnibus wave interaction (P = 0.003), and income had none (P = 0.22), so the wave-varying element of this study is which insurance a patient held, not how poor they were.</w:t>
      </w:r>
    </w:p>
    <w:p w14:paraId="5440CE63"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Income persistence through Omicron and clinical implications</w:t>
      </w:r>
    </w:p>
    <w:p w14:paraId="553A9889"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During Omicron, participants with household income below $10,000 still had 1.64-fold higher hospitalization odds despite available vaccines. In an 11.2-million-person Ontario cohort, income inequalities in COVID-19 death likewise persisted, and inequality in vaccination coverage accounted for 56.9% (95% CI 22.5-91.3) of the income inequality in later-wave deaths,[30] so countermeasure availability did not translate into equitable uptake. The Medicaid association, by contrast, was not significant in the joint model in either Delta or Omicron once income and housing entered, suggesting insurance type was less of an independent predictor than the economic conditions it tracks. Barriers to testing, prescriptions, paid sick leave, and isolation space may contribute to the residual income association, though the design cannot test access mechanisms directly.</w:t>
      </w:r>
    </w:p>
    <w:p w14:paraId="43FAA12D"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lastRenderedPageBreak/>
        <w:t>Insurance and income are recorded in many intake workflows, so they are among the social factors most readily available to a health system.[3] Whether recording them would improve a screening decision is a prediction question this design does not address. Because the domains overlap, their combined association is smaller than the domain-specific estimates suggest: the combined profile carried 1.67-fold higher odds (1.40-1.99), and screening on any single social indicator would therefore overstate individual risk while missing how much the domains share.</w:t>
      </w:r>
    </w:p>
    <w:p w14:paraId="01061A49" w14:textId="77777777" w:rsidR="00841284" w:rsidRPr="000F6719" w:rsidRDefault="00D413D7" w:rsidP="00E3018C">
      <w:pPr>
        <w:pStyle w:val="Heading2"/>
        <w:rPr>
          <w:rFonts w:ascii="Times New Roman" w:hAnsi="Times New Roman" w:cs="Times New Roman"/>
        </w:rPr>
      </w:pPr>
      <w:r w:rsidRPr="000F6719">
        <w:rPr>
          <w:rFonts w:ascii="Times New Roman" w:hAnsi="Times New Roman" w:cs="Times New Roman"/>
        </w:rPr>
        <w:t>The measurement case: why survey-linked EHR matters</w:t>
      </w:r>
    </w:p>
    <w:p w14:paraId="622B1B50" w14:textId="77777777" w:rsidR="00841284" w:rsidRPr="000F6719" w:rsidRDefault="006E4F17" w:rsidP="00E3018C">
      <w:pPr>
        <w:spacing w:after="120" w:line="480" w:lineRule="auto"/>
        <w:rPr>
          <w:rFonts w:ascii="Times New Roman" w:hAnsi="Times New Roman" w:cs="Times New Roman"/>
        </w:rPr>
      </w:pPr>
      <w:r w:rsidRPr="000F6719">
        <w:rPr>
          <w:rFonts w:ascii="Times New Roman" w:eastAsia="Arial" w:hAnsi="Times New Roman" w:cs="Times New Roman"/>
        </w:rPr>
        <w:t>The All of Us survey measured socioeconomic risk at a level of detail routine structured EHR data does not reach: patient surveys detect it in 8-41% of patients against 0-2% in EHR-coded fields,[15] and Z-code documentation across 2.7 billion US encounters ranged from 0.5% to 2.4%.[44] Two of our results depend on that difference. Education below GED loses significance once income and employment enter the same model, and decomposing the Black-race association requires all six domains measured in the same participants. Neither is recoverable from social risk documented in fewer than 2% of encounters.[45]</w:t>
      </w:r>
    </w:p>
    <w:p w14:paraId="2AC3C021" w14:textId="77777777" w:rsidR="00841284" w:rsidRPr="000F6719" w:rsidRDefault="000A696E" w:rsidP="00E3018C">
      <w:pPr>
        <w:pStyle w:val="Heading2"/>
        <w:rPr>
          <w:rFonts w:ascii="Times New Roman" w:hAnsi="Times New Roman" w:cs="Times New Roman"/>
        </w:rPr>
      </w:pPr>
      <w:r w:rsidRPr="000F6719">
        <w:rPr>
          <w:rFonts w:ascii="Times New Roman" w:hAnsi="Times New Roman" w:cs="Times New Roman"/>
        </w:rPr>
        <w:t>Cross-cohort comparison</w:t>
      </w:r>
    </w:p>
    <w:p w14:paraId="32AE7ECA" w14:textId="77777777" w:rsidR="00841284" w:rsidRPr="000F6719" w:rsidRDefault="007C163B"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The MarketScan analysis is a descriptive cross-cohort comparison of clinical and demographic covariates, not external validation of the SDoH findings.[32] Sex, vaccination, and the age gradient were directionally concordant, and renal and cardiac risk factors replicated with larger effect sizes. The comparison also served a methodological purpose. Inverse comorbidity associations under encounter-density matching are not one phenomenon but two: in claims they were an artifact of measuring a matching variable across the whole enrollment record, and correcting it removed them entirely, whereas in All of Us the same correction left two standing. </w:t>
      </w:r>
      <w:r w:rsidRPr="000F6719">
        <w:rPr>
          <w:rFonts w:ascii="Times New Roman" w:eastAsia="Arial" w:hAnsi="Times New Roman" w:cs="Times New Roman"/>
        </w:rPr>
        <w:lastRenderedPageBreak/>
        <w:t>A matching variable contaminated by post-index observation can reverse the sign of every affected clinical coefficient, and the contamination is invisible in the diagnostics normally used to defend a matched design: post-matching balance was satisfactory both before and after the correction. Evaluating SDoH associations across populations requires individual-level social measures, which commercial claims do not provide.</w:t>
      </w:r>
    </w:p>
    <w:p w14:paraId="6B42EC30"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This study has limitations. All of Us is a volunteer cohort that oversampled populations underrepresented in biomedical research, which strengthens power for minority subgroup analyses but limits generalizability.[46] The disability domain was least complete because the ACS-6 items were added on November 10, 2020, and vaccination capture was incomplete. SDoH were measured a median of 692 days before infection, so pandemic-era changes in income or employment are not captured. Matching required a record dated before the index date (eTable 8), and that exclusion is informative if having no pre-index record is itself related to social position. Matching on encounter density reduces but may not eliminate informative presence bias,[17] and the strict phenotype may not fully separate COVID-related admissions from admissions with incidental positivity. Because diagnosis count may lie on the SDoH-to-hospitalization causal pathway, our estimates are conservative within-stratum associations rather than total causal effects, and because matching used replacement the 15,523 control observations come from 9,784 distinct participants (eTable 10). Income was missing for 26.5% of cases and 19.0% of controls, so its indicator carries case-control as well as social information and should not be read as a social exposure.</w:t>
      </w:r>
    </w:p>
    <w:p w14:paraId="016BE15B" w14:textId="77777777" w:rsidR="00841284" w:rsidRPr="000F6719" w:rsidRDefault="00841284" w:rsidP="00E3018C">
      <w:pPr>
        <w:spacing w:line="480" w:lineRule="auto"/>
        <w:rPr>
          <w:rFonts w:ascii="Times New Roman" w:hAnsi="Times New Roman" w:cs="Times New Roman"/>
        </w:rPr>
      </w:pPr>
    </w:p>
    <w:p w14:paraId="22B11389"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CONCLUSION</w:t>
      </w:r>
    </w:p>
    <w:p w14:paraId="7E474070"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lastRenderedPageBreak/>
        <w:t>In this matched All of Us cohort, Medicaid coverage, unemployment, renting, and the two lowest income strata were independently associated with COVID-19 hospitalization after clinical adjustment; two upper-middle income strata were also elevated, so the income association was not monotonic. The Black-race association narrowed by the Omicron period while SDoH-associated coefficient attenuation rose between the pre-Delta and Delta waves, although the waves were not compared formally. Income associations persisted through Omicron despite available vaccines. Interpretation of these associations depends on survey timing and on overlap among the social domains.</w:t>
      </w:r>
    </w:p>
    <w:p w14:paraId="0E8013F2" w14:textId="77777777" w:rsidR="00841284" w:rsidRPr="000F6719" w:rsidRDefault="00841284" w:rsidP="00E3018C">
      <w:pPr>
        <w:spacing w:line="480" w:lineRule="auto"/>
        <w:rPr>
          <w:rFonts w:ascii="Times New Roman" w:hAnsi="Times New Roman" w:cs="Times New Roman"/>
        </w:rPr>
      </w:pPr>
    </w:p>
    <w:p w14:paraId="6289E163"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ACKNOWLEDGMENTS</w:t>
      </w:r>
    </w:p>
    <w:p w14:paraId="5E986ED3"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All of Us Research Program was supported by the National Institutes of Health, Office of the Director: Regional Medical Centers: 1 OT2 OD026549; 1 OT2 OD026554; 1 OT2 OD026557; 1 OT2 OD026556; 1 OT2 OD026550; 1 OT2 OD026552; 1 OT2 OD026553; 1 OT2 OD026548; 1 OT2 OD026551; 1 OT2 OD026555; IAA #: AOD 16037; Federally Qualified Health Centers: HHSN 263201600085U; Data and Research Center: 5 U2C OD023196; Biobank: 1 U24 OD023121; The Participant Center: U24 OD023176; Participant Technology Systems Center: 1 U24 OD023163; Communications and Engagement: 3 OT2 OD023205; 3 OT2 OD023206; and Community Partners: 1 OT2 OD025277; 3 OT2 OD025315; 1 OT2 OD025337; 1 OT2 OD025276. The All of Us Research Program would not be possible without the partnership of its participants.</w:t>
      </w:r>
      <w:r>
        <w:rPr>
          <w:rFonts w:ascii="Times New Roman" w:hAnsi="Times New Roman"/>
          <w:b w:val="0"/>
          <w:highlight w:val="yellow"/>
        </w:rPr>
        <w:t xml:space="preserve">  [AI USE STATEMENT — TO BE COMPLETED BY THE AUTHORS: state whether generative AI was used to generate content or images, write code, process data, or translate, and how. JAMIA requires this disclosure in the cover letter AND in Methods or Acknowledgements — two places, not one.]</w:t>
      </w:r>
    </w:p>
    <w:p w14:paraId="18E08905" w14:textId="77777777" w:rsidR="00841284" w:rsidRPr="000F6719" w:rsidRDefault="00841284" w:rsidP="00E3018C">
      <w:pPr>
        <w:spacing w:line="480" w:lineRule="auto"/>
        <w:rPr>
          <w:rFonts w:ascii="Times New Roman" w:hAnsi="Times New Roman" w:cs="Times New Roman"/>
        </w:rPr>
      </w:pPr>
    </w:p>
    <w:p w14:paraId="78F53BA9"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lastRenderedPageBreak/>
        <w:t>AUTHOR CONTRIBUTIONS</w:t>
      </w:r>
    </w:p>
    <w:p w14:paraId="72FEC118"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Haining Wang: conceptualization, methodology, formal analysis, investigation, data curation, software, validation, visualization, writing – original draft, writing – review and editing. Yihan Zhang: data curation, writing – review and editing. Chenxi Xiong: data curation, writing – review and editing. Zhao Zhang: writing – review and editing. </w:t>
      </w:r>
      <w:proofErr w:type="spellStart"/>
      <w:r w:rsidRPr="000F6719">
        <w:rPr>
          <w:rFonts w:ascii="Times New Roman" w:eastAsia="Arial" w:hAnsi="Times New Roman" w:cs="Times New Roman"/>
        </w:rPr>
        <w:t>Jiangqiong</w:t>
      </w:r>
      <w:proofErr w:type="spellEnd"/>
      <w:r w:rsidRPr="000F6719">
        <w:rPr>
          <w:rFonts w:ascii="Times New Roman" w:eastAsia="Arial" w:hAnsi="Times New Roman" w:cs="Times New Roman"/>
        </w:rPr>
        <w:t xml:space="preserve"> Li: writing – review and editing. Hengyi Fu: conceptualization, writing – review and editing. Xiaojun Yuan: conceptualization, writing – review and editing. </w:t>
      </w:r>
      <w:proofErr w:type="spellStart"/>
      <w:r w:rsidRPr="000F6719">
        <w:rPr>
          <w:rFonts w:ascii="Times New Roman" w:eastAsia="Arial" w:hAnsi="Times New Roman" w:cs="Times New Roman"/>
        </w:rPr>
        <w:t>Xiaochun</w:t>
      </w:r>
      <w:proofErr w:type="spellEnd"/>
      <w:r w:rsidRPr="000F6719">
        <w:rPr>
          <w:rFonts w:ascii="Times New Roman" w:eastAsia="Arial" w:hAnsi="Times New Roman" w:cs="Times New Roman"/>
        </w:rPr>
        <w:t xml:space="preserve"> Li: methodology, writing – review and editing. Jing Su: conceptualization, methodology, supervision, funding acquisition, validation, writing – review and editing.</w:t>
      </w:r>
      <w:r>
        <w:rPr>
          <w:rFonts w:ascii="Times New Roman" w:hAnsi="Times New Roman"/>
          <w:b w:val="0"/>
          <w:highlight w:val="yellow"/>
        </w:rPr>
        <w:t xml:space="preserve">  [TO DO AT SUBMISSION: the same CRediT roles must be selected per author in the ScholarOne form. The statement above does not satisfy that requirement.]</w:t>
      </w:r>
    </w:p>
    <w:p w14:paraId="3242BBEB" w14:textId="77777777" w:rsidR="00841284" w:rsidRPr="000F6719" w:rsidRDefault="00841284" w:rsidP="00E3018C">
      <w:pPr>
        <w:spacing w:line="480" w:lineRule="auto"/>
        <w:rPr>
          <w:rFonts w:ascii="Times New Roman" w:hAnsi="Times New Roman" w:cs="Times New Roman"/>
        </w:rPr>
      </w:pPr>
    </w:p>
    <w:p w14:paraId="452FE623"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FUNDING</w:t>
      </w:r>
    </w:p>
    <w:p w14:paraId="599C964B"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This work was supported partially by the National Library of Medicine of the National Institutes of Health (R01LM013771). It was also supported by the Indiana University Precision Health Initiative and the Indiana University Melvin and Bren Simon Comprehensive Cancer Center Support Grant from the National Cancer Institute (P30CA082709). The content is solely the responsibility of the authors and does not necessarily represent the official views of the sponsors.</w:t>
      </w:r>
      <w:r>
        <w:rPr>
          <w:rFonts w:ascii="Times New Roman" w:hAnsi="Times New Roman"/>
          <w:b w:val="0"/>
          <w:highlight w:val="yellow"/>
        </w:rPr>
        <w:t xml:space="preserve">  [TO CONFIRM: which grants Jing Su wants listed here, and register each in the Crossref Funding Data step during submission — naming funders in the form is required separately.]</w:t>
      </w:r>
    </w:p>
    <w:p w14:paraId="673EA352" w14:textId="77777777" w:rsidR="00841284" w:rsidRPr="000F6719" w:rsidRDefault="00841284" w:rsidP="00E3018C">
      <w:pPr>
        <w:spacing w:line="480" w:lineRule="auto"/>
        <w:rPr>
          <w:rFonts w:ascii="Times New Roman" w:hAnsi="Times New Roman" w:cs="Times New Roman"/>
        </w:rPr>
      </w:pPr>
    </w:p>
    <w:p w14:paraId="690C6617"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CONFLICTS OF INTEREST</w:t>
      </w:r>
    </w:p>
    <w:p w14:paraId="1BB57060"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authors have no conflict of interest to disclose.</w:t>
      </w:r>
    </w:p>
    <w:p w14:paraId="1AA4DB8F" w14:textId="77777777" w:rsidR="00841284" w:rsidRPr="000F6719" w:rsidRDefault="00841284" w:rsidP="00E3018C">
      <w:pPr>
        <w:spacing w:line="480" w:lineRule="auto"/>
        <w:rPr>
          <w:rFonts w:ascii="Times New Roman" w:hAnsi="Times New Roman" w:cs="Times New Roman"/>
        </w:rPr>
      </w:pPr>
    </w:p>
    <w:p w14:paraId="4187B7C5"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lastRenderedPageBreak/>
        <w:t>ETHICS AND DATA USE</w:t>
      </w:r>
    </w:p>
    <w:p w14:paraId="0EA1CA99" w14:textId="77777777"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 xml:space="preserve">The All of Us Research Program holds Institutional Review Board approval for its protocol, and all participants gave written informed consent for the collection and sharing of their data. This analysis used de-identified Controlled Tier data (Curated Data Repository version 7) inside the All of Us Researcher Workbench. Every author who accessed the data holds current Controlled Tier authorization and completed the required training, and the work was done in a registered workspace under the All of Us Data Use and Registration Agreement and the Data User Code of Conduct. MarketScan data were analyzed in de-identified form under </w:t>
      </w:r>
      <w:proofErr w:type="spellStart"/>
      <w:r w:rsidRPr="000F6719">
        <w:rPr>
          <w:rFonts w:ascii="Times New Roman" w:eastAsia="Arial" w:hAnsi="Times New Roman" w:cs="Times New Roman"/>
        </w:rPr>
        <w:t>licence</w:t>
      </w:r>
      <w:proofErr w:type="spellEnd"/>
      <w:r w:rsidRPr="000F6719">
        <w:rPr>
          <w:rFonts w:ascii="Times New Roman" w:eastAsia="Arial" w:hAnsi="Times New Roman" w:cs="Times New Roman"/>
        </w:rPr>
        <w:t xml:space="preserve"> from </w:t>
      </w:r>
      <w:proofErr w:type="spellStart"/>
      <w:r w:rsidRPr="000F6719">
        <w:rPr>
          <w:rFonts w:ascii="Times New Roman" w:eastAsia="Arial" w:hAnsi="Times New Roman" w:cs="Times New Roman"/>
        </w:rPr>
        <w:t>Merative</w:t>
      </w:r>
      <w:proofErr w:type="spellEnd"/>
      <w:r w:rsidRPr="000F6719">
        <w:rPr>
          <w:rFonts w:ascii="Times New Roman" w:eastAsia="Arial" w:hAnsi="Times New Roman" w:cs="Times New Roman"/>
        </w:rPr>
        <w:t>.</w:t>
      </w:r>
    </w:p>
    <w:p w14:paraId="6FE614BD" w14:textId="77777777" w:rsidR="00841284" w:rsidRPr="000F6719" w:rsidRDefault="00D413D7" w:rsidP="00E3018C">
      <w:pPr>
        <w:pStyle w:val="Heading1"/>
        <w:rPr>
          <w:rFonts w:ascii="Times New Roman" w:hAnsi="Times New Roman" w:cs="Times New Roman"/>
        </w:rPr>
      </w:pPr>
      <w:r w:rsidRPr="000F6719">
        <w:rPr>
          <w:rFonts w:ascii="Times New Roman" w:hAnsi="Times New Roman" w:cs="Times New Roman"/>
        </w:rPr>
        <w:t>DATA AVAILABILITY</w:t>
      </w:r>
    </w:p>
    <w:p w14:paraId="68B68999" w14:textId="77777777"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 xml:space="preserve">All data and codes are available at All of Us Research Workbench for users authorized to access All of Us Controlled Tier Data v7. MarketScan data are available under license from </w:t>
      </w:r>
      <w:proofErr w:type="spellStart"/>
      <w:r w:rsidRPr="000F6719">
        <w:rPr>
          <w:rFonts w:ascii="Times New Roman" w:eastAsia="Arial" w:hAnsi="Times New Roman" w:cs="Times New Roman"/>
        </w:rPr>
        <w:t>Merative</w:t>
      </w:r>
      <w:proofErr w:type="spellEnd"/>
      <w:r w:rsidRPr="000F6719">
        <w:rPr>
          <w:rFonts w:ascii="Times New Roman" w:eastAsia="Arial" w:hAnsi="Times New Roman" w:cs="Times New Roman"/>
        </w:rPr>
        <w:t xml:space="preserve">. Codes for reproducing the analysis are available at </w:t>
      </w:r>
      <w:hyperlink r:id="rId13" w:history="1">
        <w:r w:rsidRPr="000F6719">
          <w:rPr>
            <w:rStyle w:val="Hyperlink"/>
            <w:rFonts w:ascii="Times New Roman" w:eastAsia="Arial" w:hAnsi="Times New Roman" w:cs="Times New Roman"/>
          </w:rPr>
          <w:t>https://github.com/Su-informatics-lab/aou_covid</w:t>
        </w:r>
      </w:hyperlink>
      <w:r w:rsidRPr="000F6719">
        <w:rPr>
          <w:rFonts w:ascii="Times New Roman" w:eastAsia="Arial" w:hAnsi="Times New Roman" w:cs="Times New Roman"/>
        </w:rPr>
        <w:t>.</w:t>
      </w:r>
    </w:p>
    <w:p w14:paraId="3DC9A4D9" w14:textId="77777777" w:rsidR="00C4769D" w:rsidRPr="000F6719" w:rsidRDefault="00C4769D" w:rsidP="00E3018C">
      <w:pPr>
        <w:spacing w:after="120" w:line="480" w:lineRule="auto"/>
        <w:rPr>
          <w:rFonts w:ascii="Times New Roman" w:hAnsi="Times New Roman" w:cs="Times New Roman"/>
        </w:rPr>
      </w:pPr>
    </w:p>
    <w:p w14:paraId="7BC5F2BE" w14:textId="77777777" w:rsidR="00C4769D" w:rsidRPr="000F6719" w:rsidRDefault="00C4769D" w:rsidP="00E3018C">
      <w:pPr>
        <w:spacing w:line="480" w:lineRule="auto"/>
        <w:rPr>
          <w:rFonts w:ascii="Times New Roman" w:hAnsi="Times New Roman" w:cs="Times New Roman"/>
        </w:rPr>
      </w:pPr>
      <w:r w:rsidRPr="000F6719">
        <w:rPr>
          <w:rFonts w:ascii="Times New Roman" w:hAnsi="Times New Roman" w:cs="Times New Roman"/>
        </w:rPr>
        <w:br w:type="page"/>
      </w:r>
    </w:p>
    <w:p w14:paraId="73FE6206" w14:textId="77777777" w:rsidR="00C4769D" w:rsidRPr="000F6719" w:rsidRDefault="00C4769D" w:rsidP="00E3018C">
      <w:pPr>
        <w:pStyle w:val="Heading1"/>
        <w:rPr>
          <w:rFonts w:ascii="Times New Roman" w:hAnsi="Times New Roman" w:cs="Times New Roman"/>
        </w:rPr>
      </w:pPr>
      <w:r w:rsidRPr="000F6719">
        <w:rPr>
          <w:rFonts w:ascii="Times New Roman" w:hAnsi="Times New Roman" w:cs="Times New Roman"/>
        </w:rPr>
        <w:lastRenderedPageBreak/>
        <w:t>REFERENCES</w:t>
      </w:r>
    </w:p>
    <w:p w14:paraId="01037BE4" w14:textId="77777777" w:rsidR="009A7915" w:rsidRPr="000F6719" w:rsidRDefault="00D6314F" w:rsidP="009A7915">
      <w:pPr>
        <w:pStyle w:val="EndNoteBibliography"/>
        <w:spacing w:line="480" w:lineRule="auto"/>
        <w:ind w:left="720" w:hanging="720"/>
        <w:rPr>
          <w:rFonts w:ascii="Times New Roman" w:hAnsi="Times New Roman" w:cs="Times New Roman"/>
          <w:noProof/>
        </w:rPr>
      </w:pPr>
      <w:r w:rsidRPr="000F6719">
        <w:rPr>
          <w:rFonts w:ascii="Times New Roman" w:eastAsia="Arial" w:hAnsi="Times New Roman" w:cs="Times New Roman"/>
        </w:rPr>
        <w:t>1. World Health Organization. Social determinants of health: progress of the World report on social determinants of health equity. Report by the Director-General. Document EB154/21. Geneva: World Health Organization, 2023.</w:t>
      </w:r>
    </w:p>
    <w:p w14:paraId="7DB4891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 Global Preparedness Monitoring Board. A Fragile State of Preparedness: 2023 Report on the State of the World's Preparedness. Geneva: World Health Organization, 2023.</w:t>
      </w:r>
    </w:p>
    <w:p w14:paraId="11FCC241"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 Hoven H, Dragano N, Angerer P, et al. Striving for Health Equity: The Importance of Social Determinants of Health and Ethical Considerations in Pandemic Preparedness Planning. Int J Public Health 2022;</w:t>
      </w:r>
      <w:r w:rsidRPr="000F6719">
        <w:rPr>
          <w:rFonts w:ascii="Times New Roman" w:hAnsi="Times New Roman" w:cs="Times New Roman"/>
          <w:noProof/>
        </w:rPr>
        <w:t>67</w:t>
      </w:r>
      <w:r w:rsidRPr="000F6719">
        <w:rPr>
          <w:rFonts w:ascii="Times New Roman" w:hAnsi="Times New Roman" w:cs="Times New Roman"/>
          <w:noProof/>
        </w:rPr>
        <w:t>:1604542 doi: 10.3389/ijph.2022.1604542 [published Online First: 20220405].</w:t>
      </w:r>
    </w:p>
    <w:p w14:paraId="28B4F6C8"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 Acosta AM, Garg S, Pham H, et al. Racial and Ethnic Disparities in Rates of COVID-19-Associated Hospitalization, Intensive Care Unit Admission, and In-Hospital Death in the United States From March 2020 to February 2021. JAMA Netw Open 2021;</w:t>
      </w:r>
      <w:r w:rsidRPr="000F6719">
        <w:rPr>
          <w:rFonts w:ascii="Times New Roman" w:hAnsi="Times New Roman" w:cs="Times New Roman"/>
          <w:noProof/>
        </w:rPr>
        <w:t>4</w:t>
      </w:r>
      <w:r w:rsidRPr="000F6719">
        <w:rPr>
          <w:rFonts w:ascii="Times New Roman" w:hAnsi="Times New Roman" w:cs="Times New Roman"/>
          <w:noProof/>
        </w:rPr>
        <w:t>(10):e2130479 doi: 10.1001/jamanetworkopen.2021.30479 [published Online First: 20211001].</w:t>
      </w:r>
    </w:p>
    <w:p w14:paraId="416C0EDA"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5. Romano SD, Blackstock AJ, Taylor EV, et al. Trends in Racial and Ethnic Disparities in COVID-19 Hospitalizations, by Region - United States, March-December 2020. MMWR Morb Mortal Wkly Rep 2021;</w:t>
      </w:r>
      <w:r w:rsidRPr="000F6719">
        <w:rPr>
          <w:rFonts w:ascii="Times New Roman" w:hAnsi="Times New Roman" w:cs="Times New Roman"/>
          <w:noProof/>
        </w:rPr>
        <w:t>70</w:t>
      </w:r>
      <w:r w:rsidRPr="000F6719">
        <w:rPr>
          <w:rFonts w:ascii="Times New Roman" w:hAnsi="Times New Roman" w:cs="Times New Roman"/>
          <w:noProof/>
        </w:rPr>
        <w:t>(15):560–65 doi: 10.15585/mmwr.mm7015e2 [published Online First: 20210416].</w:t>
      </w:r>
    </w:p>
    <w:p w14:paraId="6982A3E0"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6. Mude W, Oguoma VM, Nyanhanda T, et al. Racial disparities in COVID-19 pandemic cases, hospitalisations, and deaths: A systematic review and meta-analysis. J Glob Health 2021;11:05015 doi: 10.7189/jogh.11.05015 [published Online First: 20210626].</w:t>
      </w:r>
    </w:p>
    <w:p w14:paraId="53D5AAA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lastRenderedPageBreak/>
        <w:t>7. Karmakar M, Lantz PM, Tipirneni R. Association of Social and Demographic Factors With COVID-19 Incidence and Death Rates in the US. JAMA Netw Open 2021;</w:t>
      </w:r>
      <w:r w:rsidRPr="000F6719">
        <w:rPr>
          <w:rFonts w:ascii="Times New Roman" w:hAnsi="Times New Roman" w:cs="Times New Roman"/>
          <w:noProof/>
        </w:rPr>
        <w:t>4</w:t>
      </w:r>
      <w:r w:rsidRPr="000F6719">
        <w:rPr>
          <w:rFonts w:ascii="Times New Roman" w:hAnsi="Times New Roman" w:cs="Times New Roman"/>
          <w:noProof/>
        </w:rPr>
        <w:t>(1):e2036462 doi: 10.1001/jamanetworkopen.2020.36462 [published Online First: 20210104].</w:t>
      </w:r>
    </w:p>
    <w:p w14:paraId="4701BB0A"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8. Goyal P, Schenck E, Wu Y, et al. Influence of social deprivation index on in-hospital outcomes of COVID-19. Sci Rep 2023;</w:t>
      </w:r>
      <w:r w:rsidRPr="000F6719">
        <w:rPr>
          <w:rFonts w:ascii="Times New Roman" w:hAnsi="Times New Roman" w:cs="Times New Roman"/>
          <w:noProof/>
        </w:rPr>
        <w:t>13</w:t>
      </w:r>
      <w:r w:rsidRPr="000F6719">
        <w:rPr>
          <w:rFonts w:ascii="Times New Roman" w:hAnsi="Times New Roman" w:cs="Times New Roman"/>
          <w:noProof/>
        </w:rPr>
        <w:t>(1):1746 doi: 10.1038/s41598-023-28362-0 [published Online First: 20230131].</w:t>
      </w:r>
    </w:p>
    <w:p w14:paraId="287142B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9. Brown EM, Franklin SM, Ryan JL, et al. Assessing Area-Level Deprivation as a Proxy for Individual-Level Social Risks. Am J Prev Med 2023;</w:t>
      </w:r>
      <w:r w:rsidRPr="000F6719">
        <w:rPr>
          <w:rFonts w:ascii="Times New Roman" w:hAnsi="Times New Roman" w:cs="Times New Roman"/>
          <w:noProof/>
        </w:rPr>
        <w:t>65</w:t>
      </w:r>
      <w:r w:rsidRPr="000F6719">
        <w:rPr>
          <w:rFonts w:ascii="Times New Roman" w:hAnsi="Times New Roman" w:cs="Times New Roman"/>
          <w:noProof/>
        </w:rPr>
        <w:t>(6):1163–71 doi: 10.1016/j.amepre.2023.06.006 [published Online First: 20230610].</w:t>
      </w:r>
    </w:p>
    <w:p w14:paraId="1C18C597"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10. Bensken WP, McGrath BM, Gold R, et al. Area-level social determinants of health and individual-level social risks: Assessing predictive ability and biases in social risk screening. J Clin Transl Sci 2023;7(1):e257 doi: 10.1017/cts.2023.680 [published Online First: 20231110].</w:t>
      </w:r>
    </w:p>
    <w:p w14:paraId="7D60EF4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11. Choi A, Craver A, Luo J, et al. Socioeconomic status and risk of COVID-19 hospitalization in the All of Us Research Program. Front Public Health 2025;13:1690430 doi: 10.3389/fpubh.2025.1690430 [published Online First: 20251210].</w:t>
      </w:r>
    </w:p>
    <w:p w14:paraId="0AC90E5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12. Sharafeldin N, Bates B, Song Q, et al. Outcomes of COVID-19 in Patients With Cancer: Report From the National COVID Cohort Collaborative (N3C). J Clin Oncol 2021;</w:t>
      </w:r>
      <w:r w:rsidRPr="000F6719">
        <w:rPr>
          <w:rFonts w:ascii="Times New Roman" w:hAnsi="Times New Roman" w:cs="Times New Roman"/>
          <w:noProof/>
        </w:rPr>
        <w:t>39</w:t>
      </w:r>
      <w:r w:rsidRPr="000F6719">
        <w:rPr>
          <w:rFonts w:ascii="Times New Roman" w:hAnsi="Times New Roman" w:cs="Times New Roman"/>
          <w:noProof/>
        </w:rPr>
        <w:t>(20):2232–46 doi: 10.1200/jco.21.01074 [published Online First: 20210604].</w:t>
      </w:r>
    </w:p>
    <w:p w14:paraId="5E386125"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13. Song Q, Bates B, Shao YR, et al. Risk and Outcome of Breakthrough COVID-19 Infections in Vaccinated Patients With Cancer: Real-World Evidence From the National COVID Cohort Collaborative. J Clin Oncol 2022;</w:t>
      </w:r>
      <w:r w:rsidRPr="000F6719">
        <w:rPr>
          <w:rFonts w:ascii="Times New Roman" w:hAnsi="Times New Roman" w:cs="Times New Roman"/>
          <w:noProof/>
        </w:rPr>
        <w:t>40</w:t>
      </w:r>
      <w:r w:rsidRPr="000F6719">
        <w:rPr>
          <w:rFonts w:ascii="Times New Roman" w:hAnsi="Times New Roman" w:cs="Times New Roman"/>
          <w:noProof/>
        </w:rPr>
        <w:t>(13):1414–27 doi: 10.1200/jco.21.02419 [published Online First: 20220314].</w:t>
      </w:r>
    </w:p>
    <w:p w14:paraId="33F3A91A"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lastRenderedPageBreak/>
        <w:t>14. Aswani MS, Do LA, Shafer PR. Use Of Social Determinants Of Health Z Codes Was Sparse, 2016-22. Health Aff (Millwood) 2025;</w:t>
      </w:r>
      <w:r w:rsidRPr="000F6719">
        <w:rPr>
          <w:rFonts w:ascii="Times New Roman" w:hAnsi="Times New Roman" w:cs="Times New Roman"/>
          <w:noProof/>
        </w:rPr>
        <w:t>44</w:t>
      </w:r>
      <w:r w:rsidRPr="000F6719">
        <w:rPr>
          <w:rFonts w:ascii="Times New Roman" w:hAnsi="Times New Roman" w:cs="Times New Roman"/>
          <w:noProof/>
        </w:rPr>
        <w:t>(5):631–35 doi: 10.1377/hlthaff.2024.01033.</w:t>
      </w:r>
    </w:p>
    <w:p w14:paraId="25AB0A10"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15. Iott BE, Rivas S, Gottlieb LM, et al. Structured and unstructured social risk factor documentation in the electronic health record underestimates patients' self-reported risks. J Am Med Inform Assoc 2024;31(3):714–19 doi: 10.1093/jamia/ocad261.</w:t>
      </w:r>
    </w:p>
    <w:p w14:paraId="2DADC375"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16. Vaidya D, Wilkins KJ, Hurwitz E, et al. Assessing associations between individual-level social determinants of health and COVID-19 hospitalizations: Investigating racial/ethnic disparities among people living with human immunodeficiency virus (HIV) in the U.S. National COVID Cohort Collaborative (N3C). J Clin Transl Sci 2024;</w:t>
      </w:r>
      <w:r w:rsidRPr="000F6719">
        <w:rPr>
          <w:rFonts w:ascii="Times New Roman" w:hAnsi="Times New Roman" w:cs="Times New Roman"/>
          <w:noProof/>
        </w:rPr>
        <w:t>8</w:t>
      </w:r>
      <w:r w:rsidRPr="000F6719">
        <w:rPr>
          <w:rFonts w:ascii="Times New Roman" w:hAnsi="Times New Roman" w:cs="Times New Roman"/>
          <w:noProof/>
        </w:rPr>
        <w:t>(1):e107 doi: 10.1017/cts.2024.550 [published Online First: 20240521].</w:t>
      </w:r>
    </w:p>
    <w:p w14:paraId="7E30297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17. McGee G, Haneuse S, Coull BA, et al. On the Nature of Informative Presence Bias in Analyses of Electronic Health Records. Epidemiology 2022;33(1):105–13 doi: 10.1097/ede.0000000000001432.</w:t>
      </w:r>
    </w:p>
    <w:p w14:paraId="18B3520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18. Gatz AE, Xiong C, Chen Y, et al. Health disparities in the risk of severe acidosis: real-world evidence from the All of Us cohort. J Am Med Inform Assoc 2024;</w:t>
      </w:r>
      <w:r w:rsidRPr="000F6719">
        <w:rPr>
          <w:rFonts w:ascii="Times New Roman" w:hAnsi="Times New Roman" w:cs="Times New Roman"/>
          <w:noProof/>
        </w:rPr>
        <w:t>31</w:t>
      </w:r>
      <w:r w:rsidRPr="000F6719">
        <w:rPr>
          <w:rFonts w:ascii="Times New Roman" w:hAnsi="Times New Roman" w:cs="Times New Roman"/>
          <w:noProof/>
        </w:rPr>
        <w:t>(12):2932–39 doi: 10.1093/jamia/ocae256.</w:t>
      </w:r>
    </w:p>
    <w:p w14:paraId="325FDA2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19. Denny JC, Rutter JL, Goldstein DB, et al. The "All of Us" Research Program. N Engl J Med 2019;</w:t>
      </w:r>
      <w:r w:rsidRPr="000F6719">
        <w:rPr>
          <w:rFonts w:ascii="Times New Roman" w:hAnsi="Times New Roman" w:cs="Times New Roman"/>
          <w:noProof/>
        </w:rPr>
        <w:t>381</w:t>
      </w:r>
      <w:r w:rsidRPr="000F6719">
        <w:rPr>
          <w:rFonts w:ascii="Times New Roman" w:hAnsi="Times New Roman" w:cs="Times New Roman"/>
          <w:noProof/>
        </w:rPr>
        <w:t>(7):668–76 doi: 10.1056/NEJMsr1809937.</w:t>
      </w:r>
    </w:p>
    <w:p w14:paraId="2240AF5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20. Mapes BM, Foster CS, Kusnoor SV, et al. Diversity and inclusion for the All of Us research program: A scoping review. PLoS One 2020;</w:t>
      </w:r>
      <w:r w:rsidRPr="000F6719">
        <w:rPr>
          <w:rFonts w:ascii="Times New Roman" w:hAnsi="Times New Roman" w:cs="Times New Roman"/>
          <w:noProof/>
        </w:rPr>
        <w:t>15</w:t>
      </w:r>
      <w:r w:rsidRPr="000F6719">
        <w:rPr>
          <w:rFonts w:ascii="Times New Roman" w:hAnsi="Times New Roman" w:cs="Times New Roman"/>
          <w:noProof/>
        </w:rPr>
        <w:t>(7):e0234962 doi: 10.1371/journal.pone.0234962 [published Online First: 20200701].</w:t>
      </w:r>
    </w:p>
    <w:p w14:paraId="26932D51"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lastRenderedPageBreak/>
        <w:t>21. Tesfaye S, Cronin RM, Lopez-Class M, et al. Measuring social determinants of health in the All of Us Research Program. Sci Rep 2024;</w:t>
      </w:r>
      <w:r w:rsidRPr="000F6719">
        <w:rPr>
          <w:rFonts w:ascii="Times New Roman" w:hAnsi="Times New Roman" w:cs="Times New Roman"/>
          <w:noProof/>
        </w:rPr>
        <w:t>14</w:t>
      </w:r>
      <w:r w:rsidRPr="000F6719">
        <w:rPr>
          <w:rFonts w:ascii="Times New Roman" w:hAnsi="Times New Roman" w:cs="Times New Roman"/>
          <w:noProof/>
        </w:rPr>
        <w:t>(1):8815 doi: 10.1038/s41598-024-57410-6 [published Online First: 20240416].</w:t>
      </w:r>
    </w:p>
    <w:p w14:paraId="773E434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22. Ho D, Imai K, King G, et al. MatchIt: Nonparametric Preprocessing for Parametric Causal Inference. Journal of Statistical Software 2011;42(8):1 – 28 doi: 10.18637/jss.v042.i08.</w:t>
      </w:r>
    </w:p>
    <w:p w14:paraId="2AA90119"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23. Austin PC. Optimal caliper widths for propensity-score matching when estimating differences in means and differences in proportions in observational studies. Pharm Stat 2011;10(2):150–61 doi: 10.1002/pst.433.</w:t>
      </w:r>
    </w:p>
    <w:p w14:paraId="309BD601"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24. Goldstein BA, Bhavsar NA, Phelan M, et al. Controlling for Informed Presence Bias Due to the Number of Health Encounters in an Electronic Health Record. Am J Epidemiol 2016;184(11):847–55 doi: 10.1093/aje/kww112 [published Online First: 20161116].</w:t>
      </w:r>
    </w:p>
    <w:p w14:paraId="656DA77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25. Harton J, Mitra N, Hubbard RA. Informative presence bias in analyses of electronic health records-derived data: a cautionary note. J Am Med Inform Assoc 2022;</w:t>
      </w:r>
      <w:r w:rsidRPr="000F6719">
        <w:rPr>
          <w:rFonts w:ascii="Times New Roman" w:hAnsi="Times New Roman" w:cs="Times New Roman"/>
          <w:noProof/>
        </w:rPr>
        <w:t>29</w:t>
      </w:r>
      <w:r w:rsidRPr="000F6719">
        <w:rPr>
          <w:rFonts w:ascii="Times New Roman" w:hAnsi="Times New Roman" w:cs="Times New Roman"/>
          <w:noProof/>
        </w:rPr>
        <w:t>(7):1191–99 doi: 10.1093/jamia/ocac050.</w:t>
      </w:r>
    </w:p>
    <w:p w14:paraId="3ABFA9C0"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26. Centers for Disease Control and Prevention. COVID-19-Associated Hospitalization Surveillance Network (COVID-NET). Atlanta, GA: CDC. https://www.cdc.gov/covid/php/covid-net/index.html (accessed 1 Sep 2026).</w:t>
      </w:r>
    </w:p>
    <w:p w14:paraId="65DFF2D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27. Glasheen WP, Cordier T, Gumpina R, et al. Charlson Comorbidity Index: ICD-9 Update and ICD-10 Translation. Am Health Drug Benefits 2019;12(4):188–97.</w:t>
      </w:r>
    </w:p>
    <w:p w14:paraId="5B73A52D"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28. Austin PC, Cafri G. Variance estimation when using propensity-score matching with replacement with survival or time-to-event outcomes. Stat Med 2020;</w:t>
      </w:r>
      <w:r w:rsidRPr="000F6719">
        <w:rPr>
          <w:rFonts w:ascii="Times New Roman" w:hAnsi="Times New Roman" w:cs="Times New Roman"/>
          <w:noProof/>
        </w:rPr>
        <w:t>39</w:t>
      </w:r>
      <w:r w:rsidRPr="000F6719">
        <w:rPr>
          <w:rFonts w:ascii="Times New Roman" w:hAnsi="Times New Roman" w:cs="Times New Roman"/>
          <w:noProof/>
        </w:rPr>
        <w:t>(11):1623–40 doi: 10.1002/sim.8502 [published Online First: 20200228].</w:t>
      </w:r>
    </w:p>
    <w:p w14:paraId="7E949A57"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lastRenderedPageBreak/>
        <w:t>29. Harrigan SP, Fibke CD, Velásquez García HA, et al. The mediating role of SARS-CoV-2 variants between income and hospitalization due to COVID-19: a period-based mediation analysis. Am J Epidemiol 2025;</w:t>
      </w:r>
      <w:r w:rsidRPr="000F6719">
        <w:rPr>
          <w:rFonts w:ascii="Times New Roman" w:hAnsi="Times New Roman" w:cs="Times New Roman"/>
          <w:noProof/>
        </w:rPr>
        <w:t>194</w:t>
      </w:r>
      <w:r w:rsidRPr="000F6719">
        <w:rPr>
          <w:rFonts w:ascii="Times New Roman" w:hAnsi="Times New Roman" w:cs="Times New Roman"/>
          <w:noProof/>
        </w:rPr>
        <w:t>(5):1352–61 doi: 10.1093/aje/kwae266.</w:t>
      </w:r>
    </w:p>
    <w:p w14:paraId="25F20A7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30. Wang L, Swayze S, Bodner K, et al. Social inequalities in COVID-19 death by area-level income in 11.2 million people in Ontario, Canada: patterns over time and the mediating role of vaccination. American Journal of Epidemiology 2026;</w:t>
      </w:r>
      <w:r w:rsidRPr="000F6719">
        <w:rPr>
          <w:rFonts w:ascii="Times New Roman" w:hAnsi="Times New Roman" w:cs="Times New Roman"/>
          <w:noProof/>
        </w:rPr>
        <w:t>195</w:t>
      </w:r>
      <w:r w:rsidRPr="000F6719">
        <w:rPr>
          <w:rFonts w:ascii="Times New Roman" w:hAnsi="Times New Roman" w:cs="Times New Roman"/>
          <w:noProof/>
        </w:rPr>
        <w:t>(2):379–90 doi: 10.1093/aje/kwaf051.</w:t>
      </w:r>
    </w:p>
    <w:p w14:paraId="51896C99"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31. Maldonado G, Greenland S. Simulation study of confounder-selection strategies. Am J Epidemiol 1993;</w:t>
      </w:r>
      <w:r w:rsidRPr="000F6719">
        <w:rPr>
          <w:rFonts w:ascii="Times New Roman" w:hAnsi="Times New Roman" w:cs="Times New Roman"/>
          <w:noProof/>
        </w:rPr>
        <w:t>138</w:t>
      </w:r>
      <w:r w:rsidRPr="000F6719">
        <w:rPr>
          <w:rFonts w:ascii="Times New Roman" w:hAnsi="Times New Roman" w:cs="Times New Roman"/>
          <w:noProof/>
        </w:rPr>
        <w:t>(11):923–36 doi: 10.1093/oxfordjournals.aje.a116813.</w:t>
      </w:r>
    </w:p>
    <w:p w14:paraId="201807D8"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32. Degtiar I, Rose S. A Review of Generalizability and Transportability. Annual Review of Statistics and Its Application 2023;</w:t>
      </w:r>
      <w:r w:rsidRPr="000F6719">
        <w:rPr>
          <w:rFonts w:ascii="Times New Roman" w:hAnsi="Times New Roman" w:cs="Times New Roman"/>
          <w:noProof/>
        </w:rPr>
        <w:t>10</w:t>
      </w:r>
      <w:r w:rsidRPr="000F6719">
        <w:rPr>
          <w:rFonts w:ascii="Times New Roman" w:hAnsi="Times New Roman" w:cs="Times New Roman"/>
          <w:noProof/>
        </w:rPr>
        <w:t>:501–24 doi: 10.1146/annurev-statistics-042522-103837.</w:t>
      </w:r>
    </w:p>
    <w:p w14:paraId="54F1B04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33. Patel AP, Paranjpe MD, Kathiresan NP, et al. Race, socioeconomic deprivation, and hospitalization for COVID-19 in English participants of a national biobank. Int J Equity Health 2020;19(1):114 doi: 10.1186/s12939-020-01227-y [published Online First: 20200706].</w:t>
      </w:r>
    </w:p>
    <w:p w14:paraId="57046038"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34. Harding JL, Doucet N, Patel SA, et al. The Association Between Black vs. White Race and 30-Day Hospitalization Among People Diagnosed with COVID-19 Within an Integrated Care Setting: a Cohort Study. J Racial Ethn Health Disparities 2025;</w:t>
      </w:r>
      <w:r w:rsidRPr="000F6719">
        <w:rPr>
          <w:rFonts w:ascii="Times New Roman" w:hAnsi="Times New Roman" w:cs="Times New Roman"/>
          <w:noProof/>
        </w:rPr>
        <w:t>12</w:t>
      </w:r>
      <w:r w:rsidRPr="000F6719">
        <w:rPr>
          <w:rFonts w:ascii="Times New Roman" w:hAnsi="Times New Roman" w:cs="Times New Roman"/>
          <w:noProof/>
        </w:rPr>
        <w:t>(1):543–53 doi: 10.1007/s40615-023-01894-x [published Online First: 20231218].</w:t>
      </w:r>
    </w:p>
    <w:p w14:paraId="5DEC28AC"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 xml:space="preserve">35. Bennett TD, Moffitt RA, Hajagos JG, et al. Clinical Characterization and Prediction of Clinical Severity of SARS-CoV-2 Infection Among US Adults Using Data From the US </w:t>
      </w:r>
      <w:r w:rsidRPr="000F6719">
        <w:rPr>
          <w:rFonts w:ascii="Times New Roman" w:hAnsi="Times New Roman" w:cs="Times New Roman"/>
          <w:noProof/>
        </w:rPr>
        <w:lastRenderedPageBreak/>
        <w:t>National COVID Cohort Collaborative. JAMA Netw Open 2021;</w:t>
      </w:r>
      <w:r w:rsidRPr="000F6719">
        <w:rPr>
          <w:rFonts w:ascii="Times New Roman" w:hAnsi="Times New Roman" w:cs="Times New Roman"/>
          <w:noProof/>
        </w:rPr>
        <w:t>4</w:t>
      </w:r>
      <w:r w:rsidRPr="000F6719">
        <w:rPr>
          <w:rFonts w:ascii="Times New Roman" w:hAnsi="Times New Roman" w:cs="Times New Roman"/>
          <w:noProof/>
        </w:rPr>
        <w:t>(7):e2116901 doi: 10.1001/jamanetworkopen.2021.16901 [published Online First: 20210701].</w:t>
      </w:r>
    </w:p>
    <w:p w14:paraId="47E130A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36. Gupta S, Lam V, Jordan IK, et al. A composite socioeconomic deprivation index from All of Us survey data: associations with health outcomes and disparities. Preprint. medRxiv 2024 doi: 10.1101/2024.10.04.24314904.</w:t>
      </w:r>
    </w:p>
    <w:p w14:paraId="2513DB79"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37. Ardekani A, Fereidooni R, Heydari ST, et al. The association of patient-reported social determinants of health and hospitalization rate: A scoping review. Health Sci Rep 2023;6(2):e1124 doi: 10.1002/hsr2.1124 [published Online First: 20230222].</w:t>
      </w:r>
    </w:p>
    <w:p w14:paraId="05D766E9"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38. McConnell KH, Hajat A, Sack C, et al. Associations Between Insurance, Race and Ethnicity, and COVID-19 Hospitalization, Beyond Underlying Health Conditions: A Retrospective Cohort Study. AJPM Focus 2023;2(3):100120 doi: 10.1016/j.focus.2023.100120 [published Online First: 20230612].</w:t>
      </w:r>
    </w:p>
    <w:p w14:paraId="3393A3B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39. Figueroa JF, Khorrami P, Bhanja A, et al. COVID-19-Related Insurance Coverage Changes and Disparities in Access to Care Among Low-Income US Adults in 4 Southern States. JAMA Health Forum 2021;2(8):e212007 doi: 10.1001/jamahealthforum.2021.2007 [published Online First: 20210813].</w:t>
      </w:r>
    </w:p>
    <w:p w14:paraId="41FD016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40. Leifheit KM, Linton SL, Raifman J, et al. Expiring Eviction Moratoriums and COVID-19 Incidence and Mortality. Am J Epidemiol 2021;</w:t>
      </w:r>
      <w:r w:rsidRPr="000F6719">
        <w:rPr>
          <w:rFonts w:ascii="Times New Roman" w:hAnsi="Times New Roman" w:cs="Times New Roman"/>
          <w:noProof/>
        </w:rPr>
        <w:t>190</w:t>
      </w:r>
      <w:r w:rsidRPr="000F6719">
        <w:rPr>
          <w:rFonts w:ascii="Times New Roman" w:hAnsi="Times New Roman" w:cs="Times New Roman"/>
          <w:noProof/>
        </w:rPr>
        <w:t>(12):2503–10 doi: 10.1093/aje/kwab196.</w:t>
      </w:r>
    </w:p>
    <w:p w14:paraId="222C407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41. VanderWeele TJ, Robinson WR. On the causal interpretation of race in regressions adjusting for confounding and mediating variables. Epidemiology 2014;</w:t>
      </w:r>
      <w:r w:rsidRPr="000F6719">
        <w:rPr>
          <w:rFonts w:ascii="Times New Roman" w:hAnsi="Times New Roman" w:cs="Times New Roman"/>
          <w:noProof/>
        </w:rPr>
        <w:t>25</w:t>
      </w:r>
      <w:r w:rsidRPr="000F6719">
        <w:rPr>
          <w:rFonts w:ascii="Times New Roman" w:hAnsi="Times New Roman" w:cs="Times New Roman"/>
          <w:noProof/>
        </w:rPr>
        <w:t>(4):473–84 doi: 10.1097/ede.0000000000000105.</w:t>
      </w:r>
    </w:p>
    <w:p w14:paraId="16B1B980"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lastRenderedPageBreak/>
        <w:t>42. Kaufman JS, Cooper RS, McGee DL. Socioeconomic status and health in blacks and whites: the problem of residual confounding and the resiliency of race. Epidemiology 1997;</w:t>
      </w:r>
      <w:r w:rsidRPr="000F6719">
        <w:rPr>
          <w:rFonts w:ascii="Times New Roman" w:hAnsi="Times New Roman" w:cs="Times New Roman"/>
          <w:noProof/>
        </w:rPr>
        <w:t>8</w:t>
      </w:r>
      <w:r w:rsidRPr="000F6719">
        <w:rPr>
          <w:rFonts w:ascii="Times New Roman" w:hAnsi="Times New Roman" w:cs="Times New Roman"/>
          <w:noProof/>
        </w:rPr>
        <w:t>(6):621–8.</w:t>
      </w:r>
    </w:p>
    <w:p w14:paraId="3B2613A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43. Pang M, Kaufman JS, Platt RW. Studying noncollapsibility of the odds ratio with marginal structural and logistic regression models. Stat Methods Med Res 2016;25(5):1925–37 doi: 10.1177/0962280213505804.</w:t>
      </w:r>
    </w:p>
    <w:p w14:paraId="3ECDCC2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44. Hendricks-Sturrup RM, Yankah SE, Lu CY. Social determinants of health Z-code documentation practices in mental health settings: a scoping review. Health Aff Sch 2024;</w:t>
      </w:r>
      <w:r w:rsidRPr="000F6719">
        <w:rPr>
          <w:rFonts w:ascii="Times New Roman" w:hAnsi="Times New Roman" w:cs="Times New Roman"/>
          <w:noProof/>
        </w:rPr>
        <w:t>2</w:t>
      </w:r>
      <w:r w:rsidRPr="000F6719">
        <w:rPr>
          <w:rFonts w:ascii="Times New Roman" w:hAnsi="Times New Roman" w:cs="Times New Roman"/>
          <w:noProof/>
        </w:rPr>
        <w:t>(4):qxae046 doi: 10.1093/haschl/qxae046 [published Online First: 20240412].</w:t>
      </w:r>
    </w:p>
    <w:p w14:paraId="781EF5F8"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45. Fraze TK, Brewster AL, Lewis VA, et al. Prevalence of Screening for Food Insecurity, Housing Instability, Utility Needs, Transportation Needs, and Interpersonal Violence by US Physician Practices and Hospitals. JAMA Netw Open 2019;2(9):e1911514 doi: 10.1001/jamanetworkopen.2019.11514 [published Online First: 20190904].</w:t>
      </w:r>
    </w:p>
    <w:p w14:paraId="56CF358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46. Kambara MS, Sharma S, Spouge JL, et al. Increasing Representativeness in the All of Us Cohort Using Inverse Probability Weighting. Preprint. medRxiv 2024 doi: 10.1101/2024.10.02.24314774 [revised 18 April 2025].</w:t>
      </w:r>
    </w:p>
    <w:p w14:paraId="6646A290" w14:textId="77777777" w:rsidR="00320D14" w:rsidRPr="000F6719" w:rsidRDefault="00320D14" w:rsidP="00E3018C">
      <w:pPr>
        <w:spacing w:after="120" w:line="480" w:lineRule="auto"/>
        <w:rPr>
          <w:rFonts w:ascii="Times New Roman" w:eastAsia="Arial" w:hAnsi="Times New Roman" w:cs="Times New Roman"/>
        </w:rPr>
      </w:pPr>
    </w:p>
    <w:p w14:paraId="3ED75291" w14:textId="77777777" w:rsidR="00320D14" w:rsidRPr="000F6719" w:rsidRDefault="00320D14" w:rsidP="00E3018C">
      <w:pPr>
        <w:spacing w:line="480" w:lineRule="auto"/>
        <w:rPr>
          <w:rFonts w:ascii="Times New Roman" w:eastAsia="Arial" w:hAnsi="Times New Roman" w:cs="Times New Roman"/>
        </w:rPr>
      </w:pPr>
      <w:r w:rsidRPr="000F6719">
        <w:rPr>
          <w:rFonts w:ascii="Times New Roman" w:eastAsia="Arial" w:hAnsi="Times New Roman" w:cs="Times New Roman"/>
        </w:rPr>
        <w:br w:type="page"/>
      </w:r>
    </w:p>
    <w:p w14:paraId="65875FDD" w14:textId="77777777" w:rsidR="00320D14" w:rsidRPr="000F6719" w:rsidRDefault="00320D14" w:rsidP="00E3018C">
      <w:pPr>
        <w:pStyle w:val="Heading1"/>
        <w:rPr>
          <w:rFonts w:ascii="Times New Roman" w:hAnsi="Times New Roman" w:cs="Times New Roman"/>
        </w:rPr>
      </w:pPr>
      <w:r w:rsidRPr="000F6719">
        <w:rPr>
          <w:rFonts w:ascii="Times New Roman" w:hAnsi="Times New Roman" w:cs="Times New Roman"/>
        </w:rPr>
        <w:lastRenderedPageBreak/>
        <w:t>FIGURE LEGENDS</w:t>
      </w:r>
    </w:p>
    <w:p w14:paraId="15757D4D" w14:textId="77777777" w:rsidR="00841284" w:rsidRPr="000F6719" w:rsidRDefault="00D413D7" w:rsidP="00E3018C">
      <w:pPr>
        <w:spacing w:after="120" w:line="480" w:lineRule="auto"/>
        <w:rPr>
          <w:rFonts w:ascii="Times New Roman" w:hAnsi="Times New Roman" w:cs="Times New Roman"/>
        </w:rPr>
      </w:pPr>
      <w:r>
        <w:rPr>
          <w:rFonts w:ascii="Times New Roman" w:hAnsi="Times New Roman"/>
          <w:b/>
        </w:rPr>
        <w:t>Figure 1.</w:t>
      </w:r>
      <w:r>
        <w:rPr>
          <w:rFonts w:ascii="Times New Roman" w:hAnsi="Times New Roman"/>
          <w:b w:val="0"/>
        </w:rPr>
        <w:t xml:space="preserve"> Study participant flowchart. (a) All of Us: 413,457 participants narrowing to 25,160 COVID-positive, then to 4,064 hospitalized cases and 21,096 outpatient controls; 3,997 cases carried complete matching variables and were matched up to four controls each (19,520 observations in 3,997 strata; 15,523 control observations, after 437 control observations were removed for unverifiable follow-up near the data cutoff). (b) MarketScan: 4,423,200 COVID-positive, of whom 139,489 were hospitalized and 4,283,711 were not; matching variables measured before the index date were complete for 4,009,628 (127,901 cases and 3,881,727 controls); 127,900 cases were matched up to four controls each, yielding 511,581 control observations from 444,575 unique individuals, and after 1,598 control observations near the data cutoff and the 204 strata left without a control were removed, 637,679 observations remained in 127,696 strata (509,983 control observations from 443,061 unique individuals).</w:t>
      </w:r>
    </w:p>
    <w:p w14:paraId="5754A88C" w14:textId="77777777" w:rsidR="00320D14" w:rsidRPr="000F6719" w:rsidRDefault="00320D14" w:rsidP="00E3018C">
      <w:pPr>
        <w:spacing w:after="120" w:line="480" w:lineRule="auto"/>
        <w:rPr>
          <w:rFonts w:ascii="Times New Roman" w:hAnsi="Times New Roman" w:cs="Times New Roman"/>
        </w:rPr>
      </w:pPr>
      <w:r>
        <w:rPr>
          <w:rFonts w:ascii="Times New Roman" w:hAnsi="Times New Roman"/>
          <w:b/>
        </w:rPr>
        <w:t>Alt text:</w:t>
      </w:r>
      <w:r>
        <w:rPr>
          <w:rFonts w:ascii="Times New Roman" w:hAnsi="Times New Roman"/>
          <w:b w:val="0"/>
        </w:rPr>
        <w:t xml:space="preserve"> Two-panel CONSORT-style flowchart. Each panel reads top to bottom: the full cohort, then the COVID-positive subset, then a split into hospitalized cases and outpatient controls, then a propensity score matching box, then the matched analytic set. Panel (a) is All of Us; panel (b) is MarketScan. Every count is given in the legend above.</w:t>
      </w:r>
    </w:p>
    <w:p w14:paraId="65D2D7D3" w14:textId="77777777" w:rsidR="00841284" w:rsidRPr="000F6719" w:rsidRDefault="00D413D7" w:rsidP="00E3018C">
      <w:pPr>
        <w:spacing w:after="120" w:line="480" w:lineRule="auto"/>
        <w:rPr>
          <w:rFonts w:ascii="Times New Roman" w:hAnsi="Times New Roman" w:cs="Times New Roman"/>
        </w:rPr>
      </w:pPr>
      <w:proofErr w:type="spellStart"/>
      <w:proofErr w:type="spellEnd"/>
      <w:r>
        <w:rPr>
          <w:rFonts w:ascii="Times New Roman" w:hAnsi="Times New Roman"/>
          <w:b/>
        </w:rPr>
        <w:t>Figure 2.</w:t>
      </w:r>
      <w:r>
        <w:rPr>
          <w:rFonts w:ascii="Times New Roman" w:hAnsi="Times New Roman"/>
          <w:b w:val="0"/>
        </w:rPr>
        <w:t xml:space="preserve"> Hospitalization phenotype decision tree. The strict 14-day phenotype counts inpatient visits (OMOP concepts 9201, 32037), emergency-to-inpatient visits (262, 8717), and emergency visits with recorded stay duration ≥1 day (9203). Same-day emergency visits without subsequent admission are excluded from the strict outcome but included in the broad 30-day sensitivity outcome. Component counts are reported in eTable 2b. </w:t>
      </w:r>
    </w:p>
    <w:p w14:paraId="64AEB91A" w14:textId="77777777" w:rsidR="00320D14" w:rsidRPr="000F6719" w:rsidRDefault="00320D14" w:rsidP="00E3018C">
      <w:pPr>
        <w:spacing w:after="120" w:line="480" w:lineRule="auto"/>
        <w:rPr>
          <w:rFonts w:ascii="Times New Roman" w:hAnsi="Times New Roman" w:cs="Times New Roman"/>
        </w:rPr>
      </w:pPr>
      <w:r>
        <w:rPr>
          <w:rFonts w:ascii="Times New Roman" w:hAnsi="Times New Roman"/>
          <w:b/>
        </w:rPr>
        <w:t>Alt text:</w:t>
      </w:r>
      <w:r>
        <w:rPr>
          <w:rFonts w:ascii="Times New Roman" w:hAnsi="Times New Roman"/>
          <w:b w:val="0"/>
        </w:rPr>
        <w:t xml:space="preserve"> Decision tree for the hospitalization phenotype. Branches separate inpatient visits, emergency-to-inpatient visits, and emergency visits by recorded stay duration, and each branch ends in a strict 14-day or broad 30-day classification. Same-day emergency visits are excluded from the strict phenotype.</w:t>
      </w:r>
    </w:p>
    <w:p w14:paraId="1E001987" w14:textId="77777777" w:rsidR="00841284" w:rsidRPr="000F6719" w:rsidRDefault="00D413D7" w:rsidP="00E3018C">
      <w:pPr>
        <w:spacing w:after="120" w:line="480" w:lineRule="auto"/>
        <w:rPr>
          <w:rFonts w:ascii="Times New Roman" w:hAnsi="Times New Roman" w:cs="Times New Roman"/>
        </w:rPr>
      </w:pPr>
      <w:r>
        <w:rPr>
          <w:rFonts w:ascii="Times New Roman" w:hAnsi="Times New Roman"/>
          <w:b/>
        </w:rPr>
        <w:t>Figure 3.</w:t>
      </w:r>
      <w:r>
        <w:rPr>
          <w:rFonts w:ascii="Times New Roman" w:hAnsi="Times New Roman"/>
          <w:b w:val="0"/>
        </w:rPr>
        <w:t xml:space="preserve"> Base-model adjusted odds ratios for demographics, vaccination, pandemic wave, and comorbidities, compared between the two cohorts. Navy circles: All of Us (n = 19,520). Teal squares: MarketScan (n = 637,679). Filled markers are statistically significant (P &lt; 0.05); open markers are not. Error bars: 95% confidence intervals. Race and ethnicity are not captured in MarketScan. The panel shows Black race only; Asian and Other race estimates are given in the text and eTable 9. All 19 Charlson conditions are plotted. Abbreviations: AOR, adjusted odds ratio; CI, confidence interval; DM, diabetes mellitus.</w:t>
      </w:r>
    </w:p>
    <w:p w14:paraId="04E005EC" w14:textId="77777777" w:rsidR="00320D14" w:rsidRPr="000F6719" w:rsidRDefault="00320D14" w:rsidP="00E3018C">
      <w:pPr>
        <w:spacing w:after="120" w:line="480" w:lineRule="auto"/>
        <w:rPr>
          <w:rFonts w:ascii="Times New Roman" w:hAnsi="Times New Roman" w:cs="Times New Roman"/>
        </w:rPr>
      </w:pPr>
      <w:r>
        <w:rPr>
          <w:rFonts w:ascii="Times New Roman" w:hAnsi="Times New Roman"/>
          <w:b/>
        </w:rPr>
        <w:t>Alt text:</w:t>
      </w:r>
      <w:r>
        <w:rPr>
          <w:rFonts w:ascii="Times New Roman" w:hAnsi="Times New Roman"/>
          <w:b w:val="0"/>
        </w:rPr>
        <w:t xml:space="preserve"> Horizontal forest plot on a log scale with a reference line at an odds ratio of 1.0. Rows run down the left margin: demographics, vaccination, pandemic wave, and 17 Charlson comorbidities. Each row carries a navy circle for All of Us and a teal square for MarketScan, with horizontal error bars for the 95% confidence interval. Filled markers are statistically significant; open markers are not. The Black race row is marked not available for MarketScan.</w:t>
      </w:r>
    </w:p>
    <w:p w14:paraId="214FD2DA" w14:textId="77777777" w:rsidR="00841284" w:rsidRPr="000F6719" w:rsidRDefault="00D413D7" w:rsidP="00895A13">
      <w:pPr>
        <w:spacing w:after="120" w:line="480" w:lineRule="auto"/>
        <w:rPr>
          <w:rFonts w:ascii="Times New Roman" w:eastAsia="Arial" w:hAnsi="Times New Roman" w:cs="Times New Roman"/>
        </w:rPr>
      </w:pPr>
      <w:r>
        <w:rPr>
          <w:rFonts w:ascii="Times New Roman" w:hAnsi="Times New Roman"/>
          <w:b/>
        </w:rPr>
        <w:t>Figure 4.</w:t>
      </w:r>
      <w:r>
        <w:rPr>
          <w:rFonts w:ascii="Times New Roman" w:hAnsi="Times New Roman"/>
          <w:b w:val="0"/>
        </w:rPr>
        <w:t xml:space="preserve"> Domain-specific versus joint associations of six survey-derived SDoH domains with COVID-19 hospitalization. For each level, the coral circle is the domain-specific estimate (base model plus that one domain) and the navy square is the joint estimate (base model plus all six domains simultaneously); the grey bar connecting them marks the change in the coefficient after mutual adjustment. Filled markers are statistically significant (P &lt; 0.05); open markers are not. All models adjust for demographics, vaccination, pandemic wave, and 19 Charlson comorbidities. Domain-specific and joint models are complementary rather than ranked: the one-domain estimate is the association a domain carries when modelled alone, whereas the mutually adjusted estimate is what remains once the other measured social domains are included. Estimates and 95% CIs are listed in Table 3; missing-indicator categories are modeled but omitted for clarity, and the “never attended school” education stratum is not plotted because fewer than 20 participants fall in it. Abbreviations: AOR, adjusted odds ratio; CI, confidence interval; SDoH, social determinants of health; GED, General Educational Development.</w:t>
      </w:r>
    </w:p>
    <w:p w14:paraId="0E58BDCE" w14:textId="77777777" w:rsidR="00320D14" w:rsidRPr="000F6719" w:rsidRDefault="00320D14" w:rsidP="00E3018C">
      <w:pPr>
        <w:spacing w:after="120" w:line="480" w:lineRule="auto"/>
        <w:rPr>
          <w:rFonts w:ascii="Times New Roman" w:hAnsi="Times New Roman" w:cs="Times New Roman"/>
        </w:rPr>
      </w:pPr>
      <w:r>
        <w:rPr>
          <w:rFonts w:ascii="Times New Roman" w:hAnsi="Times New Roman"/>
          <w:b/>
        </w:rPr>
        <w:t>Alt text:</w:t>
      </w:r>
      <w:r>
        <w:rPr>
          <w:rFonts w:ascii="Times New Roman" w:hAnsi="Times New Roman"/>
          <w:b w:val="0"/>
        </w:rPr>
        <w:t xml:space="preserve"> Paired dumbbell forest plot on a log scale with a reference line at an odds ratio of 1.0, grouped into six social domains. Each level carries two markers joined by a grey bar: a coral circle for the domain-specific model and a navy square for the joint model. The length of the bar shows how far the estimate moves under mutual adjustment. Filled markers are statistically significant; open markers are not. Values are printed at the right of each row and in Table 3.</w:t>
      </w:r>
    </w:p>
    <w:p w14:paraId="7D763BAF" w14:textId="77777777" w:rsidR="00841284" w:rsidRPr="000F6719" w:rsidRDefault="00D413D7" w:rsidP="00D141BE">
      <w:pPr>
        <w:spacing w:after="120" w:line="480" w:lineRule="auto"/>
        <w:rPr>
          <w:rFonts w:ascii="Times New Roman" w:eastAsia="Arial" w:hAnsi="Times New Roman" w:cs="Times New Roman"/>
        </w:rPr>
      </w:pPr>
      <w:r>
        <w:rPr>
          <w:rFonts w:ascii="Times New Roman" w:hAnsi="Times New Roman"/>
          <w:b/>
        </w:rPr>
        <w:t>Figure 5.</w:t>
      </w:r>
      <w:r>
        <w:rPr>
          <w:rFonts w:ascii="Times New Roman" w:hAnsi="Times New Roman"/>
          <w:b w:val="0"/>
        </w:rPr>
        <w:t xml:space="preserve"> Wave-varying social and racial associations with COVID-19 hospitalization. Estimates come from single models carrying exposure-by-wave interaction terms, so every matched stratum contributes. (a) Income association within each pandemic wave, grouped by income stratum. Reference group: $35,000 to $99,999. Income below $10,000 carried 1.36 (1.10-1.68) pre-Delta, 1.42 (0.73-2.77) during Delta and 1.64 (1.22-2.20) during Omicron; the income-by-wave interaction was not significant (P = 0.22). (b) Black-race adjusted odds ratio by wave from the same interaction model: 2.30 (2.01-2.64) pre-Delta, 2.24 (1.77-2.83) during Delta, and 1.78 (1.52-2.09) during Omicron. Separate within-wave models, fitted with and without SDoH adjustment, are reported in eTable 11b. The pre-specified pre-Delta against Omicron contrast was significant (P = 0.017) and the pre-Delta against Delta contrast was not (P = 0.83), while the omnibus test across all race categories did not reach significance (P = 0.07). Filled markers are statistically significant (P &lt; 0.05); open markers are not. Error bars and bracketed values are 95% confidence intervals.</w:t>
      </w:r>
    </w:p>
    <w:p w14:paraId="3BDC9D17" w14:textId="77777777" w:rsidR="00841284" w:rsidRPr="000F6719" w:rsidRDefault="00320D14" w:rsidP="00E3018C">
      <w:pPr>
        <w:spacing w:after="120" w:line="480" w:lineRule="auto"/>
        <w:rPr>
          <w:rFonts w:ascii="Times New Roman" w:eastAsia="Arial" w:hAnsi="Times New Roman" w:cs="Times New Roman"/>
        </w:rPr>
      </w:pPr>
      <w:r>
        <w:rPr>
          <w:rFonts w:ascii="Times New Roman" w:hAnsi="Times New Roman"/>
          <w:b/>
        </w:rPr>
        <w:t>Alt text:</w:t>
      </w:r>
      <w:r>
        <w:rPr>
          <w:rFonts w:ascii="Times New Roman" w:hAnsi="Times New Roman"/>
          <w:b w:val="0"/>
        </w:rPr>
        <w:t xml:space="preserve"> Two-panel figure. Panel (a) is a grouped forest plot on a log scale: three income strata, and within each stratum the three pandemic waves in time order, coded light to dark blue, with horizontal error bars. Panel (b) is a slope plot with one x-axis position per wave; at each position a coral circle for the unadjusted Black-race estimate sits above a navy square for the SDoH-adjusted estimate, joined by a grey bar whose length is the attenuation. Filled markers are statistically significant; open markers are not.</w:t>
      </w:r>
    </w:p>
    <w:sectPr w:rsidR="00841284" w:rsidRPr="000F67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98024E"/>
    <w:multiLevelType w:val="hybridMultilevel"/>
    <w:tmpl w:val="1D92C290"/>
    <w:lvl w:ilvl="0" w:tplc="A1E8CCDA">
      <w:start w:val="1"/>
      <w:numFmt w:val="bullet"/>
      <w:lvlText w:val="●"/>
      <w:lvlJc w:val="left"/>
      <w:pPr>
        <w:ind w:left="720" w:hanging="360"/>
      </w:pPr>
    </w:lvl>
    <w:lvl w:ilvl="1" w:tplc="59ACB316">
      <w:start w:val="1"/>
      <w:numFmt w:val="bullet"/>
      <w:lvlText w:val="○"/>
      <w:lvlJc w:val="left"/>
      <w:pPr>
        <w:ind w:left="1440" w:hanging="360"/>
      </w:pPr>
    </w:lvl>
    <w:lvl w:ilvl="2" w:tplc="FC3AE46C">
      <w:start w:val="1"/>
      <w:numFmt w:val="bullet"/>
      <w:lvlText w:val="■"/>
      <w:lvlJc w:val="left"/>
      <w:pPr>
        <w:ind w:left="2160" w:hanging="360"/>
      </w:pPr>
    </w:lvl>
    <w:lvl w:ilvl="3" w:tplc="8B9697E2">
      <w:start w:val="1"/>
      <w:numFmt w:val="bullet"/>
      <w:lvlText w:val="●"/>
      <w:lvlJc w:val="left"/>
      <w:pPr>
        <w:ind w:left="2880" w:hanging="360"/>
      </w:pPr>
    </w:lvl>
    <w:lvl w:ilvl="4" w:tplc="27DA218C">
      <w:start w:val="1"/>
      <w:numFmt w:val="bullet"/>
      <w:lvlText w:val="○"/>
      <w:lvlJc w:val="left"/>
      <w:pPr>
        <w:ind w:left="3600" w:hanging="360"/>
      </w:pPr>
    </w:lvl>
    <w:lvl w:ilvl="5" w:tplc="6CB244B0">
      <w:start w:val="1"/>
      <w:numFmt w:val="bullet"/>
      <w:lvlText w:val="■"/>
      <w:lvlJc w:val="left"/>
      <w:pPr>
        <w:ind w:left="4320" w:hanging="360"/>
      </w:pPr>
    </w:lvl>
    <w:lvl w:ilvl="6" w:tplc="7B5043D4">
      <w:start w:val="1"/>
      <w:numFmt w:val="bullet"/>
      <w:lvlText w:val="●"/>
      <w:lvlJc w:val="left"/>
      <w:pPr>
        <w:ind w:left="5040" w:hanging="360"/>
      </w:pPr>
    </w:lvl>
    <w:lvl w:ilvl="7" w:tplc="9A1A4CEA">
      <w:start w:val="1"/>
      <w:numFmt w:val="bullet"/>
      <w:lvlText w:val="●"/>
      <w:lvlJc w:val="left"/>
      <w:pPr>
        <w:ind w:left="5760" w:hanging="360"/>
      </w:pPr>
    </w:lvl>
    <w:lvl w:ilvl="8" w:tplc="2F2C0F68">
      <w:start w:val="1"/>
      <w:numFmt w:val="bullet"/>
      <w:lvlText w:val="●"/>
      <w:lvlJc w:val="left"/>
      <w:pPr>
        <w:ind w:left="6480" w:hanging="360"/>
      </w:pPr>
    </w:lvl>
  </w:abstractNum>
  <w:num w:numId="1" w16cid:durableId="12715471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Amer Med Info Assoc&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drxpwpgztfvdetvw3pvweb259ww5wes0p2&quot;&gt;My EndNote Library&lt;record-ids&gt;&lt;item&gt;3&lt;/item&gt;&lt;item&gt;4&lt;/item&gt;&lt;item&gt;5&lt;/item&gt;&lt;item&gt;110&lt;/item&gt;&lt;item&gt;113&lt;/item&gt;&lt;item&gt;114&lt;/item&gt;&lt;item&gt;115&lt;/item&gt;&lt;item&gt;116&lt;/item&gt;&lt;item&gt;121&lt;/item&gt;&lt;item&gt;122&lt;/item&gt;&lt;item&gt;125&lt;/item&gt;&lt;item&gt;129&lt;/item&gt;&lt;item&gt;130&lt;/item&gt;&lt;item&gt;131&lt;/item&gt;&lt;item&gt;134&lt;/item&gt;&lt;item&gt;135&lt;/item&gt;&lt;item&gt;136&lt;/item&gt;&lt;item&gt;137&lt;/item&gt;&lt;item&gt;138&lt;/item&gt;&lt;item&gt;139&lt;/item&gt;&lt;item&gt;140&lt;/item&gt;&lt;item&gt;142&lt;/item&gt;&lt;item&gt;143&lt;/item&gt;&lt;item&gt;144&lt;/item&gt;&lt;item&gt;145&lt;/item&gt;&lt;item&gt;146&lt;/item&gt;&lt;item&gt;148&lt;/item&gt;&lt;item&gt;149&lt;/item&gt;&lt;item&gt;150&lt;/item&gt;&lt;item&gt;151&lt;/item&gt;&lt;item&gt;152&lt;/item&gt;&lt;item&gt;153&lt;/item&gt;&lt;item&gt;154&lt;/item&gt;&lt;item&gt;184&lt;/item&gt;&lt;item&gt;188&lt;/item&gt;&lt;item&gt;189&lt;/item&gt;&lt;item&gt;190&lt;/item&gt;&lt;item&gt;191&lt;/item&gt;&lt;item&gt;193&lt;/item&gt;&lt;item&gt;194&lt;/item&gt;&lt;item&gt;196&lt;/item&gt;&lt;item&gt;198&lt;/item&gt;&lt;item&gt;199&lt;/item&gt;&lt;item&gt;201&lt;/item&gt;&lt;item&gt;202&lt;/item&gt;&lt;/record-ids&gt;&lt;/item&gt;&lt;/Libraries&gt;"/>
  </w:docVars>
  <w:rsids>
    <w:rsidRoot w:val="00841284"/>
    <w:rsid w:val="00017562"/>
    <w:rsid w:val="00020FD3"/>
    <w:rsid w:val="00023685"/>
    <w:rsid w:val="000244A5"/>
    <w:rsid w:val="000337E5"/>
    <w:rsid w:val="00046375"/>
    <w:rsid w:val="000539DD"/>
    <w:rsid w:val="00060C8F"/>
    <w:rsid w:val="0006220C"/>
    <w:rsid w:val="00062D84"/>
    <w:rsid w:val="00064E6D"/>
    <w:rsid w:val="0006630A"/>
    <w:rsid w:val="000709F1"/>
    <w:rsid w:val="0007498D"/>
    <w:rsid w:val="000802B9"/>
    <w:rsid w:val="00081219"/>
    <w:rsid w:val="000812D3"/>
    <w:rsid w:val="00086720"/>
    <w:rsid w:val="00086915"/>
    <w:rsid w:val="00092A5A"/>
    <w:rsid w:val="000976F5"/>
    <w:rsid w:val="000A29E9"/>
    <w:rsid w:val="000A5395"/>
    <w:rsid w:val="000A5D01"/>
    <w:rsid w:val="000A696E"/>
    <w:rsid w:val="000B4E19"/>
    <w:rsid w:val="000B52B6"/>
    <w:rsid w:val="000C18BB"/>
    <w:rsid w:val="000C7E8A"/>
    <w:rsid w:val="000D76D6"/>
    <w:rsid w:val="000E1E58"/>
    <w:rsid w:val="000E2605"/>
    <w:rsid w:val="000E4F3D"/>
    <w:rsid w:val="000E73E4"/>
    <w:rsid w:val="000E75F0"/>
    <w:rsid w:val="000F08ED"/>
    <w:rsid w:val="000F1AAC"/>
    <w:rsid w:val="000F1D7E"/>
    <w:rsid w:val="000F6719"/>
    <w:rsid w:val="000F7F30"/>
    <w:rsid w:val="00100C43"/>
    <w:rsid w:val="00100EE1"/>
    <w:rsid w:val="00105B31"/>
    <w:rsid w:val="001060FE"/>
    <w:rsid w:val="001206BE"/>
    <w:rsid w:val="0012378A"/>
    <w:rsid w:val="00126B11"/>
    <w:rsid w:val="00131340"/>
    <w:rsid w:val="00133D5E"/>
    <w:rsid w:val="0013592A"/>
    <w:rsid w:val="00140DE8"/>
    <w:rsid w:val="0016340F"/>
    <w:rsid w:val="0016542D"/>
    <w:rsid w:val="0016798C"/>
    <w:rsid w:val="00173951"/>
    <w:rsid w:val="00175F28"/>
    <w:rsid w:val="001814E1"/>
    <w:rsid w:val="00184555"/>
    <w:rsid w:val="00184702"/>
    <w:rsid w:val="00184B89"/>
    <w:rsid w:val="00186716"/>
    <w:rsid w:val="001910D7"/>
    <w:rsid w:val="001B33B2"/>
    <w:rsid w:val="001B6229"/>
    <w:rsid w:val="001B6660"/>
    <w:rsid w:val="001C7CB4"/>
    <w:rsid w:val="001D22D4"/>
    <w:rsid w:val="001D67F7"/>
    <w:rsid w:val="001E4E6E"/>
    <w:rsid w:val="001E7B0C"/>
    <w:rsid w:val="002115FC"/>
    <w:rsid w:val="00214DEF"/>
    <w:rsid w:val="00220A60"/>
    <w:rsid w:val="0022337E"/>
    <w:rsid w:val="00225AD6"/>
    <w:rsid w:val="00231C97"/>
    <w:rsid w:val="002352EB"/>
    <w:rsid w:val="00237A21"/>
    <w:rsid w:val="00245AE5"/>
    <w:rsid w:val="00255D99"/>
    <w:rsid w:val="00270509"/>
    <w:rsid w:val="00274476"/>
    <w:rsid w:val="002778DC"/>
    <w:rsid w:val="0028060A"/>
    <w:rsid w:val="0028415F"/>
    <w:rsid w:val="00285242"/>
    <w:rsid w:val="00286C1D"/>
    <w:rsid w:val="00292D91"/>
    <w:rsid w:val="002934A5"/>
    <w:rsid w:val="002A29C6"/>
    <w:rsid w:val="002A3EFC"/>
    <w:rsid w:val="002A4EB0"/>
    <w:rsid w:val="002B4D01"/>
    <w:rsid w:val="002C07BC"/>
    <w:rsid w:val="002C2952"/>
    <w:rsid w:val="002C3941"/>
    <w:rsid w:val="002C59E0"/>
    <w:rsid w:val="002D0BDD"/>
    <w:rsid w:val="002D36C7"/>
    <w:rsid w:val="002D3E7A"/>
    <w:rsid w:val="002E4522"/>
    <w:rsid w:val="002E6165"/>
    <w:rsid w:val="002F15BA"/>
    <w:rsid w:val="002F2D2F"/>
    <w:rsid w:val="002F3C78"/>
    <w:rsid w:val="002F3EFA"/>
    <w:rsid w:val="002F4F0C"/>
    <w:rsid w:val="002F7839"/>
    <w:rsid w:val="00300397"/>
    <w:rsid w:val="00303343"/>
    <w:rsid w:val="0030399E"/>
    <w:rsid w:val="003140A6"/>
    <w:rsid w:val="00314FB5"/>
    <w:rsid w:val="00320D14"/>
    <w:rsid w:val="0032173F"/>
    <w:rsid w:val="003222B0"/>
    <w:rsid w:val="00322BA2"/>
    <w:rsid w:val="00325A14"/>
    <w:rsid w:val="00334888"/>
    <w:rsid w:val="00337683"/>
    <w:rsid w:val="00341923"/>
    <w:rsid w:val="00344958"/>
    <w:rsid w:val="00347D11"/>
    <w:rsid w:val="003502E7"/>
    <w:rsid w:val="003542D3"/>
    <w:rsid w:val="00360943"/>
    <w:rsid w:val="00360A1F"/>
    <w:rsid w:val="00365E9F"/>
    <w:rsid w:val="00366FD7"/>
    <w:rsid w:val="00367B43"/>
    <w:rsid w:val="003745F9"/>
    <w:rsid w:val="003869F1"/>
    <w:rsid w:val="003914BD"/>
    <w:rsid w:val="003A0961"/>
    <w:rsid w:val="003A226D"/>
    <w:rsid w:val="003B1F19"/>
    <w:rsid w:val="003B5A82"/>
    <w:rsid w:val="003C306C"/>
    <w:rsid w:val="003C31BD"/>
    <w:rsid w:val="003E1F94"/>
    <w:rsid w:val="003E37C0"/>
    <w:rsid w:val="003F1B8C"/>
    <w:rsid w:val="003F27C8"/>
    <w:rsid w:val="00403B03"/>
    <w:rsid w:val="00416C85"/>
    <w:rsid w:val="004221CA"/>
    <w:rsid w:val="00427919"/>
    <w:rsid w:val="0043132F"/>
    <w:rsid w:val="00432E89"/>
    <w:rsid w:val="00435CCD"/>
    <w:rsid w:val="00437618"/>
    <w:rsid w:val="004454DC"/>
    <w:rsid w:val="004457C1"/>
    <w:rsid w:val="00452027"/>
    <w:rsid w:val="004546F4"/>
    <w:rsid w:val="00460637"/>
    <w:rsid w:val="00470B76"/>
    <w:rsid w:val="00475C9E"/>
    <w:rsid w:val="004774AE"/>
    <w:rsid w:val="00480197"/>
    <w:rsid w:val="00480F47"/>
    <w:rsid w:val="00482F10"/>
    <w:rsid w:val="00483DB8"/>
    <w:rsid w:val="0048705F"/>
    <w:rsid w:val="004900AC"/>
    <w:rsid w:val="004964F1"/>
    <w:rsid w:val="004A1B9A"/>
    <w:rsid w:val="004A44DE"/>
    <w:rsid w:val="004A699A"/>
    <w:rsid w:val="004A6AD3"/>
    <w:rsid w:val="004B1EB1"/>
    <w:rsid w:val="004B2F9A"/>
    <w:rsid w:val="004B3FB3"/>
    <w:rsid w:val="004B5639"/>
    <w:rsid w:val="004B64E4"/>
    <w:rsid w:val="004D253F"/>
    <w:rsid w:val="004D6DF4"/>
    <w:rsid w:val="004D7D3D"/>
    <w:rsid w:val="004E13CF"/>
    <w:rsid w:val="004E1572"/>
    <w:rsid w:val="004E2C7F"/>
    <w:rsid w:val="004F2D87"/>
    <w:rsid w:val="004F311C"/>
    <w:rsid w:val="004F361A"/>
    <w:rsid w:val="004F42BE"/>
    <w:rsid w:val="00505BFF"/>
    <w:rsid w:val="00505CBE"/>
    <w:rsid w:val="00513C51"/>
    <w:rsid w:val="00520084"/>
    <w:rsid w:val="0052015B"/>
    <w:rsid w:val="00521894"/>
    <w:rsid w:val="005239FC"/>
    <w:rsid w:val="0052429A"/>
    <w:rsid w:val="005248FD"/>
    <w:rsid w:val="00524AF0"/>
    <w:rsid w:val="005263EB"/>
    <w:rsid w:val="005302F6"/>
    <w:rsid w:val="0053094D"/>
    <w:rsid w:val="005311ED"/>
    <w:rsid w:val="0053543B"/>
    <w:rsid w:val="005478E8"/>
    <w:rsid w:val="005510F4"/>
    <w:rsid w:val="00555E61"/>
    <w:rsid w:val="005567FA"/>
    <w:rsid w:val="005569B2"/>
    <w:rsid w:val="00557F68"/>
    <w:rsid w:val="005706EF"/>
    <w:rsid w:val="00572261"/>
    <w:rsid w:val="00576472"/>
    <w:rsid w:val="005823BA"/>
    <w:rsid w:val="00582763"/>
    <w:rsid w:val="00584712"/>
    <w:rsid w:val="00585117"/>
    <w:rsid w:val="005A04B5"/>
    <w:rsid w:val="005B3C29"/>
    <w:rsid w:val="005C1DFF"/>
    <w:rsid w:val="005C36DE"/>
    <w:rsid w:val="005C48C4"/>
    <w:rsid w:val="005C71F5"/>
    <w:rsid w:val="005D0A9D"/>
    <w:rsid w:val="005D5F45"/>
    <w:rsid w:val="005E217D"/>
    <w:rsid w:val="005E24F5"/>
    <w:rsid w:val="005E2BFF"/>
    <w:rsid w:val="005E36A1"/>
    <w:rsid w:val="005E4C0B"/>
    <w:rsid w:val="005F1FB3"/>
    <w:rsid w:val="00601442"/>
    <w:rsid w:val="006028B0"/>
    <w:rsid w:val="00605F73"/>
    <w:rsid w:val="00607AFD"/>
    <w:rsid w:val="0061268F"/>
    <w:rsid w:val="00620432"/>
    <w:rsid w:val="00623D51"/>
    <w:rsid w:val="0062526A"/>
    <w:rsid w:val="006263F7"/>
    <w:rsid w:val="00627C22"/>
    <w:rsid w:val="0063529F"/>
    <w:rsid w:val="00635551"/>
    <w:rsid w:val="00640052"/>
    <w:rsid w:val="0064570A"/>
    <w:rsid w:val="006644BC"/>
    <w:rsid w:val="006661FA"/>
    <w:rsid w:val="0066634E"/>
    <w:rsid w:val="00666C2B"/>
    <w:rsid w:val="00673B68"/>
    <w:rsid w:val="006815E7"/>
    <w:rsid w:val="00682517"/>
    <w:rsid w:val="00687EDB"/>
    <w:rsid w:val="00691DC1"/>
    <w:rsid w:val="006963B7"/>
    <w:rsid w:val="00696C8A"/>
    <w:rsid w:val="00697FE7"/>
    <w:rsid w:val="006A02F1"/>
    <w:rsid w:val="006A2F9B"/>
    <w:rsid w:val="006A3C7A"/>
    <w:rsid w:val="006B4D72"/>
    <w:rsid w:val="006B588A"/>
    <w:rsid w:val="006B69E0"/>
    <w:rsid w:val="006B78AD"/>
    <w:rsid w:val="006B7B0D"/>
    <w:rsid w:val="006C14B0"/>
    <w:rsid w:val="006D39CC"/>
    <w:rsid w:val="006D5E30"/>
    <w:rsid w:val="006E0A9F"/>
    <w:rsid w:val="006E23AF"/>
    <w:rsid w:val="006E4F17"/>
    <w:rsid w:val="006E4FB5"/>
    <w:rsid w:val="006E6028"/>
    <w:rsid w:val="006F0828"/>
    <w:rsid w:val="00700AAB"/>
    <w:rsid w:val="00707C9A"/>
    <w:rsid w:val="00707D84"/>
    <w:rsid w:val="00710231"/>
    <w:rsid w:val="007117E0"/>
    <w:rsid w:val="007128D1"/>
    <w:rsid w:val="00714D44"/>
    <w:rsid w:val="00732CCA"/>
    <w:rsid w:val="0073467C"/>
    <w:rsid w:val="00750649"/>
    <w:rsid w:val="00750D28"/>
    <w:rsid w:val="00751072"/>
    <w:rsid w:val="007522E2"/>
    <w:rsid w:val="007542A6"/>
    <w:rsid w:val="00757107"/>
    <w:rsid w:val="007576DA"/>
    <w:rsid w:val="0076114B"/>
    <w:rsid w:val="00765A90"/>
    <w:rsid w:val="00774D85"/>
    <w:rsid w:val="00776223"/>
    <w:rsid w:val="00780024"/>
    <w:rsid w:val="00782BE1"/>
    <w:rsid w:val="00783E4B"/>
    <w:rsid w:val="00785D6E"/>
    <w:rsid w:val="00786A88"/>
    <w:rsid w:val="007A23D2"/>
    <w:rsid w:val="007A2D35"/>
    <w:rsid w:val="007A6135"/>
    <w:rsid w:val="007B0CAE"/>
    <w:rsid w:val="007B3195"/>
    <w:rsid w:val="007C163B"/>
    <w:rsid w:val="007C16D3"/>
    <w:rsid w:val="007C1E00"/>
    <w:rsid w:val="007C5338"/>
    <w:rsid w:val="007D10FB"/>
    <w:rsid w:val="007D17A8"/>
    <w:rsid w:val="007D5187"/>
    <w:rsid w:val="007D6F16"/>
    <w:rsid w:val="007D6F72"/>
    <w:rsid w:val="007D706D"/>
    <w:rsid w:val="007E175C"/>
    <w:rsid w:val="007E35A2"/>
    <w:rsid w:val="007E6F37"/>
    <w:rsid w:val="007F0DE7"/>
    <w:rsid w:val="007F5693"/>
    <w:rsid w:val="0080020B"/>
    <w:rsid w:val="00800EA3"/>
    <w:rsid w:val="00814F6E"/>
    <w:rsid w:val="00821EF5"/>
    <w:rsid w:val="008331E8"/>
    <w:rsid w:val="008341B3"/>
    <w:rsid w:val="00834531"/>
    <w:rsid w:val="00836999"/>
    <w:rsid w:val="0083759B"/>
    <w:rsid w:val="00840028"/>
    <w:rsid w:val="00841284"/>
    <w:rsid w:val="00844E7F"/>
    <w:rsid w:val="008515B6"/>
    <w:rsid w:val="008607DE"/>
    <w:rsid w:val="008617FE"/>
    <w:rsid w:val="008629E0"/>
    <w:rsid w:val="00863866"/>
    <w:rsid w:val="00867117"/>
    <w:rsid w:val="00870A71"/>
    <w:rsid w:val="00871189"/>
    <w:rsid w:val="00872392"/>
    <w:rsid w:val="0088134B"/>
    <w:rsid w:val="00882DC7"/>
    <w:rsid w:val="0088350E"/>
    <w:rsid w:val="00884054"/>
    <w:rsid w:val="00886CB5"/>
    <w:rsid w:val="00887ED5"/>
    <w:rsid w:val="00891C33"/>
    <w:rsid w:val="00893DF2"/>
    <w:rsid w:val="00895A13"/>
    <w:rsid w:val="008A2FA1"/>
    <w:rsid w:val="008A435F"/>
    <w:rsid w:val="008B3FC7"/>
    <w:rsid w:val="008B5AF6"/>
    <w:rsid w:val="008C3280"/>
    <w:rsid w:val="00901A06"/>
    <w:rsid w:val="00906E17"/>
    <w:rsid w:val="00910554"/>
    <w:rsid w:val="00917959"/>
    <w:rsid w:val="00922757"/>
    <w:rsid w:val="0092451C"/>
    <w:rsid w:val="00933495"/>
    <w:rsid w:val="00942C9C"/>
    <w:rsid w:val="00973B65"/>
    <w:rsid w:val="009771BF"/>
    <w:rsid w:val="009772B5"/>
    <w:rsid w:val="00980B95"/>
    <w:rsid w:val="00980C72"/>
    <w:rsid w:val="00981794"/>
    <w:rsid w:val="0099631B"/>
    <w:rsid w:val="009A1900"/>
    <w:rsid w:val="009A1F40"/>
    <w:rsid w:val="009A7915"/>
    <w:rsid w:val="009B5553"/>
    <w:rsid w:val="009B7EC4"/>
    <w:rsid w:val="009C2A29"/>
    <w:rsid w:val="009C44A4"/>
    <w:rsid w:val="009D0D22"/>
    <w:rsid w:val="009D1DF8"/>
    <w:rsid w:val="009E0F12"/>
    <w:rsid w:val="009E3919"/>
    <w:rsid w:val="009E3F3D"/>
    <w:rsid w:val="009F079D"/>
    <w:rsid w:val="009F24E2"/>
    <w:rsid w:val="009F5291"/>
    <w:rsid w:val="00A033DE"/>
    <w:rsid w:val="00A12D08"/>
    <w:rsid w:val="00A17ACA"/>
    <w:rsid w:val="00A22582"/>
    <w:rsid w:val="00A31DB8"/>
    <w:rsid w:val="00A354BD"/>
    <w:rsid w:val="00A365CC"/>
    <w:rsid w:val="00A41BD6"/>
    <w:rsid w:val="00A424E7"/>
    <w:rsid w:val="00A454A2"/>
    <w:rsid w:val="00A479FF"/>
    <w:rsid w:val="00A50678"/>
    <w:rsid w:val="00A51077"/>
    <w:rsid w:val="00A60EC5"/>
    <w:rsid w:val="00A62C42"/>
    <w:rsid w:val="00A74AD2"/>
    <w:rsid w:val="00A80826"/>
    <w:rsid w:val="00A80FDD"/>
    <w:rsid w:val="00A81EEC"/>
    <w:rsid w:val="00A831FB"/>
    <w:rsid w:val="00A865D0"/>
    <w:rsid w:val="00A90C25"/>
    <w:rsid w:val="00A90E27"/>
    <w:rsid w:val="00AA09AC"/>
    <w:rsid w:val="00AA0E87"/>
    <w:rsid w:val="00AA37A0"/>
    <w:rsid w:val="00AA596D"/>
    <w:rsid w:val="00AB5576"/>
    <w:rsid w:val="00AC0733"/>
    <w:rsid w:val="00AC247F"/>
    <w:rsid w:val="00AC2EEF"/>
    <w:rsid w:val="00AC47C1"/>
    <w:rsid w:val="00AE00FF"/>
    <w:rsid w:val="00AE079F"/>
    <w:rsid w:val="00AE3F2E"/>
    <w:rsid w:val="00AF04D0"/>
    <w:rsid w:val="00B00182"/>
    <w:rsid w:val="00B01772"/>
    <w:rsid w:val="00B04A86"/>
    <w:rsid w:val="00B04C03"/>
    <w:rsid w:val="00B0664E"/>
    <w:rsid w:val="00B06BA7"/>
    <w:rsid w:val="00B07B8D"/>
    <w:rsid w:val="00B272F5"/>
    <w:rsid w:val="00B33CB0"/>
    <w:rsid w:val="00B36011"/>
    <w:rsid w:val="00B427E2"/>
    <w:rsid w:val="00B43686"/>
    <w:rsid w:val="00B43A39"/>
    <w:rsid w:val="00B50F0C"/>
    <w:rsid w:val="00B522D1"/>
    <w:rsid w:val="00B53896"/>
    <w:rsid w:val="00B60077"/>
    <w:rsid w:val="00B60DCD"/>
    <w:rsid w:val="00B7458A"/>
    <w:rsid w:val="00B77437"/>
    <w:rsid w:val="00B819E1"/>
    <w:rsid w:val="00B83BA0"/>
    <w:rsid w:val="00B96FCD"/>
    <w:rsid w:val="00BA06F0"/>
    <w:rsid w:val="00BA288E"/>
    <w:rsid w:val="00BA525C"/>
    <w:rsid w:val="00BA5759"/>
    <w:rsid w:val="00BB6EEF"/>
    <w:rsid w:val="00BC23E1"/>
    <w:rsid w:val="00BC5BD7"/>
    <w:rsid w:val="00BC6A31"/>
    <w:rsid w:val="00BD5DF4"/>
    <w:rsid w:val="00BD6BD1"/>
    <w:rsid w:val="00BE10EC"/>
    <w:rsid w:val="00BE36F2"/>
    <w:rsid w:val="00BE615A"/>
    <w:rsid w:val="00BE7F4D"/>
    <w:rsid w:val="00C06AB3"/>
    <w:rsid w:val="00C06BCF"/>
    <w:rsid w:val="00C1009F"/>
    <w:rsid w:val="00C164E7"/>
    <w:rsid w:val="00C23D78"/>
    <w:rsid w:val="00C34DC2"/>
    <w:rsid w:val="00C363DA"/>
    <w:rsid w:val="00C42886"/>
    <w:rsid w:val="00C4769D"/>
    <w:rsid w:val="00C504BD"/>
    <w:rsid w:val="00C52699"/>
    <w:rsid w:val="00C56F76"/>
    <w:rsid w:val="00C60048"/>
    <w:rsid w:val="00C6233F"/>
    <w:rsid w:val="00C7701E"/>
    <w:rsid w:val="00C77A53"/>
    <w:rsid w:val="00C80B54"/>
    <w:rsid w:val="00C84033"/>
    <w:rsid w:val="00C86739"/>
    <w:rsid w:val="00C955BE"/>
    <w:rsid w:val="00CA10EF"/>
    <w:rsid w:val="00CB2846"/>
    <w:rsid w:val="00CB4672"/>
    <w:rsid w:val="00CB6826"/>
    <w:rsid w:val="00CC227A"/>
    <w:rsid w:val="00CC7934"/>
    <w:rsid w:val="00CC7E2A"/>
    <w:rsid w:val="00CD0876"/>
    <w:rsid w:val="00CD0D72"/>
    <w:rsid w:val="00CD4A14"/>
    <w:rsid w:val="00CE1CF9"/>
    <w:rsid w:val="00CE6DBB"/>
    <w:rsid w:val="00D00197"/>
    <w:rsid w:val="00D01653"/>
    <w:rsid w:val="00D02962"/>
    <w:rsid w:val="00D10CEA"/>
    <w:rsid w:val="00D12EE0"/>
    <w:rsid w:val="00D141BE"/>
    <w:rsid w:val="00D15156"/>
    <w:rsid w:val="00D16765"/>
    <w:rsid w:val="00D1760E"/>
    <w:rsid w:val="00D202F9"/>
    <w:rsid w:val="00D22272"/>
    <w:rsid w:val="00D31F5B"/>
    <w:rsid w:val="00D413D7"/>
    <w:rsid w:val="00D43B31"/>
    <w:rsid w:val="00D443EB"/>
    <w:rsid w:val="00D457FF"/>
    <w:rsid w:val="00D604D2"/>
    <w:rsid w:val="00D6314F"/>
    <w:rsid w:val="00D84DAC"/>
    <w:rsid w:val="00D912CF"/>
    <w:rsid w:val="00D924D2"/>
    <w:rsid w:val="00D92D40"/>
    <w:rsid w:val="00D96219"/>
    <w:rsid w:val="00DA106E"/>
    <w:rsid w:val="00DA45E8"/>
    <w:rsid w:val="00DA4746"/>
    <w:rsid w:val="00DB2FA2"/>
    <w:rsid w:val="00DB38E0"/>
    <w:rsid w:val="00DB5A3C"/>
    <w:rsid w:val="00DC21CC"/>
    <w:rsid w:val="00DC30F1"/>
    <w:rsid w:val="00DD120B"/>
    <w:rsid w:val="00DD1630"/>
    <w:rsid w:val="00DD3174"/>
    <w:rsid w:val="00DD480A"/>
    <w:rsid w:val="00DD5758"/>
    <w:rsid w:val="00DD6885"/>
    <w:rsid w:val="00DD7628"/>
    <w:rsid w:val="00DE2856"/>
    <w:rsid w:val="00DE3BD6"/>
    <w:rsid w:val="00DE7297"/>
    <w:rsid w:val="00DF26EC"/>
    <w:rsid w:val="00E00CFA"/>
    <w:rsid w:val="00E02E7A"/>
    <w:rsid w:val="00E07153"/>
    <w:rsid w:val="00E073C6"/>
    <w:rsid w:val="00E10180"/>
    <w:rsid w:val="00E1290C"/>
    <w:rsid w:val="00E12C11"/>
    <w:rsid w:val="00E142B9"/>
    <w:rsid w:val="00E17DFC"/>
    <w:rsid w:val="00E27BCB"/>
    <w:rsid w:val="00E3018C"/>
    <w:rsid w:val="00E30B38"/>
    <w:rsid w:val="00E355DD"/>
    <w:rsid w:val="00E41D4C"/>
    <w:rsid w:val="00E42FB3"/>
    <w:rsid w:val="00E50A40"/>
    <w:rsid w:val="00E50C69"/>
    <w:rsid w:val="00E5411B"/>
    <w:rsid w:val="00E64D6F"/>
    <w:rsid w:val="00E72B26"/>
    <w:rsid w:val="00E74E0C"/>
    <w:rsid w:val="00E82085"/>
    <w:rsid w:val="00E830A6"/>
    <w:rsid w:val="00E90B25"/>
    <w:rsid w:val="00E959D2"/>
    <w:rsid w:val="00EB06E6"/>
    <w:rsid w:val="00EC090E"/>
    <w:rsid w:val="00EC1949"/>
    <w:rsid w:val="00EC321A"/>
    <w:rsid w:val="00ED01FF"/>
    <w:rsid w:val="00ED42D9"/>
    <w:rsid w:val="00EE464F"/>
    <w:rsid w:val="00EE5929"/>
    <w:rsid w:val="00EF0208"/>
    <w:rsid w:val="00EF2069"/>
    <w:rsid w:val="00EF430C"/>
    <w:rsid w:val="00EF4324"/>
    <w:rsid w:val="00F12F27"/>
    <w:rsid w:val="00F16D56"/>
    <w:rsid w:val="00F23BF9"/>
    <w:rsid w:val="00F46E2D"/>
    <w:rsid w:val="00F53DBB"/>
    <w:rsid w:val="00F54121"/>
    <w:rsid w:val="00F65BDA"/>
    <w:rsid w:val="00F812F9"/>
    <w:rsid w:val="00F8203C"/>
    <w:rsid w:val="00F87C71"/>
    <w:rsid w:val="00F9075C"/>
    <w:rsid w:val="00F92FF1"/>
    <w:rsid w:val="00F9376A"/>
    <w:rsid w:val="00F943D4"/>
    <w:rsid w:val="00F9697B"/>
    <w:rsid w:val="00FA18FB"/>
    <w:rsid w:val="00FA1941"/>
    <w:rsid w:val="00FC24DC"/>
    <w:rsid w:val="00FC3116"/>
    <w:rsid w:val="00FC3FB8"/>
    <w:rsid w:val="00FC63EA"/>
    <w:rsid w:val="00FE0C00"/>
    <w:rsid w:val="00FE1937"/>
    <w:rsid w:val="00FF0248"/>
    <w:rsid w:val="00FF041B"/>
    <w:rsid w:val="00FF2D68"/>
    <w:rsid w:val="00FF3A51"/>
    <w:rsid w:val="00FF4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B3CCD"/>
  <w15:docId w15:val="{BBEB50EC-6118-864A-9FE9-7A243C80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480" w:lineRule="auto"/>
      <w:outlineLvl w:val="0"/>
    </w:pPr>
    <w:rPr>
      <w:rFonts w:eastAsia="Arial"/>
      <w:b/>
      <w:bCs/>
      <w:caps/>
    </w:rPr>
  </w:style>
  <w:style w:type="paragraph" w:styleId="Heading2">
    <w:name w:val="heading 2"/>
    <w:uiPriority w:val="9"/>
    <w:unhideWhenUsed/>
    <w:qFormat/>
    <w:pPr>
      <w:spacing w:before="240" w:after="120" w:line="480" w:lineRule="auto"/>
      <w:outlineLvl w:val="1"/>
    </w:pPr>
    <w:rPr>
      <w:rFonts w:eastAsia="Arial"/>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ndNoteBibliographyTitle">
    <w:name w:val="EndNote Bibliography Title"/>
    <w:basedOn w:val="Normal"/>
    <w:link w:val="EndNoteBibliographyTitleChar"/>
    <w:rsid w:val="00D6314F"/>
    <w:pPr>
      <w:jc w:val="center"/>
    </w:pPr>
  </w:style>
  <w:style w:type="character" w:customStyle="1" w:styleId="EndNoteBibliographyTitleChar">
    <w:name w:val="EndNote Bibliography Title Char"/>
    <w:basedOn w:val="DefaultParagraphFont"/>
    <w:link w:val="EndNoteBibliographyTitle"/>
    <w:rsid w:val="00D6314F"/>
  </w:style>
  <w:style w:type="paragraph" w:customStyle="1" w:styleId="EndNoteBibliography">
    <w:name w:val="EndNote Bibliography"/>
    <w:basedOn w:val="Normal"/>
    <w:link w:val="EndNoteBibliographyChar"/>
    <w:rsid w:val="00D6314F"/>
  </w:style>
  <w:style w:type="character" w:customStyle="1" w:styleId="EndNoteBibliographyChar">
    <w:name w:val="EndNote Bibliography Char"/>
    <w:basedOn w:val="DefaultParagraphFont"/>
    <w:link w:val="EndNoteBibliography"/>
    <w:rsid w:val="00D6314F"/>
  </w:style>
  <w:style w:type="character" w:styleId="UnresolvedMention">
    <w:name w:val="Unresolved Mention"/>
    <w:basedOn w:val="DefaultParagraphFont"/>
    <w:uiPriority w:val="99"/>
    <w:semiHidden/>
    <w:unhideWhenUsed/>
    <w:rsid w:val="00BC5BD7"/>
    <w:rPr>
      <w:color w:val="605E5C"/>
      <w:shd w:val="clear" w:color="auto" w:fill="E1DFDD"/>
    </w:rPr>
  </w:style>
  <w:style w:type="paragraph" w:styleId="Revision">
    <w:name w:val="Revision"/>
    <w:hidden/>
    <w:uiPriority w:val="99"/>
    <w:semiHidden/>
    <w:rsid w:val="00140DE8"/>
  </w:style>
  <w:style w:type="character" w:styleId="CommentReference">
    <w:name w:val="annotation reference"/>
    <w:basedOn w:val="DefaultParagraphFont"/>
    <w:uiPriority w:val="99"/>
    <w:semiHidden/>
    <w:unhideWhenUsed/>
    <w:rsid w:val="0032173F"/>
    <w:rPr>
      <w:sz w:val="16"/>
      <w:szCs w:val="16"/>
    </w:rPr>
  </w:style>
  <w:style w:type="paragraph" w:styleId="CommentText">
    <w:name w:val="annotation text"/>
    <w:basedOn w:val="Normal"/>
    <w:link w:val="CommentTextChar"/>
    <w:uiPriority w:val="99"/>
    <w:unhideWhenUsed/>
    <w:rsid w:val="0032173F"/>
    <w:rPr>
      <w:sz w:val="20"/>
      <w:szCs w:val="20"/>
    </w:rPr>
  </w:style>
  <w:style w:type="character" w:customStyle="1" w:styleId="CommentTextChar">
    <w:name w:val="Comment Text Char"/>
    <w:basedOn w:val="DefaultParagraphFont"/>
    <w:link w:val="CommentText"/>
    <w:uiPriority w:val="99"/>
    <w:rsid w:val="0032173F"/>
    <w:rPr>
      <w:sz w:val="20"/>
      <w:szCs w:val="20"/>
    </w:rPr>
  </w:style>
  <w:style w:type="paragraph" w:styleId="CommentSubject">
    <w:name w:val="annotation subject"/>
    <w:basedOn w:val="CommentText"/>
    <w:next w:val="CommentText"/>
    <w:link w:val="CommentSubjectChar"/>
    <w:uiPriority w:val="99"/>
    <w:semiHidden/>
    <w:unhideWhenUsed/>
    <w:rsid w:val="0032173F"/>
    <w:rPr>
      <w:b/>
      <w:bCs/>
    </w:rPr>
  </w:style>
  <w:style w:type="character" w:customStyle="1" w:styleId="CommentSubjectChar">
    <w:name w:val="Comment Subject Char"/>
    <w:basedOn w:val="CommentTextChar"/>
    <w:link w:val="CommentSubject"/>
    <w:uiPriority w:val="99"/>
    <w:semiHidden/>
    <w:rsid w:val="003217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u-informatics-lab/aou_covi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BAE3096FB2E845818A78E07D04B957" ma:contentTypeVersion="10" ma:contentTypeDescription="Create a new document." ma:contentTypeScope="" ma:versionID="a5fdd70ba73768c693a1d91c7bd6a301">
  <xsd:schema xmlns:xsd="http://www.w3.org/2001/XMLSchema" xmlns:xs="http://www.w3.org/2001/XMLSchema" xmlns:p="http://schemas.microsoft.com/office/2006/metadata/properties" xmlns:ns2="00a8bd55-d538-4219-a108-4714e45030fa" targetNamespace="http://schemas.microsoft.com/office/2006/metadata/properties" ma:root="true" ma:fieldsID="3d31e7d98e2598239ad23962336ebb55" ns2:_="">
    <xsd:import namespace="00a8bd55-d538-4219-a108-4714e45030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a8bd55-d538-4219-a108-4714e4503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0a8bd55-d538-4219-a108-4714e45030f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E8846A-9CF2-4A74-B823-344F463230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a8bd55-d538-4219-a108-4714e4503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F27F2A-4596-4812-9716-529BB3EC6E88}">
  <ds:schemaRefs>
    <ds:schemaRef ds:uri="http://schemas.microsoft.com/office/2006/metadata/properties"/>
    <ds:schemaRef ds:uri="http://schemas.microsoft.com/office/infopath/2007/PartnerControls"/>
    <ds:schemaRef ds:uri="00a8bd55-d538-4219-a108-4714e45030fa"/>
  </ds:schemaRefs>
</ds:datastoreItem>
</file>

<file path=customXml/itemProps3.xml><?xml version="1.0" encoding="utf-8"?>
<ds:datastoreItem xmlns:ds="http://schemas.openxmlformats.org/officeDocument/2006/customXml" ds:itemID="{5B719CC6-3555-4B3F-BD97-798EF58502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1899</TotalTime>
  <Pages>37</Pages>
  <Words>8953</Words>
  <Characters>51034</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Haining</cp:lastModifiedBy>
  <cp:revision>617</cp:revision>
  <dcterms:created xsi:type="dcterms:W3CDTF">2026-07-06T20:17:00Z</dcterms:created>
  <dcterms:modified xsi:type="dcterms:W3CDTF">2026-09-02T21:11:00Z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0x01010006BAE3096FB2E845818A78E07D04B957</vt:lpwstr>
  </property>
  <property fmtid="{D5CDD505-2E9C-101B-9397-08002B2CF9AE}" pid="3" name="MediaServiceImageTags">
    <vt:lpwstr/>
  </property>
  <property fmtid="{D5CDD505-2E9C-101B-9397-08002B2CF9AE}" pid="4" name="GrammarlyDocumentId">
    <vt:lpwstr>4ffc7536-067a-4bd5-9587-aa0c35b95cce</vt:lpwstr>
  </property>
</Properties>
</file>