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85ECFA" w14:textId="7284E487" w:rsidR="00334888" w:rsidRPr="000F6719" w:rsidRDefault="00334888" w:rsidP="00E3018C">
      <w:pPr>
        <w:spacing w:after="240" w:line="480" w:lineRule="auto"/>
        <w:jc w:val="center"/>
        <w:rPr>
          <w:rFonts w:ascii="Times New Roman" w:hAnsi="Times New Roman" w:cs="Times New Roman"/>
        </w:rPr>
      </w:pPr>
      <w:r w:rsidRPr="000F6719">
        <w:rPr>
          <w:rFonts w:ascii="Times New Roman" w:eastAsia="Arial" w:hAnsi="Times New Roman" w:cs="Times New Roman"/>
          <w:b/>
          <w:bCs/>
          <w:sz w:val="28"/>
          <w:szCs w:val="28"/>
        </w:rPr>
        <w:t>Survey-linked EHR measurement of social factors associated with COVID-19 hospitalization in the All of Us Research Program</w:t>
      </w:r>
    </w:p>
    <w:p w14:paraId="730D4EED"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Haining Wang, PhD</w:t>
      </w:r>
      <w:r w:rsidRPr="000F6719">
        <w:rPr>
          <w:rFonts w:ascii="Times New Roman" w:eastAsia="Arial" w:hAnsi="Times New Roman" w:cs="Times New Roman"/>
          <w:vertAlign w:val="superscript"/>
        </w:rPr>
        <w:t>1</w:t>
      </w:r>
      <w:r w:rsidRPr="000F6719">
        <w:rPr>
          <w:rFonts w:ascii="Times New Roman" w:eastAsia="Arial" w:hAnsi="Times New Roman" w:cs="Times New Roman"/>
        </w:rPr>
        <w:t>; Yihan Zhang, BSc(c)</w:t>
      </w:r>
      <w:r w:rsidRPr="000F6719">
        <w:rPr>
          <w:rFonts w:ascii="Times New Roman" w:eastAsia="Arial" w:hAnsi="Times New Roman" w:cs="Times New Roman"/>
          <w:vertAlign w:val="superscript"/>
        </w:rPr>
        <w:t>1,2</w:t>
      </w:r>
      <w:r w:rsidRPr="000F6719">
        <w:rPr>
          <w:rFonts w:ascii="Times New Roman" w:eastAsia="Arial" w:hAnsi="Times New Roman" w:cs="Times New Roman"/>
        </w:rPr>
        <w:t>; Chenxi Xiong, MS</w:t>
      </w:r>
      <w:r w:rsidRPr="000F6719">
        <w:rPr>
          <w:rFonts w:ascii="Times New Roman" w:eastAsia="Arial" w:hAnsi="Times New Roman" w:cs="Times New Roman"/>
          <w:vertAlign w:val="superscript"/>
        </w:rPr>
        <w:t>1,3</w:t>
      </w:r>
      <w:r w:rsidRPr="000F6719">
        <w:rPr>
          <w:rFonts w:ascii="Times New Roman" w:eastAsia="Arial" w:hAnsi="Times New Roman" w:cs="Times New Roman"/>
        </w:rPr>
        <w:t>; Zhao Zhang, MD</w:t>
      </w:r>
      <w:r w:rsidRPr="000F6719">
        <w:rPr>
          <w:rFonts w:ascii="Times New Roman" w:eastAsia="Arial" w:hAnsi="Times New Roman" w:cs="Times New Roman"/>
          <w:vertAlign w:val="superscript"/>
        </w:rPr>
        <w:t>1,4</w:t>
      </w:r>
      <w:r w:rsidRPr="000F6719">
        <w:rPr>
          <w:rFonts w:ascii="Times New Roman" w:eastAsia="Arial" w:hAnsi="Times New Roman" w:cs="Times New Roman"/>
        </w:rPr>
        <w:t xml:space="preserve">; </w:t>
      </w:r>
      <w:proofErr w:type="spellStart"/>
      <w:r w:rsidRPr="000F6719">
        <w:rPr>
          <w:rFonts w:ascii="Times New Roman" w:eastAsia="Arial" w:hAnsi="Times New Roman" w:cs="Times New Roman"/>
        </w:rPr>
        <w:t>Jiangqiong</w:t>
      </w:r>
      <w:proofErr w:type="spellEnd"/>
      <w:r w:rsidRPr="000F6719">
        <w:rPr>
          <w:rFonts w:ascii="Times New Roman" w:eastAsia="Arial" w:hAnsi="Times New Roman" w:cs="Times New Roman"/>
        </w:rPr>
        <w:t xml:space="preserve"> Li, PhD</w:t>
      </w:r>
      <w:r w:rsidRPr="000F6719">
        <w:rPr>
          <w:rFonts w:ascii="Times New Roman" w:eastAsia="Arial" w:hAnsi="Times New Roman" w:cs="Times New Roman"/>
          <w:vertAlign w:val="superscript"/>
        </w:rPr>
        <w:t>1</w:t>
      </w:r>
      <w:r w:rsidRPr="000F6719">
        <w:rPr>
          <w:rFonts w:ascii="Times New Roman" w:eastAsia="Arial" w:hAnsi="Times New Roman" w:cs="Times New Roman"/>
        </w:rPr>
        <w:t>; Hengyi Fu, PhD</w:t>
      </w:r>
      <w:r w:rsidRPr="000F6719">
        <w:rPr>
          <w:rFonts w:ascii="Times New Roman" w:eastAsia="Arial" w:hAnsi="Times New Roman" w:cs="Times New Roman"/>
          <w:vertAlign w:val="superscript"/>
        </w:rPr>
        <w:t>5</w:t>
      </w:r>
      <w:r w:rsidRPr="000F6719">
        <w:rPr>
          <w:rFonts w:ascii="Times New Roman" w:eastAsia="Arial" w:hAnsi="Times New Roman" w:cs="Times New Roman"/>
        </w:rPr>
        <w:t>; Xiaojun Yuan, PhD</w:t>
      </w:r>
      <w:r w:rsidRPr="000F6719">
        <w:rPr>
          <w:rFonts w:ascii="Times New Roman" w:eastAsia="Arial" w:hAnsi="Times New Roman" w:cs="Times New Roman"/>
          <w:vertAlign w:val="superscript"/>
        </w:rPr>
        <w:t>6</w:t>
      </w:r>
      <w:r w:rsidRPr="000F6719">
        <w:rPr>
          <w:rFonts w:ascii="Times New Roman" w:eastAsia="Arial" w:hAnsi="Times New Roman" w:cs="Times New Roman"/>
        </w:rPr>
        <w:t xml:space="preserve">; </w:t>
      </w:r>
      <w:proofErr w:type="spellStart"/>
      <w:r w:rsidRPr="000F6719">
        <w:rPr>
          <w:rFonts w:ascii="Times New Roman" w:eastAsia="Arial" w:hAnsi="Times New Roman" w:cs="Times New Roman"/>
        </w:rPr>
        <w:t>Xiaochun</w:t>
      </w:r>
      <w:proofErr w:type="spellEnd"/>
      <w:r w:rsidRPr="000F6719">
        <w:rPr>
          <w:rFonts w:ascii="Times New Roman" w:eastAsia="Arial" w:hAnsi="Times New Roman" w:cs="Times New Roman"/>
        </w:rPr>
        <w:t xml:space="preserve"> Li, PhD</w:t>
      </w:r>
      <w:r w:rsidRPr="000F6719">
        <w:rPr>
          <w:rFonts w:ascii="Times New Roman" w:eastAsia="Arial" w:hAnsi="Times New Roman" w:cs="Times New Roman"/>
          <w:vertAlign w:val="superscript"/>
        </w:rPr>
        <w:t>1</w:t>
      </w:r>
      <w:r w:rsidRPr="000F6719">
        <w:rPr>
          <w:rFonts w:ascii="Times New Roman" w:eastAsia="Arial" w:hAnsi="Times New Roman" w:cs="Times New Roman"/>
        </w:rPr>
        <w:t>; Jing Su, PhD</w:t>
      </w:r>
      <w:r w:rsidRPr="000F6719">
        <w:rPr>
          <w:rFonts w:ascii="Times New Roman" w:eastAsia="Arial" w:hAnsi="Times New Roman" w:cs="Times New Roman"/>
          <w:vertAlign w:val="superscript"/>
        </w:rPr>
        <w:t>1</w:t>
      </w:r>
      <w:r w:rsidRPr="000F6719">
        <w:rPr>
          <w:rFonts w:ascii="Times New Roman" w:eastAsia="Arial" w:hAnsi="Times New Roman" w:cs="Times New Roman"/>
        </w:rPr>
        <w:t>*</w:t>
      </w:r>
    </w:p>
    <w:p w14:paraId="730D4EEE" w14:textId="77777777"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vertAlign w:val="superscript"/>
        </w:rPr>
        <w:t>1</w:t>
      </w:r>
      <w:r w:rsidRPr="000F6719">
        <w:rPr>
          <w:rFonts w:ascii="Times New Roman" w:eastAsia="Arial" w:hAnsi="Times New Roman" w:cs="Times New Roman"/>
        </w:rPr>
        <w:t xml:space="preserve"> Department of Biostatistics and Health Data Science, Indiana University School of Medicine, Indianapolis, IN 46202, United States</w:t>
      </w:r>
    </w:p>
    <w:p w14:paraId="730D4EEF" w14:textId="77777777"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vertAlign w:val="superscript"/>
        </w:rPr>
        <w:t>2</w:t>
      </w:r>
      <w:r w:rsidRPr="000F6719">
        <w:rPr>
          <w:rFonts w:ascii="Times New Roman" w:eastAsia="Arial" w:hAnsi="Times New Roman" w:cs="Times New Roman"/>
        </w:rPr>
        <w:t xml:space="preserve"> School of Interdisciplinary Science, McMaster University, Hamilton, ON L8S 4L8, Canada</w:t>
      </w:r>
    </w:p>
    <w:p w14:paraId="730D4EF0" w14:textId="77777777"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vertAlign w:val="superscript"/>
        </w:rPr>
        <w:t>3</w:t>
      </w:r>
      <w:r w:rsidRPr="000F6719">
        <w:rPr>
          <w:rFonts w:ascii="Times New Roman" w:eastAsia="Arial" w:hAnsi="Times New Roman" w:cs="Times New Roman"/>
        </w:rPr>
        <w:t xml:space="preserve"> Department of Computer and Information Technology, Purdue University, West Lafayette, IN 47907, United States</w:t>
      </w:r>
    </w:p>
    <w:p w14:paraId="730D4EF1" w14:textId="0757E6F3"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vertAlign w:val="superscript"/>
        </w:rPr>
        <w:t>4</w:t>
      </w:r>
      <w:r w:rsidRPr="000F6719">
        <w:rPr>
          <w:rFonts w:ascii="Times New Roman" w:eastAsia="Arial" w:hAnsi="Times New Roman" w:cs="Times New Roman"/>
        </w:rPr>
        <w:t xml:space="preserve"> Department of Anesthesiology, Tianjin Chest Hospital, Tianjin, China</w:t>
      </w:r>
    </w:p>
    <w:p w14:paraId="730D4EF2" w14:textId="77777777"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vertAlign w:val="superscript"/>
        </w:rPr>
        <w:t>5</w:t>
      </w:r>
      <w:r w:rsidRPr="000F6719">
        <w:rPr>
          <w:rFonts w:ascii="Times New Roman" w:eastAsia="Arial" w:hAnsi="Times New Roman" w:cs="Times New Roman"/>
        </w:rPr>
        <w:t xml:space="preserve"> School of Information, San José State University, San José, CA 95192, United States</w:t>
      </w:r>
    </w:p>
    <w:p w14:paraId="730D4EF3" w14:textId="77777777"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vertAlign w:val="superscript"/>
        </w:rPr>
        <w:t>6</w:t>
      </w:r>
      <w:r w:rsidRPr="000F6719">
        <w:rPr>
          <w:rFonts w:ascii="Times New Roman" w:eastAsia="Arial" w:hAnsi="Times New Roman" w:cs="Times New Roman"/>
        </w:rPr>
        <w:t xml:space="preserve"> Department of Information Sciences and Technology, College of Emergency Preparedness, Homeland Security and Cybersecurity, University at Albany, State University of New York, Albany, NY 12226, United States</w:t>
      </w:r>
    </w:p>
    <w:p w14:paraId="730D4EF4" w14:textId="782D4A9B" w:rsidR="00841284" w:rsidRPr="000F6719" w:rsidRDefault="00D413D7" w:rsidP="00E3018C">
      <w:pPr>
        <w:spacing w:line="480" w:lineRule="auto"/>
        <w:rPr>
          <w:rFonts w:ascii="Times New Roman" w:hAnsi="Times New Roman" w:cs="Times New Roman"/>
        </w:rPr>
      </w:pPr>
      <w:r w:rsidRPr="000F6719">
        <w:rPr>
          <w:rFonts w:ascii="Times New Roman" w:eastAsia="Arial" w:hAnsi="Times New Roman" w:cs="Times New Roman"/>
        </w:rPr>
        <w:t>* Corresponding author: Jing Su, PhD, Associate Professor, Department of Biostatistics and Health Data Science, Indiana University School of Medicine, 410 W. 10th Street, HITS 3000, Indianapolis, IN 46202, United States. Telephone: +1 317-278-2950. Email: su1@iu.edu</w:t>
      </w:r>
    </w:p>
    <w:p>
      <w:pPr>
        <w:spacing w:line="480" w:lineRule="auto"/>
      </w:pPr>
      <w:r>
        <w:rPr>
          <w:rFonts w:ascii="Times New Roman" w:hAnsi="Times New Roman"/>
        </w:rPr>
        <w:t>Word count: 3,590 (excluding title page, abstract, references, tables, and figure legends). Abstract: 247 words. Tables: 3. Figures: 5.</w:t>
      </w:r>
    </w:p>
    <w:p w14:paraId="730D4EF5" w14:textId="21DDA583"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Keywords:</w:t>
      </w:r>
      <w:r w:rsidRPr="000F6719">
        <w:rPr>
          <w:rFonts w:ascii="Times New Roman" w:eastAsia="Arial" w:hAnsi="Times New Roman" w:cs="Times New Roman"/>
        </w:rPr>
        <w:t xml:space="preserve"> Health Status Disparities; Social Determinants of Health; Electronic Health Records; COVID-19; Hospitalization.</w:t>
      </w:r>
    </w:p>
    <w:p w14:paraId="730D4EF6"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ABSTRACT</w:t>
      </w:r>
    </w:p>
    <w:p w14:paraId="730D4EF7" w14:textId="3F1A67D5"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Objective:</w:t>
      </w:r>
      <w:r w:rsidRPr="000F6719">
        <w:rPr>
          <w:rFonts w:ascii="Times New Roman" w:eastAsia="Arial" w:hAnsi="Times New Roman" w:cs="Times New Roman"/>
        </w:rPr>
        <w:t xml:space="preserve"> To examine whether survey-derived social determinants of health (SDoH) are associated with COVID-19 hospitalization beyond demographic and clinical factors.</w:t>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623D51" w:rsidRPr="00623D51">
        <w:rPr>
          <w:rFonts w:ascii="Times New Roman" w:eastAsia="Arial" w:hAnsi="Times New Roman" w:cs="Times New Roman"/>
        </w:rPr>
      </w:r>
      <w:r w:rsidRPr="000F6719">
        <w:rPr>
          <w:rFonts w:ascii="Times New Roman" w:eastAsia="Arial" w:hAnsi="Times New Roman" w:cs="Times New Roman"/>
        </w:rPr>
      </w:r>
    </w:p>
    <w:p w14:paraId="730D4EF8" w14:textId="6949C010"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Materials and Methods: Propensity score-matched case-control study in All of Us (n = 25,160 COVID-positive). The 4,064 cases hospitalized within 14 days of diagnosis were matched to controls on encounter-density proxies. Conditional logistic models estimated adjusted odds ratios (AORs) for 19 Charlson comorbidities and six SDoH domains, separately and jointly. Clinical and demographic associations were compared with MarketScan (n = 4.4M).</w:t>
      </w:r>
      <w:r w:rsidRPr="000F6719">
        <w:rPr>
          <w:rFonts w:ascii="Times New Roman" w:eastAsia="Arial" w:hAnsi="Times New Roman" w:cs="Times New Roman"/>
        </w:rPr>
      </w:r>
      <w:r w:rsidR="00FC63EA" w:rsidRPr="00FC63EA">
        <w:rPr>
          <w:rFonts w:ascii="Times New Roman" w:eastAsia="Arial" w:hAnsi="Times New Roman" w:cs="Times New Roman"/>
        </w:rPr>
      </w:r>
      <w:proofErr w:type="spellStart"/>
      <w:r w:rsidR="00FC63EA" w:rsidRPr="00FC63EA">
        <w:rPr>
          <w:rFonts w:ascii="Times New Roman" w:eastAsia="Arial" w:hAnsi="Times New Roman" w:cs="Times New Roman"/>
        </w:rPr>
      </w:r>
      <w:proofErr w:type="spellEnd"/>
      <w:r w:rsidR="00FC63EA" w:rsidRPr="00FC63EA">
        <w:rPr>
          <w:rFonts w:ascii="Times New Roman" w:eastAsia="Arial" w:hAnsi="Times New Roman" w:cs="Times New Roman"/>
        </w:rPr>
      </w:r>
      <w:r w:rsidRPr="000F6719">
        <w:rPr>
          <w:rFonts w:ascii="Times New Roman" w:eastAsia="Arial" w:hAnsi="Times New Roman" w:cs="Times New Roman"/>
        </w:rPr>
      </w:r>
      <w:r w:rsidR="00344958" w:rsidRPr="000F6719">
        <w:rPr>
          <w:rFonts w:ascii="Times New Roman" w:eastAsia="Arial" w:hAnsi="Times New Roman" w:cs="Times New Roman"/>
        </w:rPr>
      </w:r>
      <w:r w:rsidRPr="000F6719">
        <w:rPr>
          <w:rFonts w:ascii="Times New Roman" w:eastAsia="Arial" w:hAnsi="Times New Roman" w:cs="Times New Roman"/>
        </w:rPr>
      </w:r>
    </w:p>
    <w:p w14:paraId="730D4EF9" w14:textId="044757CB"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Results: Medicaid (AOR 1.59; 1.33 jointly), income &lt;$10,000 (1.46; 1.18), unemployment (1.41; 1.23), and renting (1.28; 1.13) persisted in both models. Two upper-middle income strata were also elevated jointly ($100,000-149,999, 1.24; $150,000-199,999, 1.26), so the income pattern was not monotonic. Six-domain adjustment moved the Black-race AOR from 2.30 to 2.00 (1.81-2.20); across waves it was 3.00, 2.98, and 1.65, with SDoH attenuation of 11.5%, 29.1%, and 30.1%, not compared formally. The income association persisted through Omicron (1.64). Twenty of 25 comparable estimates agreed in direction with MarketScan, a weak criterion.</w:t>
      </w:r>
      <w:r w:rsidRPr="000F6719">
        <w:rPr>
          <w:rFonts w:ascii="Times New Roman" w:eastAsia="Arial" w:hAnsi="Times New Roman" w:cs="Times New Roman"/>
        </w:rPr>
      </w:r>
      <w:r w:rsidR="00A454A2" w:rsidRPr="000F6719">
        <w:rPr>
          <w:rFonts w:ascii="Times New Roman" w:eastAsia="Arial" w:hAnsi="Times New Roman" w:cs="Times New Roman"/>
        </w:rPr>
      </w:r>
      <w:proofErr w:type="spellStart"/>
      <w:r w:rsidR="00A454A2" w:rsidRPr="000F6719">
        <w:rPr>
          <w:rFonts w:ascii="Times New Roman" w:eastAsia="Arial" w:hAnsi="Times New Roman" w:cs="Times New Roman"/>
        </w:rPr>
      </w:r>
      <w:proofErr w:type="spellEnd"/>
      <w:r w:rsidR="00A454A2" w:rsidRPr="000F6719">
        <w:rPr>
          <w:rFonts w:ascii="Times New Roman" w:eastAsia="Arial" w:hAnsi="Times New Roman" w:cs="Times New Roman"/>
        </w:rPr>
      </w:r>
      <w:r w:rsidRPr="000F6719">
        <w:rPr>
          <w:rFonts w:ascii="Times New Roman" w:eastAsia="Arial" w:hAnsi="Times New Roman" w:cs="Times New Roman"/>
        </w:rPr>
      </w:r>
    </w:p>
    <w:p w14:paraId="730D4EFA"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Discussion: Four social domains remained associated after demographic and clinical adjustment. The survey supplied social detail absent from structured EHR fields, which document 0-2% of encounters. Whether recording them would improve a screening decision is a question this design does not address.</w:t>
      </w:r>
      <w:r w:rsidRPr="000F6719">
        <w:rPr>
          <w:rFonts w:ascii="Times New Roman" w:eastAsia="Arial" w:hAnsi="Times New Roman" w:cs="Times New Roman"/>
        </w:rPr>
      </w:r>
    </w:p>
    <w:p w14:paraId="730D4EFB"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Conclusion: Insurance, income, employment, and housing were independently associated with COVID-19 hospitalization after clinical adjustment, although the income association was not monotonic. Interpretation depends on survey timing and on overlap among the social domains.</w:t>
      </w:r>
      <w:r w:rsidRPr="000F6719">
        <w:rPr>
          <w:rFonts w:ascii="Times New Roman" w:eastAsia="Arial" w:hAnsi="Times New Roman" w:cs="Times New Roman"/>
        </w:rPr>
      </w:r>
    </w:p>
    <w:p w14:paraId="730D4EFC" w14:textId="77777777" w:rsidR="00841284" w:rsidRPr="000F6719" w:rsidRDefault="00841284" w:rsidP="00E3018C">
      <w:pPr>
        <w:spacing w:line="480" w:lineRule="auto"/>
        <w:rPr>
          <w:rFonts w:ascii="Times New Roman" w:hAnsi="Times New Roman" w:cs="Times New Roman"/>
        </w:rPr>
      </w:pPr>
    </w:p>
    <w:p w14:paraId="730D4EFD"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INTRODUCTION</w:t>
      </w:r>
    </w:p>
    <w:p w14:paraId="6F28C611" w14:textId="093FBB00" w:rsidR="00C77A53" w:rsidRPr="000F6719" w:rsidRDefault="000F1AAC" w:rsidP="00505CBE">
      <w:pPr>
        <w:spacing w:after="120" w:line="480" w:lineRule="auto"/>
        <w:rPr>
          <w:rFonts w:ascii="Times New Roman" w:eastAsia="Arial" w:hAnsi="Times New Roman" w:cs="Times New Roman"/>
        </w:rPr>
      </w:pPr>
      <w:r w:rsidRPr="000F6719">
        <w:rPr>
          <w:rFonts w:ascii="Times New Roman" w:eastAsia="Arial" w:hAnsi="Times New Roman" w:cs="Times New Roman"/>
        </w:rPr>
        <w:t>Respiratory viral pandemics will continue to emerge, and each will reproduce the health disparities observed during COVID-19 unless preparedness planning incorporates social risk factors alongside clinical ones.[1-3] COVID-19 provided a natural experiment: hospitalization fell disproportionately on Black, Hispanic, and lower-income populations throughout the pandemic,[4, 5] and meta-analytic evidence places the pooled standardised hospitalisation ratio for Black populations near 1.9 (1.87, 95% CI 1.69-2.04) against 0.74 for White populations.[6] What remains contested is how much of that excess reflects specific, measurable individual social conditions, and how much reflects structural factors that individual-level data cannot capture.</w:t>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noProof/>
        </w:rPr>
      </w:r>
      <w:r w:rsidR="00AC2EEF" w:rsidRPr="000F6719">
        <w:rPr>
          <w:rFonts w:ascii="Times New Roman" w:eastAsia="Arial" w:hAnsi="Times New Roman" w:cs="Times New Roman"/>
        </w:rPr>
      </w:r>
      <w:r w:rsidRPr="000F6719">
        <w:rPr>
          <w:rFonts w:ascii="Times New Roman" w:eastAsia="Arial" w:hAnsi="Times New Roman" w:cs="Times New Roman"/>
        </w:rPr>
      </w:r>
      <w:r w:rsidR="00D413D7" w:rsidRPr="000F6719">
        <w:rPr>
          <w:rFonts w:ascii="Times New Roman" w:eastAsia="Arial" w:hAnsi="Times New Roman" w:cs="Times New Roman"/>
        </w:rPr>
      </w:r>
      <w:r w:rsidR="00C77A53" w:rsidRPr="000F6719">
        <w:rPr>
          <w:rFonts w:ascii="Times New Roman" w:eastAsia="Arial" w:hAnsi="Times New Roman" w:cs="Times New Roman"/>
        </w:rPr>
      </w:r>
      <w:r w:rsidR="00D413D7"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AC2EEF" w:rsidRPr="000F6719">
        <w:rPr>
          <w:rFonts w:ascii="Times New Roman" w:eastAsia="Arial" w:hAnsi="Times New Roman" w:cs="Times New Roman"/>
          <w:noProof/>
        </w:rPr>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BE10EC"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noProof/>
        </w:rPr>
      </w:r>
      <w:r w:rsidR="000E4F3D" w:rsidRPr="000F6719">
        <w:rPr>
          <w:rFonts w:ascii="Times New Roman" w:eastAsia="Arial" w:hAnsi="Times New Roman" w:cs="Times New Roman"/>
        </w:rPr>
      </w:r>
      <w:r w:rsidR="00BE10EC" w:rsidRPr="000F6719">
        <w:rPr>
          <w:rFonts w:ascii="Times New Roman" w:eastAsia="Arial" w:hAnsi="Times New Roman" w:cs="Times New Roman"/>
        </w:rPr>
      </w:r>
      <w:r w:rsidR="00F8203C" w:rsidRPr="000F6719">
        <w:rPr>
          <w:rFonts w:ascii="Times New Roman" w:eastAsia="Arial" w:hAnsi="Times New Roman" w:cs="Times New Roman"/>
        </w:rPr>
      </w:r>
      <w:r w:rsidR="00BE10EC" w:rsidRPr="000F6719">
        <w:rPr>
          <w:rFonts w:ascii="Times New Roman" w:eastAsia="Arial" w:hAnsi="Times New Roman" w:cs="Times New Roman"/>
        </w:rPr>
      </w:r>
    </w:p>
    <w:p w14:paraId="730D4EFD"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BACKGROUND AND SIGNIFICANCE</w:t>
      </w:r>
    </w:p>
    <w:p w14:paraId="730D4EFE" w14:textId="140C35A1" w:rsidR="00841284" w:rsidRPr="000F6719" w:rsidRDefault="00D413D7" w:rsidP="00505CBE">
      <w:pPr>
        <w:spacing w:after="120" w:line="480" w:lineRule="auto"/>
        <w:rPr>
          <w:rFonts w:ascii="Times New Roman" w:eastAsia="Arial" w:hAnsi="Times New Roman" w:cs="Times New Roman"/>
        </w:rPr>
      </w:pPr>
      <w:r w:rsidRPr="000F6719">
        <w:rPr>
          <w:rFonts w:ascii="Times New Roman" w:eastAsia="Arial" w:hAnsi="Times New Roman" w:cs="Times New Roman"/>
        </w:rPr>
        <w:t>The exposure most often used to answer that question is an area-level deprivation index, and it is a poor proxy for the circumstances of an individual patient. County-level analyses have linked composite indices to higher incidence and mortality,[7] and the Social Deprivation Index predicted COVID-19 case rates but did not improve prediction of in-hospital outcome once demographics, comorbidities, and vitals were included.[8] In a national Medicare sample, area deprivation indices had low sensitivity for identifying patients with self-reported needs,[9] and in over 1.3 million community health center patients, none of the tested indices predicted individual social risk better than chance.[10]</w:t>
      </w:r>
      <w:r w:rsidR="005263EB"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Pr="000F6719">
        <w:rPr>
          <w:rFonts w:ascii="Times New Roman" w:eastAsia="Arial" w:hAnsi="Times New Roman" w:cs="Times New Roman"/>
        </w:rPr>
      </w:r>
      <w:r w:rsidR="000E4F3D"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00906E17"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Pr="000F6719">
        <w:rPr>
          <w:rFonts w:ascii="Times New Roman" w:eastAsia="Arial" w:hAnsi="Times New Roman" w:cs="Times New Roman"/>
        </w:rPr>
      </w:r>
      <w:r w:rsidR="000E4F3D"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002D36C7" w:rsidRPr="000F6719">
        <w:rPr>
          <w:rFonts w:ascii="Times New Roman" w:eastAsia="Arial" w:hAnsi="Times New Roman" w:cs="Times New Roman"/>
        </w:rPr>
      </w:r>
      <w:r w:rsidR="006B588A"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6B588A" w:rsidRPr="000F6719">
        <w:rPr>
          <w:rFonts w:ascii="Times New Roman" w:eastAsia="Arial" w:hAnsi="Times New Roman" w:cs="Times New Roman"/>
        </w:rPr>
      </w:r>
      <w:r w:rsidR="000E4F3D" w:rsidRPr="000F6719">
        <w:rPr>
          <w:rFonts w:ascii="Times New Roman" w:eastAsia="Arial" w:hAnsi="Times New Roman" w:cs="Times New Roman"/>
          <w:noProof/>
        </w:rPr>
      </w:r>
      <w:r w:rsidR="006B588A" w:rsidRPr="000F6719">
        <w:rPr>
          <w:rFonts w:ascii="Times New Roman" w:eastAsia="Arial" w:hAnsi="Times New Roman" w:cs="Times New Roman"/>
        </w:rPr>
      </w:r>
      <w:r w:rsidR="002D36C7" w:rsidRPr="000F6719">
        <w:rPr>
          <w:rFonts w:ascii="Times New Roman" w:eastAsia="Arial" w:hAnsi="Times New Roman" w:cs="Times New Roman"/>
        </w:rPr>
      </w:r>
      <w:r w:rsidR="006B588A" w:rsidRPr="000F6719">
        <w:rPr>
          <w:rFonts w:ascii="Times New Roman" w:eastAsia="Arial" w:hAnsi="Times New Roman" w:cs="Times New Roman"/>
        </w:rPr>
      </w:r>
      <w:r w:rsidR="000E4F3D" w:rsidRPr="000F6719">
        <w:rPr>
          <w:rFonts w:ascii="Times New Roman" w:eastAsia="Arial" w:hAnsi="Times New Roman" w:cs="Times New Roman"/>
        </w:rPr>
      </w:r>
      <w:r w:rsidR="006B588A" w:rsidRPr="000F6719">
        <w:rPr>
          <w:rFonts w:ascii="Times New Roman" w:eastAsia="Arial" w:hAnsi="Times New Roman" w:cs="Times New Roman"/>
        </w:rPr>
      </w:r>
      <w:r w:rsidR="000E4F3D" w:rsidRPr="000F6719">
        <w:rPr>
          <w:rFonts w:ascii="Times New Roman" w:eastAsia="Arial" w:hAnsi="Times New Roman" w:cs="Times New Roman"/>
          <w:noProof/>
        </w:rPr>
      </w:r>
      <w:r w:rsidR="006B588A" w:rsidRPr="000F6719">
        <w:rPr>
          <w:rFonts w:ascii="Times New Roman" w:eastAsia="Arial" w:hAnsi="Times New Roman" w:cs="Times New Roman"/>
        </w:rPr>
      </w:r>
      <w:r w:rsidR="004D253F"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Microsoft YaHei" w:hAnsi="Times New Roman" w:cs="Times New Roman"/>
        </w:rPr>
      </w:r>
      <w:r w:rsidRPr="000F6719">
        <w:rPr>
          <w:rFonts w:ascii="Times New Roman" w:eastAsia="Arial" w:hAnsi="Times New Roman" w:cs="Times New Roman"/>
        </w:rPr>
      </w:r>
    </w:p>
    <w:p w14:paraId="730D4EFF" w14:textId="1C840966"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The individual-level alternative, social risk coded in the electronic health record (EHR), is documented in fewer than 2% of encounters.[14-16] Two recent analyses worked around this. In All of Us, Choi et al. found an income gradient and no association with education, entering income, education, and an area-level index simultaneously in a single multivariable model.[11] Within the National COVID Cohort Collaborative (N3C), which has supported detailed characterization of clinical risk for COVID-19 severity,[12, 13] Vaidya et al. evaluated individual-level social determinants of health (SDoH) across three Healthy People 2030 domains and found all three associated with hospitalization, but drew exposures from those same sparsely coded EHR fields.[16] Neither study modelled multiple survey-derived domains jointly to assess mutual confounding, and neither matched on encounter density to address informative presence bias, the tendency for sicker and more socially complex patients to generate more EHR data and so to confound associations derived from those records.[17]</w:t>
      </w:r>
      <w:r w:rsidR="000802B9" w:rsidRPr="000F6719">
        <w:rPr>
          <w:rFonts w:ascii="Times New Roman" w:eastAsia="Arial" w:hAnsi="Times New Roman" w:cs="Times New Roman"/>
        </w:rPr>
      </w:r>
      <w:r w:rsidR="00584712" w:rsidRPr="000F6719">
        <w:rPr>
          <w:rFonts w:ascii="Times New Roman" w:eastAsia="Arial" w:hAnsi="Times New Roman" w:cs="Times New Roman"/>
        </w:rPr>
      </w:r>
      <w:r w:rsidRPr="000F6719">
        <w:rPr>
          <w:rFonts w:ascii="Times New Roman" w:eastAsia="Arial" w:hAnsi="Times New Roman" w:cs="Times New Roman"/>
        </w:rPr>
      </w:r>
      <w:r w:rsidR="00DD7628"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000E4F3D" w:rsidRPr="000F6719">
        <w:rPr>
          <w:rFonts w:ascii="Times New Roman" w:eastAsia="Arial" w:hAnsi="Times New Roman" w:cs="Times New Roman"/>
        </w:rPr>
      </w:r>
      <w:r w:rsidRPr="000F6719">
        <w:rPr>
          <w:rFonts w:ascii="Times New Roman" w:eastAsia="Arial" w:hAnsi="Times New Roman" w:cs="Times New Roman"/>
        </w:rPr>
      </w:r>
      <w:r w:rsidR="000E4F3D" w:rsidRPr="000F6719">
        <w:rPr>
          <w:rFonts w:ascii="Times New Roman" w:eastAsia="Arial" w:hAnsi="Times New Roman" w:cs="Times New Roman"/>
          <w:noProof/>
        </w:rPr>
      </w:r>
      <w:r w:rsidRPr="000F6719">
        <w:rPr>
          <w:rFonts w:ascii="Times New Roman" w:eastAsia="Arial" w:hAnsi="Times New Roman" w:cs="Times New Roman"/>
        </w:rPr>
      </w:r>
      <w:r w:rsidR="0066634E"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noProof/>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proofErr w:type="spellStart"/>
      <w:r w:rsidR="009A7915" w:rsidRPr="000F6719">
        <w:rPr>
          <w:rFonts w:ascii="Times New Roman" w:eastAsia="Arial" w:hAnsi="Times New Roman" w:cs="Times New Roman"/>
        </w:rPr>
      </w:r>
      <w:proofErr w:type="spellEnd"/>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p>
    <w:p w14:paraId="730D4F00" w14:textId="4EAB6999"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Two or three individual-level variables plus an area-level index cannot show which of the wider set of social domains carry independent signal, nor which share it. Here we evaluate six survey-derived social domains (insurance, income, education, employment, housing tenure and stability, and disability) in 25,160 COVID-positive All of Us participants, using a matched case-control design that balances encounter-density proxies rather than clinical severity.[18] We ask which domains remain associated with COVID-19 hospitalization after mutual adjustment and control for 19 Charlson comorbidities, vaccination, and pandemic wave; how much measured SDoH attenuate the Black-race hospitalization association; and how the social and racial associations differ from pre-Delta through Omicron, as vaccines became available. We compare clinical and demographic associations with MarketScan Commercial Claims (n = 4.4 million) as a cross-cohort check.</w:t>
      </w:r>
      <w:r w:rsidR="00922757" w:rsidRPr="000F6719">
        <w:rPr>
          <w:rFonts w:ascii="Times New Roman" w:eastAsia="Arial" w:hAnsi="Times New Roman" w:cs="Times New Roman"/>
        </w:rPr>
      </w:r>
      <w:r w:rsidRPr="000F6719">
        <w:rPr>
          <w:rFonts w:ascii="Times New Roman" w:eastAsia="Arial" w:hAnsi="Times New Roman" w:cs="Times New Roman"/>
        </w:rPr>
      </w:r>
      <w:r w:rsidR="00E50C69" w:rsidRPr="000F6719">
        <w:rPr>
          <w:rFonts w:ascii="Times New Roman" w:eastAsia="Arial" w:hAnsi="Times New Roman" w:cs="Times New Roman"/>
        </w:rPr>
      </w:r>
      <w:r w:rsidRPr="000F6719">
        <w:rPr>
          <w:rFonts w:ascii="Times New Roman" w:eastAsia="Arial" w:hAnsi="Times New Roman" w:cs="Times New Roman"/>
        </w:rPr>
      </w:r>
      <w:r w:rsidR="001B33B2" w:rsidRPr="000F6719">
        <w:rPr>
          <w:rFonts w:ascii="Times New Roman" w:eastAsia="Arial" w:hAnsi="Times New Roman" w:cs="Times New Roman"/>
        </w:rPr>
      </w:r>
      <w:r w:rsidR="001B33B2"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757107" w:rsidRPr="000F6719">
        <w:rPr>
          <w:rFonts w:ascii="Times New Roman" w:eastAsia="Arial" w:hAnsi="Times New Roman" w:cs="Times New Roman"/>
        </w:rPr>
      </w:r>
    </w:p>
    <w:p w14:paraId="730D4F01" w14:textId="77777777" w:rsidR="00841284" w:rsidRPr="000F6719" w:rsidRDefault="00841284" w:rsidP="00E3018C">
      <w:pPr>
        <w:spacing w:line="480" w:lineRule="auto"/>
        <w:rPr>
          <w:rFonts w:ascii="Times New Roman" w:hAnsi="Times New Roman" w:cs="Times New Roman"/>
        </w:rPr>
      </w:pPr>
    </w:p>
    <w:p w14:paraId="730D4F02"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METHODS</w:t>
      </w:r>
    </w:p>
    <w:p w14:paraId="730D4F03" w14:textId="0F804C7B" w:rsidR="00841284" w:rsidRPr="000F6719" w:rsidRDefault="00D413D7"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We conducted a propensity score–matched case-control study using All of Us Research Program data.</w:t>
      </w:r>
      <w:r w:rsidRPr="000F6719">
        <w:rPr>
          <w:rFonts w:ascii="Times New Roman" w:eastAsia="Arial" w:hAnsi="Times New Roman" w:cs="Times New Roman"/>
        </w:rPr>
        <w:fldChar w:fldCharType="begin">
          <w:fldData xml:space="preserve">PEVuZE5vdGU+PENpdGU+PEF1dGhvcj5EZW5ueTwvQXV0aG9yPjxZZWFyPjIwMTk8L1llYXI+PFJl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</w:fldData>
        </w:fldChar>
      </w:r>
      <w:r w:rsidR="009A7915" w:rsidRPr="000F6719">
        <w:rPr>
          <w:rFonts w:ascii="Times New Roman" w:eastAsia="Arial" w:hAnsi="Times New Roman" w:cs="Times New Roman"/>
        </w:rPr>
        <w:instrText xml:space="preserve"> ADDIN EN.CITE </w:instrText>
      </w:r>
      <w:r w:rsidR="009A7915" w:rsidRPr="000F6719">
        <w:rPr>
          <w:rFonts w:ascii="Times New Roman" w:eastAsia="Arial" w:hAnsi="Times New Roman" w:cs="Times New Roman"/>
        </w:rPr>
        <w:fldChar w:fldCharType="begin">
          <w:fldData xml:space="preserve">PEVuZE5vdGU+PENpdGU+PEF1dGhvcj5EZW5ueTwvQXV0aG9yPjxZZWFyPjIwMTk8L1llYXI+PFJl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</w:fldData>
        </w:fldChar>
      </w:r>
      <w:r w:rsidR="009A7915" w:rsidRPr="000F6719">
        <w:rPr>
          <w:rFonts w:ascii="Times New Roman" w:eastAsia="Arial" w:hAnsi="Times New Roman" w:cs="Times New Roman"/>
        </w:rPr>
        <w:instrText xml:space="preserve"> ADDIN EN.CITE.DATA </w:instrText>
      </w:r>
      <w:r w:rsidR="009A7915" w:rsidRPr="000F6719">
        <w:rPr>
          <w:rFonts w:ascii="Times New Roman" w:eastAsia="Arial" w:hAnsi="Times New Roman" w:cs="Times New Roman"/>
        </w:rPr>
      </w:r>
      <w:r w:rsidR="009A7915" w:rsidRPr="000F6719">
        <w:rPr>
          <w:rFonts w:ascii="Times New Roman" w:eastAsia="Arial" w:hAnsi="Times New Roman" w:cs="Times New Roman"/>
        </w:rPr>
        <w:fldChar w:fldCharType="end"/>
      </w:r>
      <w:r w:rsidRPr="000F6719">
        <w:rPr>
          <w:rFonts w:ascii="Times New Roman" w:eastAsia="Arial" w:hAnsi="Times New Roman" w:cs="Times New Roman"/>
        </w:rPr>
        <w:fldChar w:fldCharType="separate"/>
      </w:r>
      <w:r w:rsidR="009A7915" w:rsidRPr="000F6719">
        <w:rPr>
          <w:rFonts w:ascii="Times New Roman" w:eastAsia="Arial" w:hAnsi="Times New Roman" w:cs="Times New Roman"/>
          <w:noProof/>
        </w:rPr>
        <w:t>[19-21]</w:t>
      </w:r>
      <w:r w:rsidRPr="000F6719">
        <w:rPr>
          <w:rFonts w:ascii="Times New Roman" w:eastAsia="Arial" w:hAnsi="Times New Roman" w:cs="Times New Roman"/>
        </w:rPr>
        <w:fldChar w:fldCharType="end"/>
      </w:r>
      <w:r w:rsidRPr="000F6719">
        <w:rPr>
          <w:rFonts w:ascii="Times New Roman" w:eastAsia="Arial" w:hAnsi="Times New Roman" w:cs="Times New Roman"/>
        </w:rPr>
        <w:t xml:space="preserve"> Conditional logistic regression estimates associations between </w:t>
      </w:r>
      <w:proofErr w:type="spellStart"/>
      <w:r w:rsidRPr="000F6719">
        <w:rPr>
          <w:rFonts w:ascii="Times New Roman" w:eastAsia="Arial" w:hAnsi="Times New Roman" w:cs="Times New Roman"/>
        </w:rPr>
        <w:t>SDoH</w:t>
      </w:r>
      <w:proofErr w:type="spellEnd"/>
      <w:r w:rsidRPr="000F6719">
        <w:rPr>
          <w:rFonts w:ascii="Times New Roman" w:eastAsia="Arial" w:hAnsi="Times New Roman" w:cs="Times New Roman"/>
        </w:rPr>
        <w:t xml:space="preserve"> and COVID-19 hospitalization within strata balanced on encounter-density proxies. The design targets within-stratum associations rather than total causal effects of social position. Figure 1 shows the study flowchart.</w:t>
      </w:r>
    </w:p>
    <w:p w14:paraId="3D53BFD2" w14:textId="04C85C4A" w:rsidR="005F1FB3" w:rsidRPr="000F6719" w:rsidRDefault="00776223" w:rsidP="00E3018C">
      <w:pPr>
        <w:spacing w:after="120" w:line="480" w:lineRule="auto"/>
        <w:rPr>
          <w:rFonts w:ascii="Times New Roman" w:hAnsi="Times New Roman" w:cs="Times New Roman"/>
        </w:rPr>
      </w:pPr>
      <w:r w:rsidRPr="000F6719">
        <w:rPr>
          <w:rFonts w:ascii="Times New Roman" w:hAnsi="Times New Roman" w:cs="Times New Roman"/>
          <w:noProof/>
        </w:rPr>
        <w:drawing>
          <wp:inline distT="0" distB="0" distL="0" distR="0" wp14:anchorId="15892893" wp14:editId="5656C164">
            <wp:extent cx="5943600" cy="2705792"/>
            <wp:effectExtent l="0" t="0" r="0" b="635"/>
            <wp:docPr id="2055960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60472" name="Picture 20559604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05792"/>
                    </a:xfrm>
                    <a:prstGeom prst="rect">
                      <a:avLst/>
                    </a:prstGeom>
                  </pic:spPr>
                </pic:pic>
              </a:graphicData>
            </a:graphic>
          </wp:inline>
        </w:drawing>
      </w:r>
    </w:p>
    <w:p w14:paraId="730D4F05"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Study design and participants</w:t>
      </w:r>
    </w:p>
    <w:p w14:paraId="730D4F06" w14:textId="281162D9"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We conducted a retrospective case-control study in All of Us Controlled Tier Data, Curated Data Repository version 7 C2022Q4R13, cutoff July 1, 2022. Conditions, drug exposures, visits, the Basics Survey, and vaccination records were extracted using the OMOP Common Data Model version 5.3.1. The COVID-19 index date was the earliest of a documented SARS-CoV-2 positive test or an ICD-10 U07.1 diagnosis. Participants with COVID-19 and both diagnosis and Basics Survey data were eligible. Cases were hospitalized within 14 days of the index date; controls were COVID-positive participants who were not. Control observations whose index date fell within 14 days of the CDR cutoff were excluded, because their follow-up cannot be verified.</w:t>
      </w:r>
      <w:r w:rsidR="005C71F5" w:rsidRPr="000F6719">
        <w:rPr>
          <w:rFonts w:ascii="Times New Roman" w:eastAsia="Arial" w:hAnsi="Times New Roman" w:cs="Times New Roman"/>
        </w:rPr>
      </w:r>
      <w:r w:rsidRPr="000F6719">
        <w:rPr>
          <w:rFonts w:ascii="Times New Roman" w:eastAsia="Arial" w:hAnsi="Times New Roman" w:cs="Times New Roman"/>
        </w:rPr>
      </w:r>
      <w:r w:rsidR="00821EF5" w:rsidRPr="000F6719">
        <w:rPr>
          <w:rFonts w:ascii="Times New Roman" w:eastAsia="Arial" w:hAnsi="Times New Roman" w:cs="Times New Roman"/>
        </w:rPr>
      </w:r>
      <w:r w:rsidRPr="000F6719">
        <w:rPr>
          <w:rFonts w:ascii="Times New Roman" w:eastAsia="Arial" w:hAnsi="Times New Roman" w:cs="Times New Roman"/>
        </w:rPr>
      </w:r>
    </w:p>
    <w:p w14:paraId="730D4F07" w14:textId="16FA887B"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Matching sought four controls per case on first Basics Survey date, number of diagnoses, and length of medical history as encounter-density proxies, implemented in MatchIt with nearest-neighbor matching with replacement on the logit propensity score and a caliper of 0.2 standard deviations of that score.[22, 23] We matched on encounter density rather than clinical characteristics because patients with more health-system contact accumulate more recorded diagnoses, creating informative presence bias, and adjusting for visit count alone does not correct it.[17, 24, 25] SDoH were excluded from the propensity score because they are the exposures of interest; residual imbalance was addressed through conditional regression. MarketScan matching used the same procedure with first enrollment date, number of distinct diagnoses, and coverage span.</w:t>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Pr="000F6719">
        <w:rPr>
          <w:rFonts w:ascii="Times New Roman" w:eastAsia="Arial" w:hAnsi="Times New Roman" w:cs="Times New Roman"/>
          <w:vertAlign w:val="superscript"/>
        </w:rPr>
      </w:r>
      <w:r w:rsidR="009A7915" w:rsidRPr="000F6719">
        <w:rPr>
          <w:rFonts w:ascii="Times New Roman" w:eastAsia="Arial" w:hAnsi="Times New Roman" w:cs="Times New Roman"/>
          <w:vertAlign w:val="superscript"/>
        </w:rPr>
      </w:r>
      <w:r w:rsidRPr="000F6719">
        <w:rPr>
          <w:rFonts w:ascii="Times New Roman" w:eastAsia="Arial" w:hAnsi="Times New Roman" w:cs="Times New Roman"/>
          <w:vertAlign w:val="superscript"/>
        </w:rPr>
      </w:r>
      <w:r w:rsidR="009A7915" w:rsidRPr="000F6719">
        <w:rPr>
          <w:rFonts w:ascii="Times New Roman" w:eastAsia="Arial" w:hAnsi="Times New Roman" w:cs="Times New Roman"/>
          <w:noProof/>
        </w:rPr>
      </w:r>
      <w:r w:rsidRPr="000F6719">
        <w:rPr>
          <w:rFonts w:ascii="Times New Roman" w:eastAsia="Arial" w:hAnsi="Times New Roman" w:cs="Times New Roman"/>
          <w:vertAlign w:val="superscript"/>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00086720" w:rsidRPr="000F6719">
        <w:rPr>
          <w:rFonts w:ascii="Times New Roman" w:eastAsia="Arial" w:hAnsi="Times New Roman" w:cs="Times New Roman"/>
        </w:rPr>
      </w:r>
      <w:proofErr w:type="spellEnd"/>
      <w:r w:rsidR="00086720"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
    <w:p w14:paraId="730D4F08"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Outcome</w:t>
      </w:r>
    </w:p>
    <w:p w14:paraId="730D4F09" w14:textId="476267FA" w:rsidR="00841284" w:rsidRPr="000F6719" w:rsidRDefault="00D413D7"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The primary outcome was COVID-19 hospitalization or extended emergency department care within 14 days of the index date, aligned with the CDC COVID-NET surveillance window.[26] COVID-19 was identified by ICD-10 U07.1 or a positive SARS-CoV-2 laboratory test from 65 measurement concepts (eTable 1). Hospitalization comprised inpatient visits, emergency-to-inpatient visits, and emergency visits with a recorded stay of one or more days; same-day emergency visits without admission were excluded from the strict outcome (eTable 2a; Figure 2). In MarketScan, hospitalization was any inpatient claim carrying U07.1 within 14 days.</w:t>
      </w:r>
      <w:r w:rsidR="00B60DCD"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9772B5" w:rsidRPr="000F6719">
        <w:rPr>
          <w:rFonts w:ascii="Times New Roman" w:eastAsia="Arial" w:hAnsi="Times New Roman" w:cs="Times New Roman"/>
        </w:rPr>
      </w:r>
      <w:r w:rsidR="009772B5" w:rsidRPr="000F6719">
        <w:rPr>
          <w:rFonts w:ascii="Times New Roman" w:eastAsia="Arial" w:hAnsi="Times New Roman" w:cs="Times New Roman"/>
        </w:rPr>
      </w:r>
      <w:proofErr w:type="spellStart"/>
      <w:r w:rsidR="009772B5" w:rsidRPr="000F6719">
        <w:rPr>
          <w:rFonts w:ascii="Times New Roman" w:eastAsia="Arial" w:hAnsi="Times New Roman" w:cs="Times New Roman"/>
        </w:rPr>
      </w:r>
      <w:proofErr w:type="spellEnd"/>
      <w:r w:rsidR="009772B5" w:rsidRPr="000F6719">
        <w:rPr>
          <w:rFonts w:ascii="Times New Roman" w:eastAsia="Arial" w:hAnsi="Times New Roman" w:cs="Times New Roman"/>
        </w:rPr>
      </w:r>
      <w:r w:rsidRPr="000F6719">
        <w:rPr>
          <w:rFonts w:ascii="Times New Roman" w:eastAsia="Arial" w:hAnsi="Times New Roman" w:cs="Times New Roman"/>
        </w:rPr>
      </w:r>
    </w:p>
    <w:p w14:paraId="54CD6304" w14:textId="54952048" w:rsidR="00DD3174" w:rsidRPr="000F6719" w:rsidRDefault="0052015B" w:rsidP="00E3018C">
      <w:pPr>
        <w:spacing w:after="120" w:line="480" w:lineRule="auto"/>
        <w:rPr>
          <w:rFonts w:ascii="Times New Roman" w:hAnsi="Times New Roman" w:cs="Times New Roman"/>
        </w:rPr>
      </w:pPr>
      <w:r w:rsidRPr="000F6719">
        <w:rPr>
          <w:rFonts w:ascii="Times New Roman" w:hAnsi="Times New Roman" w:cs="Times New Roman"/>
          <w:noProof/>
        </w:rPr>
        <w:drawing>
          <wp:inline distT="0" distB="0" distL="0" distR="0" wp14:anchorId="78045F91" wp14:editId="7CDFF24D">
            <wp:extent cx="5943600" cy="3414691"/>
            <wp:effectExtent l="0" t="0" r="0" b="3175"/>
            <wp:docPr id="359222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22823" name="Picture 3592228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14691"/>
                    </a:xfrm>
                    <a:prstGeom prst="rect">
                      <a:avLst/>
                    </a:prstGeom>
                  </pic:spPr>
                </pic:pic>
              </a:graphicData>
            </a:graphic>
          </wp:inline>
        </w:drawing>
      </w:r>
    </w:p>
    <w:p w14:paraId="730D4F0B"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Exposure and covariates</w:t>
      </w:r>
    </w:p>
    <w:p w14:paraId="730D4F0C" w14:textId="12014A2D"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We extracted demographic features, vaccination status (eTable 3), and Charlson comorbidities (eTable 4),[27] both ascertained only from records dated before the index date. Six SDoH domains (eTable 5) were derived from the Basics Survey, completed a median of 692 days (IQR 286-985) before the index date, with 86.4% preceding infection. Missingness arises by two different mechanisms and is not one quantity. Income, education, employment, and housing were asked of every participant, so a missing value is a Skip or Prefer-not-to-answer response. Disability and insurance were frequently not administered: the ACS-6 items were added to The Basics survey on November 10, 2020, and the insurance item after enrolment began, so many participants were never asked. Missing was retained as an explicit level in both cases (eMethod). A missing indicator avoids a complete-case analysis; it does not remove missing-data bias. Insurance used employer-provided coverage as the reference; participants reporting several coverage types were assigned to the category most indicative of access barriers, so a participant with both Medicaid and employer coverage was coded as Medicaid.</w:t>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AC247F" w:rsidRPr="000F6719">
        <w:rPr>
          <w:rFonts w:ascii="Times New Roman" w:eastAsia="Arial" w:hAnsi="Times New Roman" w:cs="Times New Roman"/>
        </w:rPr>
      </w:r>
      <w:r w:rsidRPr="000F6719">
        <w:rPr>
          <w:rFonts w:ascii="Times New Roman" w:eastAsia="Arial" w:hAnsi="Times New Roman" w:cs="Times New Roman"/>
          <w:vertAlign w:val="superscript"/>
        </w:rPr>
      </w:r>
      <w:r w:rsidR="009A7915" w:rsidRPr="000F6719">
        <w:rPr>
          <w:rFonts w:ascii="Times New Roman" w:eastAsia="Arial" w:hAnsi="Times New Roman" w:cs="Times New Roman"/>
          <w:vertAlign w:val="superscript"/>
        </w:rPr>
      </w:r>
      <w:r w:rsidR="009A7915" w:rsidRPr="000F6719">
        <w:rPr>
          <w:rFonts w:ascii="Times New Roman" w:eastAsia="Arial" w:hAnsi="Times New Roman" w:cs="Times New Roman"/>
          <w:vertAlign w:val="superscript"/>
        </w:rPr>
      </w:r>
      <w:r w:rsidR="009A7915" w:rsidRPr="000F6719">
        <w:rPr>
          <w:rFonts w:ascii="Times New Roman" w:eastAsia="Arial" w:hAnsi="Times New Roman" w:cs="Times New Roman"/>
          <w:vertAlign w:val="superscript"/>
        </w:rPr>
      </w:r>
      <w:r w:rsidR="009A7915" w:rsidRPr="000F6719">
        <w:rPr>
          <w:rFonts w:ascii="Times New Roman" w:eastAsia="Arial" w:hAnsi="Times New Roman" w:cs="Times New Roman"/>
          <w:vertAlign w:val="superscript"/>
        </w:rPr>
      </w:r>
      <w:r w:rsidR="009A7915" w:rsidRPr="000F6719">
        <w:rPr>
          <w:rFonts w:ascii="Times New Roman" w:eastAsia="Arial" w:hAnsi="Times New Roman" w:cs="Times New Roman"/>
          <w:vertAlign w:val="superscript"/>
        </w:rPr>
      </w:r>
      <w:r w:rsidRPr="000F6719">
        <w:rPr>
          <w:rFonts w:ascii="Times New Roman" w:eastAsia="Arial" w:hAnsi="Times New Roman" w:cs="Times New Roman"/>
          <w:vertAlign w:val="superscript"/>
        </w:rPr>
      </w:r>
      <w:r w:rsidR="009A7915" w:rsidRPr="000F6719">
        <w:rPr>
          <w:rFonts w:ascii="Times New Roman" w:eastAsia="Arial" w:hAnsi="Times New Roman" w:cs="Times New Roman"/>
          <w:noProof/>
        </w:rPr>
      </w:r>
      <w:r w:rsidRPr="000F6719">
        <w:rPr>
          <w:rFonts w:ascii="Times New Roman" w:eastAsia="Arial" w:hAnsi="Times New Roman" w:cs="Times New Roman"/>
          <w:vertAlign w:val="superscript"/>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B60DCD"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
    <w:p w14:paraId="730D4F0D"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Statistical analysis</w:t>
      </w:r>
    </w:p>
    <w:p w14:paraId="730D4F0E" w14:textId="273169C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Matched data were analyzed by conditional logistic regression with standard errors clustered on person identifier to account for control reuse.[28] Under an alternative variance estimator the significance status of Asian race changed and no other variable did (eTable 11b); MarketScan used model-based standard errors. Pandemic wave (pre-Delta, before June 15, 2021; Delta, to December 14, 2021; Omicron, thereafter) entered as a covariate. The base model included sex, race, ethnicity, age, wave, vaccination, and 19 Charlson comorbidities. Domain-specific models added one SDoH domain to the base model,[18] and the joint model added all six. From the joint model we contrasted two profiles (employer-insured/$35,000-99,999/homeowner versus Medicaid/$10,000-24,999/renter) as the product of the three mutually adjusted odds ratios; conditional logistic regression conditions the stratum intercepts out of the likelihood, so absolute probabilities are not estimable. Wave-stratified models were fitted within strata whose index dates fell in that wave, using base-model covariates minus the wave indicator.[29, 30] For race we compared the base and joint models within each wave as the proportional reduction in the log adjusted odds ratio;[31] because the odds ratio is non-collapsible, part of any such change reflects the scale rather than confounding, so these percentages are indicative rather than exact explained fractions.</w:t>
      </w:r>
      <w:r w:rsidR="00714D44" w:rsidRPr="000F6719">
        <w:rPr>
          <w:rFonts w:ascii="Times New Roman" w:eastAsia="Arial" w:hAnsi="Times New Roman" w:cs="Times New Roman"/>
        </w:rPr>
      </w:r>
      <w:r w:rsidRPr="000F6719">
        <w:rPr>
          <w:rFonts w:ascii="Times New Roman" w:eastAsia="Arial" w:hAnsi="Times New Roman" w:cs="Times New Roman"/>
          <w:vertAlign w:val="superscript"/>
        </w:rPr>
      </w:r>
      <w:r w:rsidR="009A7915" w:rsidRPr="000F6719">
        <w:rPr>
          <w:rFonts w:ascii="Times New Roman" w:eastAsia="Arial" w:hAnsi="Times New Roman" w:cs="Times New Roman"/>
          <w:vertAlign w:val="superscript"/>
        </w:rPr>
      </w:r>
      <w:r w:rsidRPr="000F6719">
        <w:rPr>
          <w:rFonts w:ascii="Times New Roman" w:eastAsia="Arial" w:hAnsi="Times New Roman" w:cs="Times New Roman"/>
          <w:vertAlign w:val="superscript"/>
        </w:rPr>
      </w:r>
      <w:r w:rsidR="009A7915" w:rsidRPr="000F6719">
        <w:rPr>
          <w:rFonts w:ascii="Times New Roman" w:eastAsia="Arial" w:hAnsi="Times New Roman" w:cs="Times New Roman"/>
          <w:noProof/>
        </w:rPr>
      </w:r>
      <w:r w:rsidRPr="000F6719">
        <w:rPr>
          <w:rFonts w:ascii="Times New Roman" w:eastAsia="Arial" w:hAnsi="Times New Roman" w:cs="Times New Roman"/>
          <w:vertAlign w:val="superscript"/>
        </w:rPr>
      </w:r>
      <w:r w:rsidRPr="000F6719">
        <w:rPr>
          <w:rFonts w:ascii="Times New Roman" w:eastAsia="Arial" w:hAnsi="Times New Roman" w:cs="Times New Roman"/>
        </w:rPr>
      </w:r>
      <w:r w:rsidR="00D02962" w:rsidRPr="000F6719">
        <w:rPr>
          <w:rFonts w:ascii="Times New Roman" w:eastAsia="Arial" w:hAnsi="Times New Roman" w:cs="Times New Roman"/>
        </w:rPr>
      </w:r>
      <w:proofErr w:type="spellStart"/>
      <w:r w:rsidR="00D02962" w:rsidRPr="000F6719">
        <w:rPr>
          <w:rFonts w:ascii="Times New Roman" w:eastAsia="Arial" w:hAnsi="Times New Roman" w:cs="Times New Roman"/>
        </w:rPr>
      </w:r>
      <w:proofErr w:type="spellEnd"/>
      <w:r w:rsidR="00D02962" w:rsidRPr="000F6719">
        <w:rPr>
          <w:rFonts w:ascii="Times New Roman" w:eastAsia="Arial" w:hAnsi="Times New Roman" w:cs="Times New Roman"/>
        </w:rPr>
      </w:r>
      <w:r w:rsidR="00D02962" w:rsidRPr="000F6719">
        <w:rPr>
          <w:rFonts w:ascii="Times New Roman" w:eastAsia="Arial" w:hAnsi="Times New Roman" w:cs="Times New Roman"/>
        </w:rPr>
      </w:r>
      <w:r w:rsidRPr="000F6719">
        <w:rPr>
          <w:rFonts w:ascii="Times New Roman" w:eastAsia="Arial" w:hAnsi="Times New Roman" w:cs="Times New Roman"/>
        </w:rPr>
      </w:r>
      <w:proofErr w:type="gramStart"/>
      <w:r w:rsidRPr="000F6719">
        <w:rPr>
          <w:rFonts w:ascii="Times New Roman" w:eastAsia="Arial" w:hAnsi="Times New Roman" w:cs="Times New Roman"/>
        </w:rPr>
      </w:r>
      <w:proofErr w:type="gramEnd"/>
      <w:r w:rsidRPr="000F6719">
        <w:rPr>
          <w:rFonts w:ascii="Times New Roman" w:eastAsia="Arial" w:hAnsi="Times New Roman" w:cs="Times New Roman"/>
        </w:rPr>
      </w:r>
      <w:proofErr w:type="gramStart"/>
      <w:r w:rsidRPr="000F6719">
        <w:rPr>
          <w:rFonts w:ascii="Times New Roman" w:eastAsia="Arial" w:hAnsi="Times New Roman" w:cs="Times New Roman"/>
        </w:rPr>
      </w:r>
      <w:r w:rsidR="005302F6" w:rsidRPr="000F6719">
        <w:rPr>
          <w:rFonts w:ascii="Times New Roman" w:hAnsi="Times New Roman" w:cs="Times New Roman"/>
        </w:rPr>
      </w:r>
      <w:r w:rsidR="005302F6" w:rsidRPr="000F6719">
        <w:rPr>
          <w:rFonts w:ascii="Times New Roman" w:eastAsia="Arial" w:hAnsi="Times New Roman" w:cs="Times New Roman"/>
        </w:rPr>
      </w:r>
      <w:proofErr w:type="gramEnd"/>
      <w:r w:rsidR="005302F6" w:rsidRPr="000F6719">
        <w:rPr>
          <w:rFonts w:ascii="Times New Roman" w:eastAsia="Arial" w:hAnsi="Times New Roman" w:cs="Times New Roman"/>
        </w:rPr>
      </w:r>
      <w:r w:rsidR="00E41D4C"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
    <w:p w14:paraId="730D4F11" w14:textId="05D5A07A" w:rsidR="00841284" w:rsidRPr="000F6719" w:rsidRDefault="00757107" w:rsidP="00DE7297">
      <w:pPr>
        <w:spacing w:after="120" w:line="480" w:lineRule="auto"/>
        <w:rPr>
          <w:rFonts w:ascii="Times New Roman" w:hAnsi="Times New Roman" w:cs="Times New Roman"/>
        </w:rPr>
      </w:pPr>
      <w:r w:rsidRPr="000F6719">
        <w:rPr>
          <w:rFonts w:ascii="Times New Roman" w:eastAsia="Arial" w:hAnsi="Times New Roman" w:cs="Times New Roman"/>
        </w:rPr>
        <w:t>The MarketScan comparison used the same Charlson code sets and regression framework in Commercial Claims (2020-2023), with insurance plan type and geographic region as site-specific covariates (eTable 8).[32] It tests whether the clinical base model behaves comparably in a different population; it does not test whether the SDoH findings replicate, because MarketScan contains neither race nor individual-level SDoH.</w:t>
      </w:r>
      <w:r w:rsidR="00AE079F" w:rsidRPr="00AE079F">
        <w:rPr>
          <w:rFonts w:ascii="Times New Roman" w:eastAsia="Arial" w:hAnsi="Times New Roman" w:cs="Times New Roman"/>
        </w:rPr>
      </w:r>
      <w:proofErr w:type="spellStart"/>
      <w:r w:rsidR="00AE079F" w:rsidRPr="00AE079F">
        <w:rPr>
          <w:rFonts w:ascii="Times New Roman" w:eastAsia="Arial" w:hAnsi="Times New Roman" w:cs="Times New Roman"/>
        </w:rPr>
      </w:r>
      <w:proofErr w:type="spellEnd"/>
      <w:r w:rsidR="00AE079F" w:rsidRPr="00AE079F">
        <w:rPr>
          <w:rFonts w:ascii="Times New Roman" w:eastAsia="Arial" w:hAnsi="Times New Roman" w:cs="Times New Roman"/>
        </w:rPr>
      </w:r>
      <w:proofErr w:type="spellStart"/>
      <w:r w:rsidR="00AE079F" w:rsidRPr="00AE079F">
        <w:rPr>
          <w:rFonts w:ascii="Times New Roman" w:eastAsia="Arial" w:hAnsi="Times New Roman" w:cs="Times New Roman"/>
        </w:rPr>
      </w:r>
      <w:proofErr w:type="spellEnd"/>
      <w:r w:rsidR="00AE079F" w:rsidRPr="00AE079F">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noProof/>
        </w:rPr>
      </w:r>
      <w:r w:rsidR="00D413D7" w:rsidRPr="000F6719">
        <w:rPr>
          <w:rFonts w:ascii="Times New Roman" w:eastAsia="Arial" w:hAnsi="Times New Roman" w:cs="Times New Roman"/>
        </w:rPr>
      </w:r>
      <w:r w:rsidR="00D413D7" w:rsidRPr="000F6719">
        <w:rPr>
          <w:rFonts w:ascii="Times New Roman" w:eastAsia="Arial" w:hAnsi="Times New Roman" w:cs="Times New Roman"/>
        </w:rPr>
      </w:r>
      <w:proofErr w:type="spellStart"/>
      <w:r w:rsidR="00D413D7" w:rsidRPr="000F6719">
        <w:rPr>
          <w:rFonts w:ascii="Times New Roman" w:eastAsia="Arial" w:hAnsi="Times New Roman" w:cs="Times New Roman"/>
        </w:rPr>
      </w:r>
      <w:proofErr w:type="spellEnd"/>
      <w:r w:rsidR="00D413D7" w:rsidRPr="000F6719">
        <w:rPr>
          <w:rFonts w:ascii="Times New Roman" w:eastAsia="Arial" w:hAnsi="Times New Roman" w:cs="Times New Roman"/>
        </w:rPr>
      </w:r>
      <w:proofErr w:type="spellStart"/>
      <w:r w:rsidR="00D413D7" w:rsidRPr="000F6719">
        <w:rPr>
          <w:rFonts w:ascii="Times New Roman" w:eastAsia="Arial" w:hAnsi="Times New Roman" w:cs="Times New Roman"/>
        </w:rPr>
      </w:r>
      <w:proofErr w:type="spellEnd"/>
      <w:r w:rsidR="00D413D7" w:rsidRPr="000F6719">
        <w:rPr>
          <w:rFonts w:ascii="Times New Roman" w:eastAsia="Arial" w:hAnsi="Times New Roman" w:cs="Times New Roman"/>
        </w:rPr>
      </w:r>
      <w:proofErr w:type="spellStart"/>
      <w:r w:rsidR="00D413D7" w:rsidRPr="000F6719">
        <w:rPr>
          <w:rFonts w:ascii="Times New Roman" w:eastAsia="Arial" w:hAnsi="Times New Roman" w:cs="Times New Roman"/>
        </w:rPr>
      </w:r>
      <w:proofErr w:type="spellEnd"/>
      <w:r w:rsidR="00D413D7" w:rsidRPr="000F6719">
        <w:rPr>
          <w:rFonts w:ascii="Times New Roman" w:eastAsia="Arial" w:hAnsi="Times New Roman" w:cs="Times New Roman"/>
        </w:rPr>
      </w:r>
      <w:r w:rsidR="001C7CB4" w:rsidRPr="000F6719">
        <w:rPr>
          <w:rFonts w:ascii="Times New Roman" w:eastAsia="Arial" w:hAnsi="Times New Roman" w:cs="Times New Roman"/>
        </w:rPr>
      </w:r>
      <w:proofErr w:type="spellStart"/>
      <w:r w:rsidR="001C7CB4" w:rsidRPr="000F6719">
        <w:rPr>
          <w:rFonts w:ascii="Times New Roman" w:eastAsia="Arial" w:hAnsi="Times New Roman" w:cs="Times New Roman"/>
        </w:rPr>
      </w:r>
      <w:proofErr w:type="spellEnd"/>
      <w:r w:rsidR="001C7CB4" w:rsidRPr="000F6719">
        <w:rPr>
          <w:rFonts w:ascii="Times New Roman" w:eastAsia="Arial" w:hAnsi="Times New Roman" w:cs="Times New Roman"/>
        </w:rPr>
      </w:r>
      <w:r w:rsidR="00A90C25" w:rsidRPr="000F6719">
        <w:rPr>
          <w:rFonts w:ascii="Times New Roman" w:eastAsia="Arial" w:hAnsi="Times New Roman" w:cs="Times New Roman"/>
        </w:rPr>
      </w:r>
      <w:proofErr w:type="spellStart"/>
      <w:r w:rsidR="00A90C25" w:rsidRPr="000F6719">
        <w:rPr>
          <w:rFonts w:ascii="Times New Roman" w:eastAsia="Arial" w:hAnsi="Times New Roman" w:cs="Times New Roman"/>
        </w:rPr>
      </w:r>
      <w:proofErr w:type="spellEnd"/>
      <w:r w:rsidR="00A90C25" w:rsidRPr="000F6719">
        <w:rPr>
          <w:rFonts w:ascii="Times New Roman" w:eastAsia="Arial" w:hAnsi="Times New Roman" w:cs="Times New Roman"/>
        </w:rPr>
      </w:r>
    </w:p>
    <w:p w14:paraId="730D4F12" w14:textId="77777777" w:rsidR="00841284" w:rsidRPr="000F6719" w:rsidRDefault="00D413D7" w:rsidP="00E3018C">
      <w:pPr>
        <w:pStyle w:val="Heading1"/>
        <w:spacing w:line="480" w:lineRule="auto"/>
        <w:rPr>
          <w:rFonts w:ascii="Times New Roman" w:hAnsi="Times New Roman" w:cs="Times New Roman" w:hint="eastAsia"/>
        </w:rPr>
      </w:pPr>
      <w:r w:rsidRPr="000F6719">
        <w:rPr>
          <w:rFonts w:ascii="Times New Roman" w:hAnsi="Times New Roman" w:cs="Times New Roman"/>
        </w:rPr>
        <w:t>RESULTS</w:t>
      </w:r>
    </w:p>
    <w:p w14:paraId="730D4F13"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Participant characteristics</w:t>
      </w:r>
    </w:p>
    <w:p w14:paraId="730D4F14" w14:textId="53DCB632"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Among 413,457 All of Us participants, 25,160 had confirmed COVID-19 with both EHR and Basics Survey data, of whom 4,064 (16.2%) met the hospitalization phenotype (Figures 1, 2). Most qualifying visits began on the index date itself (eFigure 2). Matching achieved 3.90 controls per case, giving 19,920 observations in 4,064 strata; the 15,856 control observations came from 9,691 unique individuals (maximum reuse 13; eTable 11). Pre-matching imbalance was largest for diagnosis count (SMD = 0.489), and all three matching variables fell below 0.03 after matching (eTables 6, 7; eFigure 1).</w:t>
      </w:r>
      <w:r w:rsidR="007C1E00" w:rsidRPr="000F6719">
        <w:rPr>
          <w:rFonts w:ascii="Times New Roman" w:eastAsia="Arial" w:hAnsi="Times New Roman" w:cs="Times New Roman"/>
        </w:rPr>
      </w:r>
      <w:proofErr w:type="gramStart"/>
      <w:r w:rsidR="007C1E00" w:rsidRPr="000F6719">
        <w:rPr>
          <w:rFonts w:ascii="Times New Roman" w:eastAsia="Arial" w:hAnsi="Times New Roman" w:cs="Times New Roman"/>
        </w:rPr>
      </w:r>
      <w:proofErr w:type="gramEnd"/>
      <w:r w:rsidR="007C1E00" w:rsidRPr="000F6719">
        <w:rPr>
          <w:rFonts w:ascii="Times New Roman" w:eastAsia="Arial" w:hAnsi="Times New Roman" w:cs="Times New Roman"/>
        </w:rPr>
      </w:r>
      <w:proofErr w:type="spellStart"/>
      <w:r w:rsidR="007C1E00" w:rsidRPr="000F6719">
        <w:rPr>
          <w:rFonts w:ascii="Times New Roman" w:eastAsia="Arial" w:hAnsi="Times New Roman" w:cs="Times New Roman"/>
        </w:rPr>
      </w:r>
      <w:proofErr w:type="spellEnd"/>
      <w:r w:rsidR="007C1E00"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vertAlign w:val="superscript"/>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
    <w:p w14:paraId="730D4F16" w14:textId="75F3D33D" w:rsidR="00841284" w:rsidRPr="000F6719" w:rsidRDefault="00D413D7" w:rsidP="00E3018C">
      <w:pPr>
        <w:spacing w:line="480" w:lineRule="auto"/>
        <w:rPr>
          <w:rFonts w:ascii="Times New Roman" w:hAnsi="Times New Roman" w:cs="Times New Roman"/>
        </w:rPr>
      </w:pPr>
      <w:r w:rsidRPr="000F6719">
        <w:rPr>
          <w:rFonts w:ascii="Times New Roman" w:hAnsi="Times New Roman" w:cs="Times New Roman"/>
        </w:rPr>
        <w:t>Because matching balanced encounter-density proxies rather than clinical or social characteristics, demographic differences persisted, as expected. Cases had higher proportions of males (39.0% vs 30.6%), Black participants (29.9% vs 17.9%), adults aged 65 or over (35.7% vs 30.5%), and Medicaid-insured participants (34.7% vs 26.2%). Characteristics are summarized in Tables 1 and 2.</w:t>
      </w:r>
      <w:r w:rsidR="00E30B38" w:rsidRPr="000F6719">
        <w:rPr>
          <w:rFonts w:ascii="Times New Roman" w:hAnsi="Times New Roman" w:cs="Times New Roman"/>
        </w:rPr>
      </w:r>
      <w:r w:rsidRPr="000F6719">
        <w:rPr>
          <w:rFonts w:ascii="Times New Roman" w:hAnsi="Times New Roman" w:cs="Times New Roman"/>
        </w:rPr>
      </w:r>
      <w:r w:rsidR="00E30B38" w:rsidRPr="000F6719">
        <w:rPr>
          <w:rFonts w:ascii="Times New Roman" w:hAnsi="Times New Roman" w:cs="Times New Roman"/>
        </w:rPr>
      </w:r>
      <w:r w:rsidRPr="000F6719">
        <w:rPr>
          <w:rFonts w:ascii="Times New Roman" w:hAnsi="Times New Roman" w:cs="Times New Roman"/>
        </w:rPr>
      </w:r>
      <w:r w:rsidR="00E30B38" w:rsidRPr="000F6719">
        <w:rPr>
          <w:rFonts w:ascii="Times New Roman" w:hAnsi="Times New Roman" w:cs="Times New Roman"/>
        </w:rPr>
      </w:r>
      <w:r w:rsidRPr="000F6719">
        <w:rPr>
          <w:rFonts w:ascii="Times New Roman" w:hAnsi="Times New Roman" w:cs="Times New Roman"/>
        </w:rPr>
      </w:r>
      <w:r w:rsidR="00E30B38" w:rsidRPr="000F6719">
        <w:rPr>
          <w:rFonts w:ascii="Times New Roman" w:hAnsi="Times New Roman" w:cs="Times New Roman"/>
        </w:rPr>
      </w:r>
      <w:r w:rsidRPr="000F6719">
        <w:rPr>
          <w:rFonts w:ascii="Times New Roman" w:hAnsi="Times New Roman" w:cs="Times New Roman"/>
        </w:rPr>
      </w:r>
      <w:r w:rsidRPr="000F6719">
        <w:rPr>
          <w:rFonts w:ascii="Times New Roman" w:hAnsi="Times New Roman" w:cs="Times New Roman"/>
        </w:rPr>
      </w:r>
      <w:r w:rsidR="00E30B38" w:rsidRPr="000F6719">
        <w:rPr>
          <w:rFonts w:ascii="Times New Roman" w:hAnsi="Times New Roman" w:cs="Times New Roman"/>
        </w:rPr>
      </w:r>
      <w:r w:rsidRPr="000F6719">
        <w:rPr>
          <w:rFonts w:ascii="Times New Roman" w:hAnsi="Times New Roman" w:cs="Times New Roman"/>
        </w:rPr>
      </w:r>
      <w:r w:rsidR="00062D84" w:rsidRPr="000F6719">
        <w:rPr>
          <w:rFonts w:ascii="Times New Roman" w:hAnsi="Times New Roman" w:cs="Times New Roman"/>
        </w:rPr>
      </w:r>
      <w:proofErr w:type="spellStart"/>
      <w:r w:rsidR="00062D84" w:rsidRPr="000F6719">
        <w:rPr>
          <w:rFonts w:ascii="Times New Roman" w:hAnsi="Times New Roman" w:cs="Times New Roman"/>
        </w:rPr>
      </w:r>
      <w:proofErr w:type="spellEnd"/>
      <w:r w:rsidR="00062D84" w:rsidRPr="000F6719">
        <w:rPr>
          <w:rFonts w:ascii="Times New Roman" w:hAnsi="Times New Roman" w:cs="Times New Roman"/>
        </w:rPr>
      </w:r>
      <w:proofErr w:type="spellStart"/>
      <w:r w:rsidR="00062D84" w:rsidRPr="000F6719">
        <w:rPr>
          <w:rFonts w:ascii="Times New Roman" w:hAnsi="Times New Roman" w:cs="Times New Roman"/>
        </w:rPr>
      </w:r>
      <w:proofErr w:type="spellEnd"/>
      <w:r w:rsidR="00062D84" w:rsidRPr="000F6719">
        <w:rPr>
          <w:rFonts w:ascii="Times New Roman" w:hAnsi="Times New Roman" w:cs="Times New Roman"/>
        </w:rPr>
      </w:r>
      <w:proofErr w:type="gramStart"/>
      <w:r w:rsidR="00062D84" w:rsidRPr="000F6719">
        <w:rPr>
          <w:rFonts w:ascii="Times New Roman" w:hAnsi="Times New Roman" w:cs="Times New Roman"/>
        </w:rPr>
      </w:r>
      <w:r w:rsidRPr="000F6719">
        <w:rPr>
          <w:rFonts w:ascii="Times New Roman" w:hAnsi="Times New Roman" w:cs="Times New Roman"/>
        </w:rPr>
      </w:r>
      <w:proofErr w:type="gramEnd"/>
      <w:r w:rsidRPr="000F6719">
        <w:rPr>
          <w:rFonts w:ascii="Times New Roman" w:hAnsi="Times New Roman" w:cs="Times New Roman"/>
        </w:rPr>
      </w:r>
    </w:p>
    <w:p w14:paraId="730D4F13"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Demographics, vaccination, pandemic wave, and comorbidities</w:t>
      </w:r>
    </w:p>
    <w:p w14:paraId="730D4F17" w14:textId="77777777" w:rsidR="00841284" w:rsidRPr="000F6719" w:rsidRDefault="00D413D7"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In the base model, female sex (AOR 0.74, 95% CI 0.68-0.80) and recorded vaccination (0.45, 0.40-0.51) carried lower odds, age rose monotonically to 1.61 (1.44-1.79) at 65 or over, and Black race carried substantially elevated odds (2.30, 2.10-2.52; Table 1, Figure 3). Delta-wave infection was elevated (1.24, 1.12-1.38) while Omicron was not (1.04, 0.96-1.13). Severe renal disease, moderate or severe liver disease, metastatic solid tumor, cerebrovascular disease, and congestive heart failure were significantly associated with hospitalization; dementia was not, once comorbidities were restricted to pre-index records. Chronic pulmonary disease (0.85, 0.79-0.92) and mild liver disease (0.76, 0.69-0.83) were inverse. Because matching balanced encounter density rather than clinical severity, patients with these high-contact conditions were matched to controls with comparably heavy utilization, and these estimates should not be read as protective.</w:t>
      </w:r>
      <w:proofErr w:type="gramStart"/>
      <w:r w:rsidRPr="000F6719">
        <w:rPr>
          <w:rFonts w:ascii="Times New Roman" w:eastAsia="Arial" w:hAnsi="Times New Roman" w:cs="Times New Roman"/>
        </w:rPr>
      </w:r>
      <w:proofErr w:type="gramEnd"/>
      <w:r w:rsidRPr="000F6719">
        <w:rPr>
          <w:rFonts w:ascii="Times New Roman" w:eastAsia="Arial" w:hAnsi="Times New Roman" w:cs="Times New Roman"/>
        </w:rPr>
      </w:r>
      <w:proofErr w:type="gramStart"/>
      <w:r w:rsidRPr="000F6719">
        <w:rPr>
          <w:rFonts w:ascii="Times New Roman" w:eastAsia="Arial" w:hAnsi="Times New Roman" w:cs="Times New Roman"/>
        </w:rPr>
      </w:r>
      <w:proofErr w:type="gramEnd"/>
      <w:r w:rsidRPr="000F6719">
        <w:rPr>
          <w:rFonts w:ascii="Times New Roman" w:eastAsia="Arial" w:hAnsi="Times New Roman" w:cs="Times New Roman"/>
        </w:rPr>
      </w:r>
    </w:p>
    <w:p w14:paraId="3EC7DB56" w14:textId="77777777" w:rsidR="000709F1" w:rsidRPr="000F6719" w:rsidRDefault="000709F1" w:rsidP="000709F1">
      <w:pPr>
        <w:spacing w:line="480" w:lineRule="auto"/>
        <w:rPr>
          <w:rFonts w:ascii="Times New Roman" w:hAnsi="Times New Roman" w:cs="Times New Roman"/>
        </w:rPr>
      </w:pPr>
      <w:r w:rsidRPr="000F6719">
        <w:rPr>
          <w:rFonts w:ascii="Times New Roman" w:hAnsi="Times New Roman" w:cs="Times New Roman"/>
          <w:b/>
          <w:sz w:val="18"/>
        </w:rPr>
        <w:t>Table 1. Demographic and clinical characteristics of the matched All of Us and MarketScan cohorts.</w:t>
      </w:r>
    </w:p>
    <w:p w14:paraId="14363F92" w14:textId="77777777" w:rsidR="000709F1" w:rsidRPr="000F6719" w:rsidRDefault="000709F1" w:rsidP="000709F1">
      <w:pPr>
        <w:spacing w:line="480" w:lineRule="auto"/>
        <w:rPr>
          <w:rFonts w:ascii="Times New Roman" w:hAnsi="Times New Roman" w:cs="Times New Roman"/>
        </w:rPr>
      </w:pPr>
      <w:r w:rsidRPr="000F6719">
        <w:rPr>
          <w:rFonts w:ascii="Times New Roman" w:hAnsi="Times New Roman" w:cs="Times New Roman"/>
          <w:sz w:val="15"/>
        </w:rPr>
        <w:t xml:space="preserve">Data are n (%) unless otherwise specified. Cases were hospitalized within 14 days of the COVID-19 index date; controls were COVID-positive participants not hospitalized within that window, matched 1:4 on encounter-density proxies. Percentages are column percentages within each cohort. Abbreviations: AoU, All of Us Research Program; </w:t>
      </w:r>
      <w:proofErr w:type="spellStart"/>
      <w:r w:rsidRPr="000F6719">
        <w:rPr>
          <w:rFonts w:ascii="Times New Roman" w:hAnsi="Times New Roman" w:cs="Times New Roman"/>
          <w:sz w:val="15"/>
        </w:rPr>
        <w:t>s.d.</w:t>
      </w:r>
      <w:proofErr w:type="spellEnd"/>
      <w:r w:rsidRPr="000F6719">
        <w:rPr>
          <w:rFonts w:ascii="Times New Roman" w:hAnsi="Times New Roman" w:cs="Times New Roman"/>
          <w:sz w:val="15"/>
        </w:rPr>
        <w:t>, standard deviation.</w:t>
      </w:r>
    </w:p>
    <w:tbl>
      <w:tblPr>
        <w:tblW w:w="0" w:type="auto"/>
        <w:jc w:val="center"/>
        <w:tblLayout w:type="fixed"/>
        <w:tblLook w:val="04A0" w:firstRow="1" w:lastRow="0" w:firstColumn="1" w:lastColumn="0" w:noHBand="0" w:noVBand="1"/>
      </w:tblPr>
      <w:tblGrid>
        <w:gridCol w:w="2952"/>
        <w:gridCol w:w="1469"/>
        <w:gridCol w:w="1642"/>
        <w:gridCol w:w="1642"/>
        <w:gridCol w:w="1728"/>
      </w:tblGrid>
      <w:tr w:rsidR="000709F1" w:rsidRPr="000F6719" w14:paraId="2B786E99" w14:textId="77777777" w:rsidTr="004762C3">
        <w:trPr>
          <w:jc w:val="center"/>
        </w:trPr>
        <w:tc>
          <w:tcPr>
            <w:tcW w:w="2952" w:type="dxa"/>
            <w:tcBorders>
              <w:top w:val="single" w:sz="8" w:space="0" w:color="333333"/>
            </w:tcBorders>
            <w:shd w:val="clear" w:color="auto" w:fill="FFFFFF"/>
          </w:tcPr>
          <w:p w14:paraId="003188E7" w14:textId="77777777" w:rsidR="000709F1" w:rsidRPr="000F6719" w:rsidRDefault="000709F1" w:rsidP="004762C3">
            <w:pPr>
              <w:spacing w:before="24" w:after="24" w:line="240" w:lineRule="auto"/>
              <w:rPr>
                <w:rFonts w:ascii="Times New Roman" w:hAnsi="Times New Roman" w:cs="Times New Roman"/>
              </w:rPr>
            </w:pPr>
          </w:p>
        </w:tc>
        <w:tc>
          <w:tcPr>
            <w:tcW w:w="1642" w:type="dxa"/>
            <w:gridSpan w:val="2"/>
            <w:tcBorders>
              <w:top w:val="single" w:sz="8" w:space="0" w:color="333333"/>
              <w:bottom w:val="single" w:sz="8" w:space="0" w:color="333333"/>
            </w:tcBorders>
            <w:shd w:val="clear" w:color="auto" w:fill="FFFFFF"/>
          </w:tcPr>
          <w:p w14:paraId="075DB6A0" w14:textId="77777777" w:rsidR="000709F1" w:rsidRPr="000F6719" w:rsidRDefault="000709F1" w:rsidP="004762C3">
            <w:pPr>
              <w:spacing w:before="24" w:after="24" w:line="240" w:lineRule="auto"/>
              <w:jc w:val="center"/>
              <w:rPr>
                <w:rFonts w:ascii="Times New Roman" w:hAnsi="Times New Roman" w:cs="Times New Roman"/>
              </w:rPr>
            </w:pPr>
            <w:r w:rsidRPr="000F6719">
              <w:rPr>
                <w:rFonts w:ascii="Times New Roman" w:hAnsi="Times New Roman" w:cs="Times New Roman"/>
                <w:b/>
                <w:color w:val="000000"/>
                <w:sz w:val="14"/>
              </w:rPr>
              <w:t>All of Us</w:t>
            </w:r>
          </w:p>
        </w:tc>
        <w:tc>
          <w:tcPr>
            <w:tcW w:w="1728" w:type="dxa"/>
            <w:gridSpan w:val="2"/>
            <w:tcBorders>
              <w:top w:val="single" w:sz="8" w:space="0" w:color="333333"/>
              <w:bottom w:val="single" w:sz="8" w:space="0" w:color="333333"/>
            </w:tcBorders>
            <w:shd w:val="clear" w:color="auto" w:fill="FFFFFF"/>
          </w:tcPr>
          <w:p w14:paraId="3133CE27" w14:textId="77777777" w:rsidR="000709F1" w:rsidRPr="000F6719" w:rsidRDefault="000709F1" w:rsidP="004762C3">
            <w:pPr>
              <w:spacing w:before="24" w:after="24" w:line="240" w:lineRule="auto"/>
              <w:jc w:val="center"/>
              <w:rPr>
                <w:rFonts w:ascii="Times New Roman" w:hAnsi="Times New Roman" w:cs="Times New Roman"/>
              </w:rPr>
            </w:pPr>
            <w:r w:rsidRPr="000F6719">
              <w:rPr>
                <w:rFonts w:ascii="Times New Roman" w:hAnsi="Times New Roman" w:cs="Times New Roman"/>
                <w:b/>
                <w:color w:val="000000"/>
                <w:sz w:val="14"/>
              </w:rPr>
              <w:t>MarketScanᶜ</w:t>
            </w:r>
          </w:p>
        </w:tc>
      </w:tr>
      <w:tr w:rsidR="000709F1" w:rsidRPr="000F6719" w14:paraId="38F9D487" w14:textId="77777777" w:rsidTr="004762C3">
        <w:trPr>
          <w:jc w:val="center"/>
        </w:trPr>
        <w:tc>
          <w:tcPr>
            <w:tcW w:w="2952" w:type="dxa"/>
            <w:tcBorders>
              <w:bottom w:val="single" w:sz="8" w:space="0" w:color="333333"/>
            </w:tcBorders>
            <w:shd w:val="clear" w:color="auto" w:fill="FFFFFF"/>
          </w:tcPr>
          <w:p w14:paraId="4637B644" w14:textId="77777777" w:rsidR="000709F1" w:rsidRPr="000F6719" w:rsidRDefault="000709F1"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Characteristic</w:t>
            </w:r>
          </w:p>
        </w:tc>
        <w:tc>
          <w:tcPr>
            <w:tcW w:w="1469" w:type="dxa"/>
            <w:tcBorders>
              <w:bottom w:val="single" w:sz="8" w:space="0" w:color="333333"/>
            </w:tcBorders>
            <w:shd w:val="clear" w:color="auto" w:fill="FFFFFF"/>
          </w:tcPr>
          <w:p w14:paraId="62582641"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b/>
                <w:color w:val="000000"/>
                <w:sz w:val="14"/>
              </w:rPr>
              <w:t>Cases</w:t>
            </w:r>
          </w:p>
        </w:tc>
        <w:tc>
          <w:tcPr>
            <w:tcW w:w="1642" w:type="dxa"/>
            <w:tcBorders>
              <w:bottom w:val="single" w:sz="8" w:space="0" w:color="333333"/>
            </w:tcBorders>
            <w:shd w:val="clear" w:color="auto" w:fill="FFFFFF"/>
          </w:tcPr>
          <w:p w14:paraId="6AC0822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b/>
                <w:color w:val="000000"/>
                <w:sz w:val="14"/>
              </w:rPr>
              <w:t>Controls</w:t>
            </w:r>
          </w:p>
        </w:tc>
        <w:tc>
          <w:tcPr>
            <w:tcW w:w="1642" w:type="dxa"/>
            <w:tcBorders>
              <w:bottom w:val="single" w:sz="8" w:space="0" w:color="333333"/>
            </w:tcBorders>
            <w:shd w:val="clear" w:color="auto" w:fill="FFFFFF"/>
          </w:tcPr>
          <w:p w14:paraId="764DD34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b/>
                <w:color w:val="000000"/>
                <w:sz w:val="14"/>
              </w:rPr>
              <w:t>Cases</w:t>
            </w:r>
          </w:p>
        </w:tc>
        <w:tc>
          <w:tcPr>
            <w:tcW w:w="1728" w:type="dxa"/>
            <w:tcBorders>
              <w:bottom w:val="single" w:sz="8" w:space="0" w:color="333333"/>
            </w:tcBorders>
            <w:shd w:val="clear" w:color="auto" w:fill="FFFFFF"/>
          </w:tcPr>
          <w:p w14:paraId="22AF451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b/>
                <w:color w:val="000000"/>
                <w:sz w:val="14"/>
              </w:rPr>
              <w:t>Controls</w:t>
            </w:r>
          </w:p>
        </w:tc>
      </w:tr>
      <w:tr w:rsidR="000709F1" w:rsidRPr="000F6719" w14:paraId="771FA865" w14:textId="77777777" w:rsidTr="004762C3">
        <w:trPr>
          <w:jc w:val="center"/>
        </w:trPr>
        <w:tc>
          <w:tcPr>
            <w:tcW w:w="2952" w:type="dxa"/>
            <w:shd w:val="clear" w:color="auto" w:fill="FFFFFF"/>
          </w:tcPr>
          <w:p w14:paraId="635B04B9" w14:textId="77777777" w:rsidR="000709F1" w:rsidRPr="000F6719" w:rsidRDefault="000709F1" w:rsidP="004762C3">
            <w:pPr>
              <w:spacing w:before="24" w:after="24" w:line="240" w:lineRule="auto"/>
              <w:rPr>
                <w:rFonts w:ascii="Times New Roman" w:hAnsi="Times New Roman" w:cs="Times New Roman"/>
              </w:rPr>
            </w:pPr>
            <w:r w:rsidRPr="000F6719">
              <w:rPr>
                <w:rFonts w:ascii="Times New Roman" w:hAnsi="Times New Roman" w:cs="Times New Roman"/>
                <w:color w:val="000000"/>
                <w:sz w:val="14"/>
              </w:rPr>
              <w:t>N</w:t>
            </w:r>
          </w:p>
        </w:tc>
        <w:tc>
          <w:tcPr>
            <w:tcW w:w="1469" w:type="dxa"/>
            <w:shd w:val="clear" w:color="auto" w:fill="FFFFFF"/>
          </w:tcPr>
          <w:p w14:paraId="35D12A90"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4,064</w:t>
            </w:r>
          </w:p>
        </w:tc>
        <w:tc>
          <w:tcPr>
            <w:tcW w:w="1642" w:type="dxa"/>
            <w:shd w:val="clear" w:color="auto" w:fill="FFFFFF"/>
          </w:tcPr>
          <w:p w14:paraId="345AABBB"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15,856</w:t>
            </w:r>
          </w:p>
        </w:tc>
        <w:tc>
          <w:tcPr>
            <w:tcW w:w="1642" w:type="dxa"/>
            <w:shd w:val="clear" w:color="auto" w:fill="FFFFFF"/>
          </w:tcPr>
          <w:p w14:paraId="157B017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139,468</w:t>
            </w:r>
          </w:p>
        </w:tc>
        <w:tc>
          <w:tcPr>
            <w:tcW w:w="1728" w:type="dxa"/>
            <w:shd w:val="clear" w:color="auto" w:fill="FFFFFF"/>
          </w:tcPr>
          <w:p w14:paraId="2AF43EF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554,214</w:t>
            </w:r>
          </w:p>
        </w:tc>
      </w:tr>
      <w:tr w:rsidR="000709F1" w:rsidRPr="000F6719" w14:paraId="31425FAC" w14:textId="77777777" w:rsidTr="004762C3">
        <w:trPr>
          <w:jc w:val="center"/>
        </w:trPr>
        <w:tc>
          <w:tcPr>
            <w:tcW w:w="2952" w:type="dxa"/>
            <w:shd w:val="clear" w:color="auto" w:fill="FFFFFF"/>
          </w:tcPr>
          <w:p w14:paraId="148C2CC5" w14:textId="77777777" w:rsidR="000709F1" w:rsidRPr="000F6719" w:rsidRDefault="000709F1"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Sex</w:t>
            </w:r>
          </w:p>
        </w:tc>
        <w:tc>
          <w:tcPr>
            <w:tcW w:w="1469" w:type="dxa"/>
            <w:shd w:val="clear" w:color="auto" w:fill="FFFFFF"/>
          </w:tcPr>
          <w:p w14:paraId="609E41A1"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3248A2F1"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279FCF25" w14:textId="77777777" w:rsidR="000709F1" w:rsidRPr="000F6719" w:rsidRDefault="000709F1" w:rsidP="004762C3">
            <w:pPr>
              <w:spacing w:before="24" w:after="24" w:line="240" w:lineRule="auto"/>
              <w:jc w:val="right"/>
              <w:rPr>
                <w:rFonts w:ascii="Times New Roman" w:hAnsi="Times New Roman" w:cs="Times New Roman"/>
              </w:rPr>
            </w:pPr>
          </w:p>
        </w:tc>
        <w:tc>
          <w:tcPr>
            <w:tcW w:w="1728" w:type="dxa"/>
            <w:shd w:val="clear" w:color="auto" w:fill="FFFFFF"/>
          </w:tcPr>
          <w:p w14:paraId="38DA7EE1" w14:textId="77777777" w:rsidR="000709F1" w:rsidRPr="000F6719" w:rsidRDefault="000709F1" w:rsidP="004762C3">
            <w:pPr>
              <w:spacing w:before="24" w:after="24" w:line="240" w:lineRule="auto"/>
              <w:jc w:val="right"/>
              <w:rPr>
                <w:rFonts w:ascii="Times New Roman" w:hAnsi="Times New Roman" w:cs="Times New Roman"/>
              </w:rPr>
            </w:pPr>
          </w:p>
        </w:tc>
      </w:tr>
      <w:tr w:rsidR="000709F1" w:rsidRPr="000F6719" w14:paraId="3F1AE661" w14:textId="77777777" w:rsidTr="004762C3">
        <w:trPr>
          <w:jc w:val="center"/>
        </w:trPr>
        <w:tc>
          <w:tcPr>
            <w:tcW w:w="2952" w:type="dxa"/>
            <w:shd w:val="clear" w:color="auto" w:fill="FFFFFF"/>
          </w:tcPr>
          <w:p w14:paraId="5A5D0C78"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Female</w:t>
            </w:r>
          </w:p>
        </w:tc>
        <w:tc>
          <w:tcPr>
            <w:tcW w:w="1469" w:type="dxa"/>
            <w:shd w:val="clear" w:color="auto" w:fill="FFFFFF"/>
          </w:tcPr>
          <w:p w14:paraId="3EB4404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2,441 (60.1)</w:t>
            </w:r>
          </w:p>
        </w:tc>
        <w:tc>
          <w:tcPr>
            <w:tcW w:w="1642" w:type="dxa"/>
            <w:shd w:val="clear" w:color="auto" w:fill="FFFFFF"/>
          </w:tcPr>
          <w:p w14:paraId="2412676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10,834 (68.3)</w:t>
            </w:r>
          </w:p>
        </w:tc>
        <w:tc>
          <w:tcPr>
            <w:tcW w:w="1642" w:type="dxa"/>
            <w:shd w:val="clear" w:color="auto" w:fill="FFFFFF"/>
          </w:tcPr>
          <w:p w14:paraId="71153660"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67,914 (48.7)</w:t>
            </w:r>
          </w:p>
        </w:tc>
        <w:tc>
          <w:tcPr>
            <w:tcW w:w="1728" w:type="dxa"/>
            <w:shd w:val="clear" w:color="auto" w:fill="FFFFFF"/>
          </w:tcPr>
          <w:p w14:paraId="55D3F2E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375,330 (67.7)</w:t>
            </w:r>
          </w:p>
        </w:tc>
      </w:tr>
      <w:tr w:rsidR="000709F1" w:rsidRPr="000F6719" w14:paraId="2416C595" w14:textId="77777777" w:rsidTr="004762C3">
        <w:trPr>
          <w:jc w:val="center"/>
        </w:trPr>
        <w:tc>
          <w:tcPr>
            <w:tcW w:w="2952" w:type="dxa"/>
            <w:shd w:val="clear" w:color="auto" w:fill="FFFFFF"/>
          </w:tcPr>
          <w:p w14:paraId="0604FC3F"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Male</w:t>
            </w:r>
          </w:p>
        </w:tc>
        <w:tc>
          <w:tcPr>
            <w:tcW w:w="1469" w:type="dxa"/>
            <w:shd w:val="clear" w:color="auto" w:fill="FFFFFF"/>
          </w:tcPr>
          <w:p w14:paraId="084DAAA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1,586 (39.0)</w:t>
            </w:r>
          </w:p>
        </w:tc>
        <w:tc>
          <w:tcPr>
            <w:tcW w:w="1642" w:type="dxa"/>
            <w:shd w:val="clear" w:color="auto" w:fill="FFFFFF"/>
          </w:tcPr>
          <w:p w14:paraId="26993B4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4,854 (30.6)</w:t>
            </w:r>
          </w:p>
        </w:tc>
        <w:tc>
          <w:tcPr>
            <w:tcW w:w="1642" w:type="dxa"/>
            <w:shd w:val="clear" w:color="auto" w:fill="FFFFFF"/>
          </w:tcPr>
          <w:p w14:paraId="5F843F3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71,554 (51.3)</w:t>
            </w:r>
          </w:p>
        </w:tc>
        <w:tc>
          <w:tcPr>
            <w:tcW w:w="1728" w:type="dxa"/>
            <w:shd w:val="clear" w:color="auto" w:fill="FFFFFF"/>
          </w:tcPr>
          <w:p w14:paraId="6F798601"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178,884 (32.3)</w:t>
            </w:r>
          </w:p>
        </w:tc>
      </w:tr>
      <w:tr w:rsidR="000709F1" w:rsidRPr="000F6719" w14:paraId="5A48BE6B" w14:textId="77777777" w:rsidTr="004762C3">
        <w:trPr>
          <w:jc w:val="center"/>
        </w:trPr>
        <w:tc>
          <w:tcPr>
            <w:tcW w:w="2952" w:type="dxa"/>
            <w:shd w:val="clear" w:color="auto" w:fill="FFFFFF"/>
          </w:tcPr>
          <w:p w14:paraId="18A6AA4A"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Other</w:t>
            </w:r>
          </w:p>
        </w:tc>
        <w:tc>
          <w:tcPr>
            <w:tcW w:w="1469" w:type="dxa"/>
            <w:shd w:val="clear" w:color="auto" w:fill="FFFFFF"/>
          </w:tcPr>
          <w:p w14:paraId="4CDFA57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37 (0.9)</w:t>
            </w:r>
          </w:p>
        </w:tc>
        <w:tc>
          <w:tcPr>
            <w:tcW w:w="1642" w:type="dxa"/>
            <w:shd w:val="clear" w:color="auto" w:fill="FFFFFF"/>
          </w:tcPr>
          <w:p w14:paraId="3ADB6BC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168 (1.1)</w:t>
            </w:r>
          </w:p>
        </w:tc>
        <w:tc>
          <w:tcPr>
            <w:tcW w:w="1642" w:type="dxa"/>
            <w:shd w:val="clear" w:color="auto" w:fill="FFFFFF"/>
          </w:tcPr>
          <w:p w14:paraId="0EC23E7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&lt;20</w:t>
            </w:r>
          </w:p>
        </w:tc>
        <w:tc>
          <w:tcPr>
            <w:tcW w:w="1728" w:type="dxa"/>
            <w:shd w:val="clear" w:color="auto" w:fill="FFFFFF"/>
          </w:tcPr>
          <w:p w14:paraId="4CE3CD5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&lt;20</w:t>
            </w:r>
          </w:p>
        </w:tc>
      </w:tr>
      <w:tr w:rsidR="000709F1" w:rsidRPr="000F6719" w14:paraId="7D60A9A0" w14:textId="77777777" w:rsidTr="004762C3">
        <w:trPr>
          <w:jc w:val="center"/>
        </w:trPr>
        <w:tc>
          <w:tcPr>
            <w:tcW w:w="2952" w:type="dxa"/>
            <w:shd w:val="clear" w:color="auto" w:fill="FFFFFF"/>
          </w:tcPr>
          <w:p w14:paraId="33BE03D6" w14:textId="77777777" w:rsidR="000709F1" w:rsidRPr="000F6719" w:rsidRDefault="000709F1"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Race</w:t>
            </w:r>
          </w:p>
        </w:tc>
        <w:tc>
          <w:tcPr>
            <w:tcW w:w="1469" w:type="dxa"/>
            <w:shd w:val="clear" w:color="auto" w:fill="FFFFFF"/>
          </w:tcPr>
          <w:p w14:paraId="1BA5F0FA"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481A5E31"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369C608F" w14:textId="77777777" w:rsidR="000709F1" w:rsidRPr="000F6719" w:rsidRDefault="000709F1" w:rsidP="004762C3">
            <w:pPr>
              <w:spacing w:before="24" w:after="24" w:line="240" w:lineRule="auto"/>
              <w:jc w:val="right"/>
              <w:rPr>
                <w:rFonts w:ascii="Times New Roman" w:hAnsi="Times New Roman" w:cs="Times New Roman"/>
              </w:rPr>
            </w:pPr>
          </w:p>
        </w:tc>
        <w:tc>
          <w:tcPr>
            <w:tcW w:w="1728" w:type="dxa"/>
            <w:shd w:val="clear" w:color="auto" w:fill="FFFFFF"/>
          </w:tcPr>
          <w:p w14:paraId="283110DD" w14:textId="77777777" w:rsidR="000709F1" w:rsidRPr="000F6719" w:rsidRDefault="000709F1" w:rsidP="004762C3">
            <w:pPr>
              <w:spacing w:before="24" w:after="24" w:line="240" w:lineRule="auto"/>
              <w:jc w:val="right"/>
              <w:rPr>
                <w:rFonts w:ascii="Times New Roman" w:hAnsi="Times New Roman" w:cs="Times New Roman"/>
              </w:rPr>
            </w:pPr>
          </w:p>
        </w:tc>
      </w:tr>
      <w:tr w:rsidR="000709F1" w:rsidRPr="000F6719" w14:paraId="12F356E3" w14:textId="77777777" w:rsidTr="004762C3">
        <w:trPr>
          <w:jc w:val="center"/>
        </w:trPr>
        <w:tc>
          <w:tcPr>
            <w:tcW w:w="2952" w:type="dxa"/>
            <w:shd w:val="clear" w:color="auto" w:fill="FFFFFF"/>
          </w:tcPr>
          <w:p w14:paraId="005859F0"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White</w:t>
            </w:r>
          </w:p>
        </w:tc>
        <w:tc>
          <w:tcPr>
            <w:tcW w:w="1469" w:type="dxa"/>
            <w:shd w:val="clear" w:color="auto" w:fill="FFFFFF"/>
          </w:tcPr>
          <w:p w14:paraId="587EF49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1,726 (42.5)</w:t>
            </w:r>
          </w:p>
        </w:tc>
        <w:tc>
          <w:tcPr>
            <w:tcW w:w="1642" w:type="dxa"/>
            <w:shd w:val="clear" w:color="auto" w:fill="FFFFFF"/>
          </w:tcPr>
          <w:p w14:paraId="1979819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8,644 (54.5)</w:t>
            </w:r>
          </w:p>
        </w:tc>
        <w:tc>
          <w:tcPr>
            <w:tcW w:w="1642" w:type="dxa"/>
            <w:shd w:val="clear" w:color="auto" w:fill="FFFFFF"/>
          </w:tcPr>
          <w:p w14:paraId="656CA1EB"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138C931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245569D7" w14:textId="77777777" w:rsidTr="004762C3">
        <w:trPr>
          <w:jc w:val="center"/>
        </w:trPr>
        <w:tc>
          <w:tcPr>
            <w:tcW w:w="2952" w:type="dxa"/>
            <w:shd w:val="clear" w:color="auto" w:fill="FFFFFF"/>
          </w:tcPr>
          <w:p w14:paraId="1C58F62B"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Black</w:t>
            </w:r>
          </w:p>
        </w:tc>
        <w:tc>
          <w:tcPr>
            <w:tcW w:w="1469" w:type="dxa"/>
            <w:shd w:val="clear" w:color="auto" w:fill="FFFFFF"/>
          </w:tcPr>
          <w:p w14:paraId="1BE88FD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1,217 (29.9)</w:t>
            </w:r>
          </w:p>
        </w:tc>
        <w:tc>
          <w:tcPr>
            <w:tcW w:w="1642" w:type="dxa"/>
            <w:shd w:val="clear" w:color="auto" w:fill="FFFFFF"/>
          </w:tcPr>
          <w:p w14:paraId="43E2D1C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2,833 (17.9)</w:t>
            </w:r>
          </w:p>
        </w:tc>
        <w:tc>
          <w:tcPr>
            <w:tcW w:w="1642" w:type="dxa"/>
            <w:shd w:val="clear" w:color="auto" w:fill="FFFFFF"/>
          </w:tcPr>
          <w:p w14:paraId="6F9641E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726B958E"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09C9291F" w14:textId="77777777" w:rsidTr="004762C3">
        <w:trPr>
          <w:jc w:val="center"/>
        </w:trPr>
        <w:tc>
          <w:tcPr>
            <w:tcW w:w="2952" w:type="dxa"/>
            <w:shd w:val="clear" w:color="auto" w:fill="FFFFFF"/>
          </w:tcPr>
          <w:p w14:paraId="7BCA1D51"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Asian</w:t>
            </w:r>
          </w:p>
        </w:tc>
        <w:tc>
          <w:tcPr>
            <w:tcW w:w="1469" w:type="dxa"/>
            <w:shd w:val="clear" w:color="auto" w:fill="FFFFFF"/>
          </w:tcPr>
          <w:p w14:paraId="13D39FD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62 (1.5)</w:t>
            </w:r>
          </w:p>
        </w:tc>
        <w:tc>
          <w:tcPr>
            <w:tcW w:w="1642" w:type="dxa"/>
            <w:shd w:val="clear" w:color="auto" w:fill="FFFFFF"/>
          </w:tcPr>
          <w:p w14:paraId="38A6E44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260 (1.6)</w:t>
            </w:r>
          </w:p>
        </w:tc>
        <w:tc>
          <w:tcPr>
            <w:tcW w:w="1642" w:type="dxa"/>
            <w:shd w:val="clear" w:color="auto" w:fill="FFFFFF"/>
          </w:tcPr>
          <w:p w14:paraId="759038F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38E6D01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4DB237FA" w14:textId="77777777" w:rsidTr="004762C3">
        <w:trPr>
          <w:jc w:val="center"/>
        </w:trPr>
        <w:tc>
          <w:tcPr>
            <w:tcW w:w="2952" w:type="dxa"/>
            <w:shd w:val="clear" w:color="auto" w:fill="FFFFFF"/>
          </w:tcPr>
          <w:p w14:paraId="053B30EE"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Other</w:t>
            </w:r>
          </w:p>
        </w:tc>
        <w:tc>
          <w:tcPr>
            <w:tcW w:w="1469" w:type="dxa"/>
            <w:shd w:val="clear" w:color="auto" w:fill="FFFFFF"/>
          </w:tcPr>
          <w:p w14:paraId="4AD0C37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1,059 (26.1)</w:t>
            </w:r>
          </w:p>
        </w:tc>
        <w:tc>
          <w:tcPr>
            <w:tcW w:w="1642" w:type="dxa"/>
            <w:shd w:val="clear" w:color="auto" w:fill="FFFFFF"/>
          </w:tcPr>
          <w:p w14:paraId="45E6D3F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4,119 (26.0)</w:t>
            </w:r>
          </w:p>
        </w:tc>
        <w:tc>
          <w:tcPr>
            <w:tcW w:w="1642" w:type="dxa"/>
            <w:shd w:val="clear" w:color="auto" w:fill="FFFFFF"/>
          </w:tcPr>
          <w:p w14:paraId="435E859E"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1C38E4E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262DE56B" w14:textId="77777777" w:rsidTr="004762C3">
        <w:trPr>
          <w:jc w:val="center"/>
        </w:trPr>
        <w:tc>
          <w:tcPr>
            <w:tcW w:w="2952" w:type="dxa"/>
            <w:shd w:val="clear" w:color="auto" w:fill="FFFFFF"/>
          </w:tcPr>
          <w:p w14:paraId="491A454A" w14:textId="77777777" w:rsidR="000709F1" w:rsidRPr="000F6719" w:rsidRDefault="000709F1"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Ethnicity</w:t>
            </w:r>
          </w:p>
        </w:tc>
        <w:tc>
          <w:tcPr>
            <w:tcW w:w="1469" w:type="dxa"/>
            <w:shd w:val="clear" w:color="auto" w:fill="FFFFFF"/>
          </w:tcPr>
          <w:p w14:paraId="0FE10F10"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480B90DC"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7EC11CAA" w14:textId="77777777" w:rsidR="000709F1" w:rsidRPr="000F6719" w:rsidRDefault="000709F1" w:rsidP="004762C3">
            <w:pPr>
              <w:spacing w:before="24" w:after="24" w:line="240" w:lineRule="auto"/>
              <w:jc w:val="right"/>
              <w:rPr>
                <w:rFonts w:ascii="Times New Roman" w:hAnsi="Times New Roman" w:cs="Times New Roman"/>
              </w:rPr>
            </w:pPr>
          </w:p>
        </w:tc>
        <w:tc>
          <w:tcPr>
            <w:tcW w:w="1728" w:type="dxa"/>
            <w:shd w:val="clear" w:color="auto" w:fill="FFFFFF"/>
          </w:tcPr>
          <w:p w14:paraId="5175904E" w14:textId="77777777" w:rsidR="000709F1" w:rsidRPr="000F6719" w:rsidRDefault="000709F1" w:rsidP="004762C3">
            <w:pPr>
              <w:spacing w:before="24" w:after="24" w:line="240" w:lineRule="auto"/>
              <w:jc w:val="right"/>
              <w:rPr>
                <w:rFonts w:ascii="Times New Roman" w:hAnsi="Times New Roman" w:cs="Times New Roman"/>
              </w:rPr>
            </w:pPr>
          </w:p>
        </w:tc>
      </w:tr>
      <w:tr w:rsidR="000709F1" w:rsidRPr="000F6719" w14:paraId="7B1B7DCE" w14:textId="77777777" w:rsidTr="004762C3">
        <w:trPr>
          <w:jc w:val="center"/>
        </w:trPr>
        <w:tc>
          <w:tcPr>
            <w:tcW w:w="2952" w:type="dxa"/>
            <w:shd w:val="clear" w:color="auto" w:fill="FFFFFF"/>
          </w:tcPr>
          <w:p w14:paraId="49C6EE9F"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Not Hispanic</w:t>
            </w:r>
          </w:p>
        </w:tc>
        <w:tc>
          <w:tcPr>
            <w:tcW w:w="1469" w:type="dxa"/>
            <w:shd w:val="clear" w:color="auto" w:fill="FFFFFF"/>
          </w:tcPr>
          <w:p w14:paraId="6FBD1ECE"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3,013 (74.1)</w:t>
            </w:r>
          </w:p>
        </w:tc>
        <w:tc>
          <w:tcPr>
            <w:tcW w:w="1642" w:type="dxa"/>
            <w:shd w:val="clear" w:color="auto" w:fill="FFFFFF"/>
          </w:tcPr>
          <w:p w14:paraId="4553A4E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11,727 (74.0)</w:t>
            </w:r>
          </w:p>
        </w:tc>
        <w:tc>
          <w:tcPr>
            <w:tcW w:w="1642" w:type="dxa"/>
            <w:shd w:val="clear" w:color="auto" w:fill="FFFFFF"/>
          </w:tcPr>
          <w:p w14:paraId="34E9B9C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058930A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269BD29C" w14:textId="77777777" w:rsidTr="004762C3">
        <w:trPr>
          <w:jc w:val="center"/>
        </w:trPr>
        <w:tc>
          <w:tcPr>
            <w:tcW w:w="2952" w:type="dxa"/>
            <w:shd w:val="clear" w:color="auto" w:fill="FFFFFF"/>
          </w:tcPr>
          <w:p w14:paraId="68B64890"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Hispanic</w:t>
            </w:r>
          </w:p>
        </w:tc>
        <w:tc>
          <w:tcPr>
            <w:tcW w:w="1469" w:type="dxa"/>
            <w:shd w:val="clear" w:color="auto" w:fill="FFFFFF"/>
          </w:tcPr>
          <w:p w14:paraId="340A986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919 (22.6)</w:t>
            </w:r>
          </w:p>
        </w:tc>
        <w:tc>
          <w:tcPr>
            <w:tcW w:w="1642" w:type="dxa"/>
            <w:shd w:val="clear" w:color="auto" w:fill="FFFFFF"/>
          </w:tcPr>
          <w:p w14:paraId="158563F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3,670 (23.1)</w:t>
            </w:r>
          </w:p>
        </w:tc>
        <w:tc>
          <w:tcPr>
            <w:tcW w:w="1642" w:type="dxa"/>
            <w:shd w:val="clear" w:color="auto" w:fill="FFFFFF"/>
          </w:tcPr>
          <w:p w14:paraId="3958A53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18C7087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61AE5F7B" w14:textId="77777777" w:rsidTr="004762C3">
        <w:trPr>
          <w:jc w:val="center"/>
        </w:trPr>
        <w:tc>
          <w:tcPr>
            <w:tcW w:w="2952" w:type="dxa"/>
            <w:shd w:val="clear" w:color="auto" w:fill="FFFFFF"/>
          </w:tcPr>
          <w:p w14:paraId="42EB724E"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Other</w:t>
            </w:r>
          </w:p>
        </w:tc>
        <w:tc>
          <w:tcPr>
            <w:tcW w:w="1469" w:type="dxa"/>
            <w:shd w:val="clear" w:color="auto" w:fill="FFFFFF"/>
          </w:tcPr>
          <w:p w14:paraId="5D8CE6B0"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132 (3.2)</w:t>
            </w:r>
          </w:p>
        </w:tc>
        <w:tc>
          <w:tcPr>
            <w:tcW w:w="1642" w:type="dxa"/>
            <w:shd w:val="clear" w:color="auto" w:fill="FFFFFF"/>
          </w:tcPr>
          <w:p w14:paraId="017ACB4D"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459 (2.9)</w:t>
            </w:r>
          </w:p>
        </w:tc>
        <w:tc>
          <w:tcPr>
            <w:tcW w:w="1642" w:type="dxa"/>
            <w:shd w:val="clear" w:color="auto" w:fill="FFFFFF"/>
          </w:tcPr>
          <w:p w14:paraId="5ED608E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541FC3FB"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2C3E81D3" w14:textId="77777777" w:rsidTr="004762C3">
        <w:trPr>
          <w:jc w:val="center"/>
        </w:trPr>
        <w:tc>
          <w:tcPr>
            <w:tcW w:w="2952" w:type="dxa"/>
            <w:shd w:val="clear" w:color="auto" w:fill="FFFFFF"/>
          </w:tcPr>
          <w:p w14:paraId="7991CFB7" w14:textId="77777777" w:rsidR="000709F1" w:rsidRPr="000F6719" w:rsidRDefault="000709F1"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Age group, years</w:t>
            </w:r>
          </w:p>
        </w:tc>
        <w:tc>
          <w:tcPr>
            <w:tcW w:w="1469" w:type="dxa"/>
            <w:shd w:val="clear" w:color="auto" w:fill="FFFFFF"/>
          </w:tcPr>
          <w:p w14:paraId="69DA9E1B"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02F070F7"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5D2A7092" w14:textId="77777777" w:rsidR="000709F1" w:rsidRPr="000F6719" w:rsidRDefault="000709F1" w:rsidP="004762C3">
            <w:pPr>
              <w:spacing w:before="24" w:after="24" w:line="240" w:lineRule="auto"/>
              <w:jc w:val="right"/>
              <w:rPr>
                <w:rFonts w:ascii="Times New Roman" w:hAnsi="Times New Roman" w:cs="Times New Roman"/>
              </w:rPr>
            </w:pPr>
          </w:p>
        </w:tc>
        <w:tc>
          <w:tcPr>
            <w:tcW w:w="1728" w:type="dxa"/>
            <w:shd w:val="clear" w:color="auto" w:fill="FFFFFF"/>
          </w:tcPr>
          <w:p w14:paraId="402D7DC3" w14:textId="77777777" w:rsidR="000709F1" w:rsidRPr="000F6719" w:rsidRDefault="000709F1" w:rsidP="004762C3">
            <w:pPr>
              <w:spacing w:before="24" w:after="24" w:line="240" w:lineRule="auto"/>
              <w:jc w:val="right"/>
              <w:rPr>
                <w:rFonts w:ascii="Times New Roman" w:hAnsi="Times New Roman" w:cs="Times New Roman"/>
              </w:rPr>
            </w:pPr>
          </w:p>
        </w:tc>
      </w:tr>
      <w:tr w:rsidR="000709F1" w:rsidRPr="000F6719" w14:paraId="1BC2591C" w14:textId="77777777" w:rsidTr="004762C3">
        <w:trPr>
          <w:jc w:val="center"/>
        </w:trPr>
        <w:tc>
          <w:tcPr>
            <w:tcW w:w="2952" w:type="dxa"/>
            <w:shd w:val="clear" w:color="auto" w:fill="FFFFFF"/>
          </w:tcPr>
          <w:p w14:paraId="75074946"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&lt;45</w:t>
            </w:r>
          </w:p>
        </w:tc>
        <w:tc>
          <w:tcPr>
            <w:tcW w:w="1469" w:type="dxa"/>
            <w:shd w:val="clear" w:color="auto" w:fill="FFFFFF"/>
          </w:tcPr>
          <w:p w14:paraId="3393098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920 (22.6)</w:t>
            </w:r>
          </w:p>
        </w:tc>
        <w:tc>
          <w:tcPr>
            <w:tcW w:w="1642" w:type="dxa"/>
            <w:shd w:val="clear" w:color="auto" w:fill="FFFFFF"/>
          </w:tcPr>
          <w:p w14:paraId="2AE146B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4,624 (29.2)</w:t>
            </w:r>
          </w:p>
        </w:tc>
        <w:tc>
          <w:tcPr>
            <w:tcW w:w="1642" w:type="dxa"/>
            <w:shd w:val="clear" w:color="auto" w:fill="FFFFFF"/>
          </w:tcPr>
          <w:p w14:paraId="1F6225E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53,369 (38.3)</w:t>
            </w:r>
          </w:p>
        </w:tc>
        <w:tc>
          <w:tcPr>
            <w:tcW w:w="1728" w:type="dxa"/>
            <w:shd w:val="clear" w:color="auto" w:fill="FFFFFF"/>
          </w:tcPr>
          <w:p w14:paraId="13541550"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284,866 (51.4)</w:t>
            </w:r>
          </w:p>
        </w:tc>
      </w:tr>
      <w:tr w:rsidR="000709F1" w:rsidRPr="000F6719" w14:paraId="27EEEE66" w14:textId="77777777" w:rsidTr="004762C3">
        <w:trPr>
          <w:jc w:val="center"/>
        </w:trPr>
        <w:tc>
          <w:tcPr>
            <w:tcW w:w="2952" w:type="dxa"/>
            <w:shd w:val="clear" w:color="auto" w:fill="FFFFFF"/>
          </w:tcPr>
          <w:p w14:paraId="09E13FBF"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45–54</w:t>
            </w:r>
          </w:p>
        </w:tc>
        <w:tc>
          <w:tcPr>
            <w:tcW w:w="1469" w:type="dxa"/>
            <w:shd w:val="clear" w:color="auto" w:fill="FFFFFF"/>
          </w:tcPr>
          <w:p w14:paraId="21573B2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639 (15.7)</w:t>
            </w:r>
          </w:p>
        </w:tc>
        <w:tc>
          <w:tcPr>
            <w:tcW w:w="1642" w:type="dxa"/>
            <w:shd w:val="clear" w:color="auto" w:fill="FFFFFF"/>
          </w:tcPr>
          <w:p w14:paraId="2A8647C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2,901 (18.3)</w:t>
            </w:r>
          </w:p>
        </w:tc>
        <w:tc>
          <w:tcPr>
            <w:tcW w:w="1642" w:type="dxa"/>
            <w:shd w:val="clear" w:color="auto" w:fill="FFFFFF"/>
          </w:tcPr>
          <w:p w14:paraId="7C7C5EA1"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37,833 (27.1)</w:t>
            </w:r>
          </w:p>
        </w:tc>
        <w:tc>
          <w:tcPr>
            <w:tcW w:w="1728" w:type="dxa"/>
            <w:shd w:val="clear" w:color="auto" w:fill="FFFFFF"/>
          </w:tcPr>
          <w:p w14:paraId="4A472F50"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130,590 (23.6)</w:t>
            </w:r>
          </w:p>
        </w:tc>
      </w:tr>
      <w:tr w:rsidR="000709F1" w:rsidRPr="000F6719" w14:paraId="22139913" w14:textId="77777777" w:rsidTr="004762C3">
        <w:trPr>
          <w:jc w:val="center"/>
        </w:trPr>
        <w:tc>
          <w:tcPr>
            <w:tcW w:w="2952" w:type="dxa"/>
            <w:shd w:val="clear" w:color="auto" w:fill="FFFFFF"/>
          </w:tcPr>
          <w:p w14:paraId="143C8CD5"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55–64</w:t>
            </w:r>
          </w:p>
        </w:tc>
        <w:tc>
          <w:tcPr>
            <w:tcW w:w="1469" w:type="dxa"/>
            <w:shd w:val="clear" w:color="auto" w:fill="FFFFFF"/>
          </w:tcPr>
          <w:p w14:paraId="71F38FA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1,055 (26.0)</w:t>
            </w:r>
          </w:p>
        </w:tc>
        <w:tc>
          <w:tcPr>
            <w:tcW w:w="1642" w:type="dxa"/>
            <w:shd w:val="clear" w:color="auto" w:fill="FFFFFF"/>
          </w:tcPr>
          <w:p w14:paraId="27DC1148"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3,492 (22.0)</w:t>
            </w:r>
          </w:p>
        </w:tc>
        <w:tc>
          <w:tcPr>
            <w:tcW w:w="1642" w:type="dxa"/>
            <w:shd w:val="clear" w:color="auto" w:fill="FFFFFF"/>
          </w:tcPr>
          <w:p w14:paraId="408FAF6D"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47,908 (34.4)</w:t>
            </w:r>
          </w:p>
        </w:tc>
        <w:tc>
          <w:tcPr>
            <w:tcW w:w="1728" w:type="dxa"/>
            <w:shd w:val="clear" w:color="auto" w:fill="FFFFFF"/>
          </w:tcPr>
          <w:p w14:paraId="6349D23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137,688 (24.8)</w:t>
            </w:r>
          </w:p>
        </w:tc>
      </w:tr>
      <w:tr w:rsidR="000709F1" w:rsidRPr="000F6719" w14:paraId="47E9375E" w14:textId="77777777" w:rsidTr="004762C3">
        <w:trPr>
          <w:jc w:val="center"/>
        </w:trPr>
        <w:tc>
          <w:tcPr>
            <w:tcW w:w="2952" w:type="dxa"/>
            <w:shd w:val="clear" w:color="auto" w:fill="FFFFFF"/>
          </w:tcPr>
          <w:p w14:paraId="64E42DBD"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≥65</w:t>
            </w:r>
          </w:p>
        </w:tc>
        <w:tc>
          <w:tcPr>
            <w:tcW w:w="1469" w:type="dxa"/>
            <w:shd w:val="clear" w:color="auto" w:fill="FFFFFF"/>
          </w:tcPr>
          <w:p w14:paraId="20BBA29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1,450 (35.7)</w:t>
            </w:r>
          </w:p>
        </w:tc>
        <w:tc>
          <w:tcPr>
            <w:tcW w:w="1642" w:type="dxa"/>
            <w:shd w:val="clear" w:color="auto" w:fill="FFFFFF"/>
          </w:tcPr>
          <w:p w14:paraId="59589EFE"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4,839 (30.5)</w:t>
            </w:r>
          </w:p>
        </w:tc>
        <w:tc>
          <w:tcPr>
            <w:tcW w:w="1642" w:type="dxa"/>
            <w:shd w:val="clear" w:color="auto" w:fill="FFFFFF"/>
          </w:tcPr>
          <w:p w14:paraId="37D85BF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358 (0.3)</w:t>
            </w:r>
          </w:p>
        </w:tc>
        <w:tc>
          <w:tcPr>
            <w:tcW w:w="1728" w:type="dxa"/>
            <w:shd w:val="clear" w:color="auto" w:fill="FFFFFF"/>
          </w:tcPr>
          <w:p w14:paraId="024C65C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1,070 (0.2)</w:t>
            </w:r>
          </w:p>
        </w:tc>
      </w:tr>
      <w:tr w:rsidR="000709F1" w:rsidRPr="000F6719" w14:paraId="69FAB900" w14:textId="77777777" w:rsidTr="004762C3">
        <w:trPr>
          <w:jc w:val="center"/>
        </w:trPr>
        <w:tc>
          <w:tcPr>
            <w:tcW w:w="2952" w:type="dxa"/>
            <w:shd w:val="clear" w:color="auto" w:fill="FFFFFF"/>
          </w:tcPr>
          <w:p w14:paraId="58FDF434"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Mean age (</w:t>
            </w:r>
            <w:proofErr w:type="spellStart"/>
            <w:r w:rsidRPr="000F6719">
              <w:rPr>
                <w:rFonts w:ascii="Times New Roman" w:hAnsi="Times New Roman" w:cs="Times New Roman"/>
                <w:color w:val="000000"/>
                <w:sz w:val="14"/>
              </w:rPr>
              <w:t>s.d.</w:t>
            </w:r>
            <w:proofErr w:type="spellEnd"/>
            <w:r w:rsidRPr="000F6719">
              <w:rPr>
                <w:rFonts w:ascii="Times New Roman" w:hAnsi="Times New Roman" w:cs="Times New Roman"/>
                <w:color w:val="000000"/>
                <w:sz w:val="14"/>
              </w:rPr>
              <w:t>)</w:t>
            </w:r>
          </w:p>
        </w:tc>
        <w:tc>
          <w:tcPr>
            <w:tcW w:w="1469" w:type="dxa"/>
            <w:shd w:val="clear" w:color="auto" w:fill="FFFFFF"/>
          </w:tcPr>
          <w:p w14:paraId="218E64AE"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57.4 (16.2)</w:t>
            </w:r>
          </w:p>
        </w:tc>
        <w:tc>
          <w:tcPr>
            <w:tcW w:w="1642" w:type="dxa"/>
            <w:shd w:val="clear" w:color="auto" w:fill="FFFFFF"/>
          </w:tcPr>
          <w:p w14:paraId="6EB92F5D"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54.6 (16.2)</w:t>
            </w:r>
          </w:p>
        </w:tc>
        <w:tc>
          <w:tcPr>
            <w:tcW w:w="1642" w:type="dxa"/>
            <w:shd w:val="clear" w:color="auto" w:fill="FFFFFF"/>
          </w:tcPr>
          <w:p w14:paraId="515AFFE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45.6 (14.6)</w:t>
            </w:r>
          </w:p>
        </w:tc>
        <w:tc>
          <w:tcPr>
            <w:tcW w:w="1728" w:type="dxa"/>
            <w:shd w:val="clear" w:color="auto" w:fill="FFFFFF"/>
          </w:tcPr>
          <w:p w14:paraId="2B189AE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41.2 (15.9)</w:t>
            </w:r>
          </w:p>
        </w:tc>
      </w:tr>
      <w:tr w:rsidR="000709F1" w:rsidRPr="000F6719" w14:paraId="28E14FD5" w14:textId="77777777" w:rsidTr="004762C3">
        <w:trPr>
          <w:jc w:val="center"/>
        </w:trPr>
        <w:tc>
          <w:tcPr>
            <w:tcW w:w="2952" w:type="dxa"/>
            <w:shd w:val="clear" w:color="auto" w:fill="FFFFFF"/>
          </w:tcPr>
          <w:p w14:paraId="52981A3A" w14:textId="77777777" w:rsidR="000709F1" w:rsidRPr="000F6719" w:rsidRDefault="000709F1"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Vaccination</w:t>
            </w:r>
          </w:p>
        </w:tc>
        <w:tc>
          <w:tcPr>
            <w:tcW w:w="1469" w:type="dxa"/>
            <w:shd w:val="clear" w:color="auto" w:fill="FFFFFF"/>
          </w:tcPr>
          <w:p w14:paraId="30330C1F"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3164CE10"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03421CA0" w14:textId="77777777" w:rsidR="000709F1" w:rsidRPr="000F6719" w:rsidRDefault="000709F1" w:rsidP="004762C3">
            <w:pPr>
              <w:spacing w:before="24" w:after="24" w:line="240" w:lineRule="auto"/>
              <w:jc w:val="right"/>
              <w:rPr>
                <w:rFonts w:ascii="Times New Roman" w:hAnsi="Times New Roman" w:cs="Times New Roman"/>
              </w:rPr>
            </w:pPr>
          </w:p>
        </w:tc>
        <w:tc>
          <w:tcPr>
            <w:tcW w:w="1728" w:type="dxa"/>
            <w:shd w:val="clear" w:color="auto" w:fill="FFFFFF"/>
          </w:tcPr>
          <w:p w14:paraId="1A50CD51" w14:textId="77777777" w:rsidR="000709F1" w:rsidRPr="000F6719" w:rsidRDefault="000709F1" w:rsidP="004762C3">
            <w:pPr>
              <w:spacing w:before="24" w:after="24" w:line="240" w:lineRule="auto"/>
              <w:jc w:val="right"/>
              <w:rPr>
                <w:rFonts w:ascii="Times New Roman" w:hAnsi="Times New Roman" w:cs="Times New Roman"/>
              </w:rPr>
            </w:pPr>
          </w:p>
        </w:tc>
      </w:tr>
      <w:tr w:rsidR="000709F1" w:rsidRPr="000F6719" w14:paraId="295001EE" w14:textId="77777777" w:rsidTr="004762C3">
        <w:trPr>
          <w:jc w:val="center"/>
        </w:trPr>
        <w:tc>
          <w:tcPr>
            <w:tcW w:w="2952" w:type="dxa"/>
            <w:shd w:val="clear" w:color="auto" w:fill="FFFFFF"/>
          </w:tcPr>
          <w:p w14:paraId="66C059B8"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Recorded before index</w:t>
            </w:r>
          </w:p>
        </w:tc>
        <w:tc>
          <w:tcPr>
            <w:tcW w:w="1469" w:type="dxa"/>
            <w:shd w:val="clear" w:color="auto" w:fill="FFFFFF"/>
          </w:tcPr>
          <w:p w14:paraId="7C3EE2A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361 (8.9)</w:t>
            </w:r>
          </w:p>
        </w:tc>
        <w:tc>
          <w:tcPr>
            <w:tcW w:w="1642" w:type="dxa"/>
            <w:shd w:val="clear" w:color="auto" w:fill="FFFFFF"/>
          </w:tcPr>
          <w:p w14:paraId="1389EF5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2,700 (17.0)</w:t>
            </w:r>
          </w:p>
        </w:tc>
        <w:tc>
          <w:tcPr>
            <w:tcW w:w="1642" w:type="dxa"/>
            <w:shd w:val="clear" w:color="auto" w:fill="FFFFFF"/>
          </w:tcPr>
          <w:p w14:paraId="2DAFD22B"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11,300 (8.1)</w:t>
            </w:r>
          </w:p>
        </w:tc>
        <w:tc>
          <w:tcPr>
            <w:tcW w:w="1728" w:type="dxa"/>
            <w:shd w:val="clear" w:color="auto" w:fill="FFFFFF"/>
          </w:tcPr>
          <w:p w14:paraId="4D1E953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108,286 (19.5)</w:t>
            </w:r>
          </w:p>
        </w:tc>
      </w:tr>
      <w:tr w:rsidR="000709F1" w:rsidRPr="000F6719" w14:paraId="4EF58D69" w14:textId="77777777" w:rsidTr="004762C3">
        <w:trPr>
          <w:jc w:val="center"/>
        </w:trPr>
        <w:tc>
          <w:tcPr>
            <w:tcW w:w="2952" w:type="dxa"/>
            <w:shd w:val="clear" w:color="auto" w:fill="FFFFFF"/>
          </w:tcPr>
          <w:p w14:paraId="7D66C6D9"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No record</w:t>
            </w:r>
          </w:p>
        </w:tc>
        <w:tc>
          <w:tcPr>
            <w:tcW w:w="1469" w:type="dxa"/>
            <w:shd w:val="clear" w:color="auto" w:fill="FFFFFF"/>
          </w:tcPr>
          <w:p w14:paraId="6AE7664B"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3,703 (91.1)</w:t>
            </w:r>
          </w:p>
        </w:tc>
        <w:tc>
          <w:tcPr>
            <w:tcW w:w="1642" w:type="dxa"/>
            <w:shd w:val="clear" w:color="auto" w:fill="FFFFFF"/>
          </w:tcPr>
          <w:p w14:paraId="4A4C4800"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13,156 (83.0)</w:t>
            </w:r>
          </w:p>
        </w:tc>
        <w:tc>
          <w:tcPr>
            <w:tcW w:w="1642" w:type="dxa"/>
            <w:shd w:val="clear" w:color="auto" w:fill="FFFFFF"/>
          </w:tcPr>
          <w:p w14:paraId="6B73127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128,168 (91.9)</w:t>
            </w:r>
          </w:p>
        </w:tc>
        <w:tc>
          <w:tcPr>
            <w:tcW w:w="1728" w:type="dxa"/>
            <w:shd w:val="clear" w:color="auto" w:fill="FFFFFF"/>
          </w:tcPr>
          <w:p w14:paraId="38988A11"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445,928 (80.5)</w:t>
            </w:r>
          </w:p>
        </w:tc>
      </w:tr>
      <w:tr w:rsidR="000709F1" w:rsidRPr="000F6719" w14:paraId="583D7BA0" w14:textId="77777777" w:rsidTr="004762C3">
        <w:trPr>
          <w:jc w:val="center"/>
        </w:trPr>
        <w:tc>
          <w:tcPr>
            <w:tcW w:w="2952" w:type="dxa"/>
            <w:shd w:val="clear" w:color="auto" w:fill="FFFFFF"/>
          </w:tcPr>
          <w:p w14:paraId="3D3EC9D0" w14:textId="77777777" w:rsidR="000709F1" w:rsidRPr="000F6719" w:rsidRDefault="000709F1"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Charlson comorbidities</w:t>
            </w:r>
          </w:p>
        </w:tc>
        <w:tc>
          <w:tcPr>
            <w:tcW w:w="1469" w:type="dxa"/>
            <w:shd w:val="clear" w:color="auto" w:fill="FFFFFF"/>
          </w:tcPr>
          <w:p w14:paraId="2CD11425"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6BFE9246"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203E8889" w14:textId="77777777" w:rsidR="000709F1" w:rsidRPr="000F6719" w:rsidRDefault="000709F1" w:rsidP="004762C3">
            <w:pPr>
              <w:spacing w:before="24" w:after="24" w:line="240" w:lineRule="auto"/>
              <w:jc w:val="right"/>
              <w:rPr>
                <w:rFonts w:ascii="Times New Roman" w:hAnsi="Times New Roman" w:cs="Times New Roman"/>
              </w:rPr>
            </w:pPr>
          </w:p>
        </w:tc>
        <w:tc>
          <w:tcPr>
            <w:tcW w:w="1728" w:type="dxa"/>
            <w:shd w:val="clear" w:color="auto" w:fill="FFFFFF"/>
          </w:tcPr>
          <w:p w14:paraId="1A08A20D" w14:textId="77777777" w:rsidR="000709F1" w:rsidRPr="000F6719" w:rsidRDefault="000709F1" w:rsidP="004762C3">
            <w:pPr>
              <w:spacing w:before="24" w:after="24" w:line="240" w:lineRule="auto"/>
              <w:jc w:val="right"/>
              <w:rPr>
                <w:rFonts w:ascii="Times New Roman" w:hAnsi="Times New Roman" w:cs="Times New Roman"/>
              </w:rPr>
            </w:pPr>
          </w:p>
        </w:tc>
      </w:tr>
      <w:tr w:rsidR="000709F1" w:rsidRPr="000F6719" w14:paraId="2C8B33CE" w14:textId="77777777" w:rsidTr="004762C3">
        <w:trPr>
          <w:jc w:val="center"/>
        </w:trPr>
        <w:tc>
          <w:tcPr>
            <w:tcW w:w="2952" w:type="dxa"/>
            <w:shd w:val="clear" w:color="auto" w:fill="FFFFFF"/>
          </w:tcPr>
          <w:p w14:paraId="49BC9E16"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Myocardial infarction</w:t>
            </w:r>
          </w:p>
        </w:tc>
        <w:tc>
          <w:tcPr>
            <w:tcW w:w="1469" w:type="dxa"/>
            <w:shd w:val="clear" w:color="auto" w:fill="FFFFFF"/>
          </w:tcPr>
          <w:p w14:paraId="6409A09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570 (14.0)</w:t>
            </w:r>
          </w:p>
        </w:tc>
        <w:tc>
          <w:tcPr>
            <w:tcW w:w="1642" w:type="dxa"/>
            <w:shd w:val="clear" w:color="auto" w:fill="FFFFFF"/>
          </w:tcPr>
          <w:p w14:paraId="6062783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1,842 (11.6)</w:t>
            </w:r>
          </w:p>
        </w:tc>
        <w:tc>
          <w:tcPr>
            <w:tcW w:w="1642" w:type="dxa"/>
            <w:shd w:val="clear" w:color="auto" w:fill="FFFFFF"/>
          </w:tcPr>
          <w:p w14:paraId="3CAB2BD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2,729 (2.0)</w:t>
            </w:r>
          </w:p>
        </w:tc>
        <w:tc>
          <w:tcPr>
            <w:tcW w:w="1728" w:type="dxa"/>
            <w:shd w:val="clear" w:color="auto" w:fill="FFFFFF"/>
          </w:tcPr>
          <w:p w14:paraId="0DBD26EE"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7,733 (1.4)</w:t>
            </w:r>
          </w:p>
        </w:tc>
      </w:tr>
      <w:tr w:rsidR="000709F1" w:rsidRPr="000F6719" w14:paraId="285022E7" w14:textId="77777777" w:rsidTr="004762C3">
        <w:trPr>
          <w:jc w:val="center"/>
        </w:trPr>
        <w:tc>
          <w:tcPr>
            <w:tcW w:w="2952" w:type="dxa"/>
            <w:shd w:val="clear" w:color="auto" w:fill="FFFFFF"/>
          </w:tcPr>
          <w:p w14:paraId="734F3A47"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Congestive heart failure</w:t>
            </w:r>
          </w:p>
        </w:tc>
        <w:tc>
          <w:tcPr>
            <w:tcW w:w="1469" w:type="dxa"/>
            <w:shd w:val="clear" w:color="auto" w:fill="FFFFFF"/>
          </w:tcPr>
          <w:p w14:paraId="417BAAD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1,034 (25.4)</w:t>
            </w:r>
          </w:p>
        </w:tc>
        <w:tc>
          <w:tcPr>
            <w:tcW w:w="1642" w:type="dxa"/>
            <w:shd w:val="clear" w:color="auto" w:fill="FFFFFF"/>
          </w:tcPr>
          <w:p w14:paraId="40557C9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3,100 (19.6)</w:t>
            </w:r>
          </w:p>
        </w:tc>
        <w:tc>
          <w:tcPr>
            <w:tcW w:w="1642" w:type="dxa"/>
            <w:shd w:val="clear" w:color="auto" w:fill="FFFFFF"/>
          </w:tcPr>
          <w:p w14:paraId="2A99136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6,614 (4.7)</w:t>
            </w:r>
          </w:p>
        </w:tc>
        <w:tc>
          <w:tcPr>
            <w:tcW w:w="1728" w:type="dxa"/>
            <w:shd w:val="clear" w:color="auto" w:fill="FFFFFF"/>
          </w:tcPr>
          <w:p w14:paraId="4D89535E"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15,123 (2.7)</w:t>
            </w:r>
          </w:p>
        </w:tc>
      </w:tr>
      <w:tr w:rsidR="000709F1" w:rsidRPr="000F6719" w14:paraId="2DA72F96" w14:textId="77777777" w:rsidTr="004762C3">
        <w:trPr>
          <w:jc w:val="center"/>
        </w:trPr>
        <w:tc>
          <w:tcPr>
            <w:tcW w:w="2952" w:type="dxa"/>
            <w:shd w:val="clear" w:color="auto" w:fill="FFFFFF"/>
          </w:tcPr>
          <w:p w14:paraId="2557C505"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Peripheral vascular disease</w:t>
            </w:r>
          </w:p>
        </w:tc>
        <w:tc>
          <w:tcPr>
            <w:tcW w:w="1469" w:type="dxa"/>
            <w:shd w:val="clear" w:color="auto" w:fill="FFFFFF"/>
          </w:tcPr>
          <w:p w14:paraId="332E272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882 (21.7)</w:t>
            </w:r>
          </w:p>
        </w:tc>
        <w:tc>
          <w:tcPr>
            <w:tcW w:w="1642" w:type="dxa"/>
            <w:shd w:val="clear" w:color="auto" w:fill="FFFFFF"/>
          </w:tcPr>
          <w:p w14:paraId="0CA026C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3,042 (19.2)</w:t>
            </w:r>
          </w:p>
        </w:tc>
        <w:tc>
          <w:tcPr>
            <w:tcW w:w="1642" w:type="dxa"/>
            <w:shd w:val="clear" w:color="auto" w:fill="FFFFFF"/>
          </w:tcPr>
          <w:p w14:paraId="76FCA1E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5,866 (4.2)</w:t>
            </w:r>
          </w:p>
        </w:tc>
        <w:tc>
          <w:tcPr>
            <w:tcW w:w="1728" w:type="dxa"/>
            <w:shd w:val="clear" w:color="auto" w:fill="FFFFFF"/>
          </w:tcPr>
          <w:p w14:paraId="54DC975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20,464 (3.7)</w:t>
            </w:r>
          </w:p>
        </w:tc>
      </w:tr>
      <w:tr w:rsidR="000709F1" w:rsidRPr="000F6719" w14:paraId="121EC5DC" w14:textId="77777777" w:rsidTr="004762C3">
        <w:trPr>
          <w:jc w:val="center"/>
        </w:trPr>
        <w:tc>
          <w:tcPr>
            <w:tcW w:w="2952" w:type="dxa"/>
            <w:shd w:val="clear" w:color="auto" w:fill="FFFFFF"/>
          </w:tcPr>
          <w:p w14:paraId="01D969CF"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Cerebrovascular disease</w:t>
            </w:r>
          </w:p>
        </w:tc>
        <w:tc>
          <w:tcPr>
            <w:tcW w:w="1469" w:type="dxa"/>
            <w:shd w:val="clear" w:color="auto" w:fill="FFFFFF"/>
          </w:tcPr>
          <w:p w14:paraId="0CBCD54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786 (19.3)</w:t>
            </w:r>
          </w:p>
        </w:tc>
        <w:tc>
          <w:tcPr>
            <w:tcW w:w="1642" w:type="dxa"/>
            <w:shd w:val="clear" w:color="auto" w:fill="FFFFFF"/>
          </w:tcPr>
          <w:p w14:paraId="434F160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2,502 (15.8)</w:t>
            </w:r>
          </w:p>
        </w:tc>
        <w:tc>
          <w:tcPr>
            <w:tcW w:w="1642" w:type="dxa"/>
            <w:shd w:val="clear" w:color="auto" w:fill="FFFFFF"/>
          </w:tcPr>
          <w:p w14:paraId="4C0C15F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4,215 (3.0)</w:t>
            </w:r>
          </w:p>
        </w:tc>
        <w:tc>
          <w:tcPr>
            <w:tcW w:w="1728" w:type="dxa"/>
            <w:shd w:val="clear" w:color="auto" w:fill="FFFFFF"/>
          </w:tcPr>
          <w:p w14:paraId="06B2BD8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17,307 (3.1)</w:t>
            </w:r>
          </w:p>
        </w:tc>
      </w:tr>
      <w:tr w:rsidR="000709F1" w:rsidRPr="000F6719" w14:paraId="27FC938C" w14:textId="77777777" w:rsidTr="004762C3">
        <w:trPr>
          <w:jc w:val="center"/>
        </w:trPr>
        <w:tc>
          <w:tcPr>
            <w:tcW w:w="2952" w:type="dxa"/>
            <w:shd w:val="clear" w:color="auto" w:fill="FFFFFF"/>
          </w:tcPr>
          <w:p w14:paraId="41993129"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Dementia</w:t>
            </w:r>
          </w:p>
        </w:tc>
        <w:tc>
          <w:tcPr>
            <w:tcW w:w="1469" w:type="dxa"/>
            <w:shd w:val="clear" w:color="auto" w:fill="FFFFFF"/>
          </w:tcPr>
          <w:p w14:paraId="2CFFBA20"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243 (6.0)</w:t>
            </w:r>
          </w:p>
        </w:tc>
        <w:tc>
          <w:tcPr>
            <w:tcW w:w="1642" w:type="dxa"/>
            <w:shd w:val="clear" w:color="auto" w:fill="FFFFFF"/>
          </w:tcPr>
          <w:p w14:paraId="69943B5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763 (4.8)</w:t>
            </w:r>
          </w:p>
        </w:tc>
        <w:tc>
          <w:tcPr>
            <w:tcW w:w="1642" w:type="dxa"/>
            <w:shd w:val="clear" w:color="auto" w:fill="FFFFFF"/>
          </w:tcPr>
          <w:p w14:paraId="76B61B2D"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769 (0.6)</w:t>
            </w:r>
          </w:p>
        </w:tc>
        <w:tc>
          <w:tcPr>
            <w:tcW w:w="1728" w:type="dxa"/>
            <w:shd w:val="clear" w:color="auto" w:fill="FFFFFF"/>
          </w:tcPr>
          <w:p w14:paraId="433D769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2,202 (0.4)</w:t>
            </w:r>
          </w:p>
        </w:tc>
      </w:tr>
      <w:tr w:rsidR="000709F1" w:rsidRPr="000F6719" w14:paraId="7C3C96D7" w14:textId="77777777" w:rsidTr="004762C3">
        <w:trPr>
          <w:jc w:val="center"/>
        </w:trPr>
        <w:tc>
          <w:tcPr>
            <w:tcW w:w="2952" w:type="dxa"/>
            <w:shd w:val="clear" w:color="auto" w:fill="FFFFFF"/>
          </w:tcPr>
          <w:p w14:paraId="1FB516E9"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lastRenderedPageBreak/>
              <w:t>Chronic pulmonary disease</w:t>
            </w:r>
          </w:p>
        </w:tc>
        <w:tc>
          <w:tcPr>
            <w:tcW w:w="1469" w:type="dxa"/>
            <w:shd w:val="clear" w:color="auto" w:fill="FFFFFF"/>
          </w:tcPr>
          <w:p w14:paraId="013CB33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1,819 (44.8)</w:t>
            </w:r>
          </w:p>
        </w:tc>
        <w:tc>
          <w:tcPr>
            <w:tcW w:w="1642" w:type="dxa"/>
            <w:shd w:val="clear" w:color="auto" w:fill="FFFFFF"/>
          </w:tcPr>
          <w:p w14:paraId="10B37B1B"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7,744 (48.8)</w:t>
            </w:r>
          </w:p>
        </w:tc>
        <w:tc>
          <w:tcPr>
            <w:tcW w:w="1642" w:type="dxa"/>
            <w:shd w:val="clear" w:color="auto" w:fill="FFFFFF"/>
          </w:tcPr>
          <w:p w14:paraId="50866A8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18,418 (13.2)</w:t>
            </w:r>
          </w:p>
        </w:tc>
        <w:tc>
          <w:tcPr>
            <w:tcW w:w="1728" w:type="dxa"/>
            <w:shd w:val="clear" w:color="auto" w:fill="FFFFFF"/>
          </w:tcPr>
          <w:p w14:paraId="4FB20A2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92,037 (16.6)</w:t>
            </w:r>
          </w:p>
        </w:tc>
      </w:tr>
      <w:tr w:rsidR="000709F1" w:rsidRPr="000F6719" w14:paraId="6B506637" w14:textId="77777777" w:rsidTr="004762C3">
        <w:trPr>
          <w:jc w:val="center"/>
        </w:trPr>
        <w:tc>
          <w:tcPr>
            <w:tcW w:w="2952" w:type="dxa"/>
            <w:shd w:val="clear" w:color="auto" w:fill="FFFFFF"/>
          </w:tcPr>
          <w:p w14:paraId="3B73AF0A"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Rheumatic disease</w:t>
            </w:r>
          </w:p>
        </w:tc>
        <w:tc>
          <w:tcPr>
            <w:tcW w:w="1469" w:type="dxa"/>
            <w:shd w:val="clear" w:color="auto" w:fill="FFFFFF"/>
          </w:tcPr>
          <w:p w14:paraId="600EF2E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437 (10.8)</w:t>
            </w:r>
          </w:p>
        </w:tc>
        <w:tc>
          <w:tcPr>
            <w:tcW w:w="1642" w:type="dxa"/>
            <w:shd w:val="clear" w:color="auto" w:fill="FFFFFF"/>
          </w:tcPr>
          <w:p w14:paraId="3889E48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1,936 (12.2)</w:t>
            </w:r>
          </w:p>
        </w:tc>
        <w:tc>
          <w:tcPr>
            <w:tcW w:w="1642" w:type="dxa"/>
            <w:shd w:val="clear" w:color="auto" w:fill="FFFFFF"/>
          </w:tcPr>
          <w:p w14:paraId="1D101F7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3,604 (2.6)</w:t>
            </w:r>
          </w:p>
        </w:tc>
        <w:tc>
          <w:tcPr>
            <w:tcW w:w="1728" w:type="dxa"/>
            <w:shd w:val="clear" w:color="auto" w:fill="FFFFFF"/>
          </w:tcPr>
          <w:p w14:paraId="0E945368"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20,162 (3.6)</w:t>
            </w:r>
          </w:p>
        </w:tc>
      </w:tr>
      <w:tr w:rsidR="000709F1" w:rsidRPr="000F6719" w14:paraId="7F5109FD" w14:textId="77777777" w:rsidTr="004762C3">
        <w:trPr>
          <w:jc w:val="center"/>
        </w:trPr>
        <w:tc>
          <w:tcPr>
            <w:tcW w:w="2952" w:type="dxa"/>
            <w:shd w:val="clear" w:color="auto" w:fill="FFFFFF"/>
          </w:tcPr>
          <w:p w14:paraId="066E36FB"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Peptic ulcer disease</w:t>
            </w:r>
          </w:p>
        </w:tc>
        <w:tc>
          <w:tcPr>
            <w:tcW w:w="1469" w:type="dxa"/>
            <w:shd w:val="clear" w:color="auto" w:fill="FFFFFF"/>
          </w:tcPr>
          <w:p w14:paraId="4D3FFD58"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336 (8.3)</w:t>
            </w:r>
          </w:p>
        </w:tc>
        <w:tc>
          <w:tcPr>
            <w:tcW w:w="1642" w:type="dxa"/>
            <w:shd w:val="clear" w:color="auto" w:fill="FFFFFF"/>
          </w:tcPr>
          <w:p w14:paraId="2AE701B8"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1,299 (8.2)</w:t>
            </w:r>
          </w:p>
        </w:tc>
        <w:tc>
          <w:tcPr>
            <w:tcW w:w="1642" w:type="dxa"/>
            <w:shd w:val="clear" w:color="auto" w:fill="FFFFFF"/>
          </w:tcPr>
          <w:p w14:paraId="7B39C72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1,174 (0.8)</w:t>
            </w:r>
          </w:p>
        </w:tc>
        <w:tc>
          <w:tcPr>
            <w:tcW w:w="1728" w:type="dxa"/>
            <w:shd w:val="clear" w:color="auto" w:fill="FFFFFF"/>
          </w:tcPr>
          <w:p w14:paraId="729954A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6,366 (1.1)</w:t>
            </w:r>
          </w:p>
        </w:tc>
      </w:tr>
      <w:tr w:rsidR="000709F1" w:rsidRPr="000F6719" w14:paraId="1115D8A3" w14:textId="77777777" w:rsidTr="004762C3">
        <w:trPr>
          <w:jc w:val="center"/>
        </w:trPr>
        <w:tc>
          <w:tcPr>
            <w:tcW w:w="2952" w:type="dxa"/>
            <w:shd w:val="clear" w:color="auto" w:fill="FFFFFF"/>
          </w:tcPr>
          <w:p w14:paraId="62F93D32"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Liver disease, mild</w:t>
            </w:r>
          </w:p>
        </w:tc>
        <w:tc>
          <w:tcPr>
            <w:tcW w:w="1469" w:type="dxa"/>
            <w:shd w:val="clear" w:color="auto" w:fill="FFFFFF"/>
          </w:tcPr>
          <w:p w14:paraId="0EADA4F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854 (21.0)</w:t>
            </w:r>
          </w:p>
        </w:tc>
        <w:tc>
          <w:tcPr>
            <w:tcW w:w="1642" w:type="dxa"/>
            <w:shd w:val="clear" w:color="auto" w:fill="FFFFFF"/>
          </w:tcPr>
          <w:p w14:paraId="369E96F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4,124 (26.0)</w:t>
            </w:r>
          </w:p>
        </w:tc>
        <w:tc>
          <w:tcPr>
            <w:tcW w:w="1642" w:type="dxa"/>
            <w:shd w:val="clear" w:color="auto" w:fill="FFFFFF"/>
          </w:tcPr>
          <w:p w14:paraId="7D121F2D"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7,881 (5.7)</w:t>
            </w:r>
          </w:p>
        </w:tc>
        <w:tc>
          <w:tcPr>
            <w:tcW w:w="1728" w:type="dxa"/>
            <w:shd w:val="clear" w:color="auto" w:fill="FFFFFF"/>
          </w:tcPr>
          <w:p w14:paraId="3B42E9F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38,981 (7.0)</w:t>
            </w:r>
          </w:p>
        </w:tc>
      </w:tr>
      <w:tr w:rsidR="000709F1" w:rsidRPr="000F6719" w14:paraId="6322EA10" w14:textId="77777777" w:rsidTr="004762C3">
        <w:trPr>
          <w:jc w:val="center"/>
        </w:trPr>
        <w:tc>
          <w:tcPr>
            <w:tcW w:w="2952" w:type="dxa"/>
            <w:shd w:val="clear" w:color="auto" w:fill="FFFFFF"/>
          </w:tcPr>
          <w:p w14:paraId="0E249206"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Liver disease, moderate/severe</w:t>
            </w:r>
          </w:p>
        </w:tc>
        <w:tc>
          <w:tcPr>
            <w:tcW w:w="1469" w:type="dxa"/>
            <w:shd w:val="clear" w:color="auto" w:fill="FFFFFF"/>
          </w:tcPr>
          <w:p w14:paraId="2C02BB7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163 (4.0)</w:t>
            </w:r>
          </w:p>
        </w:tc>
        <w:tc>
          <w:tcPr>
            <w:tcW w:w="1642" w:type="dxa"/>
            <w:shd w:val="clear" w:color="auto" w:fill="FFFFFF"/>
          </w:tcPr>
          <w:p w14:paraId="7FDF4C9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391 (2.5)</w:t>
            </w:r>
          </w:p>
        </w:tc>
        <w:tc>
          <w:tcPr>
            <w:tcW w:w="1642" w:type="dxa"/>
            <w:shd w:val="clear" w:color="auto" w:fill="FFFFFF"/>
          </w:tcPr>
          <w:p w14:paraId="34899D0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889 (0.6)</w:t>
            </w:r>
          </w:p>
        </w:tc>
        <w:tc>
          <w:tcPr>
            <w:tcW w:w="1728" w:type="dxa"/>
            <w:shd w:val="clear" w:color="auto" w:fill="FFFFFF"/>
          </w:tcPr>
          <w:p w14:paraId="1E594E70"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1,984 (0.4)</w:t>
            </w:r>
          </w:p>
        </w:tc>
      </w:tr>
      <w:tr w:rsidR="000709F1" w:rsidRPr="000F6719" w14:paraId="2BA91F9F" w14:textId="77777777" w:rsidTr="004762C3">
        <w:trPr>
          <w:jc w:val="center"/>
        </w:trPr>
        <w:tc>
          <w:tcPr>
            <w:tcW w:w="2952" w:type="dxa"/>
            <w:shd w:val="clear" w:color="auto" w:fill="FFFFFF"/>
          </w:tcPr>
          <w:p w14:paraId="4D7A5DAD"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Diabetes without complications</w:t>
            </w:r>
          </w:p>
        </w:tc>
        <w:tc>
          <w:tcPr>
            <w:tcW w:w="1469" w:type="dxa"/>
            <w:shd w:val="clear" w:color="auto" w:fill="FFFFFF"/>
          </w:tcPr>
          <w:p w14:paraId="6A6884F8"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551 (13.6)</w:t>
            </w:r>
          </w:p>
        </w:tc>
        <w:tc>
          <w:tcPr>
            <w:tcW w:w="1642" w:type="dxa"/>
            <w:shd w:val="clear" w:color="auto" w:fill="FFFFFF"/>
          </w:tcPr>
          <w:p w14:paraId="46C2171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2,058 (13.0)</w:t>
            </w:r>
          </w:p>
        </w:tc>
        <w:tc>
          <w:tcPr>
            <w:tcW w:w="1642" w:type="dxa"/>
            <w:shd w:val="clear" w:color="auto" w:fill="FFFFFF"/>
          </w:tcPr>
          <w:p w14:paraId="1EFD27B3"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19,085 (13.7)</w:t>
            </w:r>
          </w:p>
        </w:tc>
        <w:tc>
          <w:tcPr>
            <w:tcW w:w="1728" w:type="dxa"/>
            <w:shd w:val="clear" w:color="auto" w:fill="FFFFFF"/>
          </w:tcPr>
          <w:p w14:paraId="70E8BD0A"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52,613 (9.5)</w:t>
            </w:r>
          </w:p>
        </w:tc>
      </w:tr>
      <w:tr w:rsidR="000709F1" w:rsidRPr="000F6719" w14:paraId="7CBB9224" w14:textId="77777777" w:rsidTr="004762C3">
        <w:trPr>
          <w:jc w:val="center"/>
        </w:trPr>
        <w:tc>
          <w:tcPr>
            <w:tcW w:w="2952" w:type="dxa"/>
            <w:shd w:val="clear" w:color="auto" w:fill="FFFFFF"/>
          </w:tcPr>
          <w:p w14:paraId="122EDB53"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Diabetes with complications</w:t>
            </w:r>
          </w:p>
        </w:tc>
        <w:tc>
          <w:tcPr>
            <w:tcW w:w="1469" w:type="dxa"/>
            <w:shd w:val="clear" w:color="auto" w:fill="FFFFFF"/>
          </w:tcPr>
          <w:p w14:paraId="2AA0BA5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1,075 (26.5)</w:t>
            </w:r>
          </w:p>
        </w:tc>
        <w:tc>
          <w:tcPr>
            <w:tcW w:w="1642" w:type="dxa"/>
            <w:shd w:val="clear" w:color="auto" w:fill="FFFFFF"/>
          </w:tcPr>
          <w:p w14:paraId="7319AED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3,542 (22.3)</w:t>
            </w:r>
          </w:p>
        </w:tc>
        <w:tc>
          <w:tcPr>
            <w:tcW w:w="1642" w:type="dxa"/>
            <w:shd w:val="clear" w:color="auto" w:fill="FFFFFF"/>
          </w:tcPr>
          <w:p w14:paraId="3B55450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11,696 (8.4)</w:t>
            </w:r>
          </w:p>
        </w:tc>
        <w:tc>
          <w:tcPr>
            <w:tcW w:w="1728" w:type="dxa"/>
            <w:shd w:val="clear" w:color="auto" w:fill="FFFFFF"/>
          </w:tcPr>
          <w:p w14:paraId="5145C5A1"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26,591 (4.8)</w:t>
            </w:r>
          </w:p>
        </w:tc>
      </w:tr>
      <w:tr w:rsidR="000709F1" w:rsidRPr="000F6719" w14:paraId="54FD08DF" w14:textId="77777777" w:rsidTr="004762C3">
        <w:trPr>
          <w:jc w:val="center"/>
        </w:trPr>
        <w:tc>
          <w:tcPr>
            <w:tcW w:w="2952" w:type="dxa"/>
            <w:shd w:val="clear" w:color="auto" w:fill="FFFFFF"/>
          </w:tcPr>
          <w:p w14:paraId="42E27B6B"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Hemiplegia or paraplegia</w:t>
            </w:r>
          </w:p>
        </w:tc>
        <w:tc>
          <w:tcPr>
            <w:tcW w:w="1469" w:type="dxa"/>
            <w:shd w:val="clear" w:color="auto" w:fill="FFFFFF"/>
          </w:tcPr>
          <w:p w14:paraId="05A599F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212 (5.2)</w:t>
            </w:r>
          </w:p>
        </w:tc>
        <w:tc>
          <w:tcPr>
            <w:tcW w:w="1642" w:type="dxa"/>
            <w:shd w:val="clear" w:color="auto" w:fill="FFFFFF"/>
          </w:tcPr>
          <w:p w14:paraId="3D0FF690"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794 (5.0)</w:t>
            </w:r>
          </w:p>
        </w:tc>
        <w:tc>
          <w:tcPr>
            <w:tcW w:w="1642" w:type="dxa"/>
            <w:shd w:val="clear" w:color="auto" w:fill="FFFFFF"/>
          </w:tcPr>
          <w:p w14:paraId="2872D2B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1,460 (1.0)</w:t>
            </w:r>
          </w:p>
        </w:tc>
        <w:tc>
          <w:tcPr>
            <w:tcW w:w="1728" w:type="dxa"/>
            <w:shd w:val="clear" w:color="auto" w:fill="FFFFFF"/>
          </w:tcPr>
          <w:p w14:paraId="580BBA7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3,423 (0.6)</w:t>
            </w:r>
          </w:p>
        </w:tc>
      </w:tr>
      <w:tr w:rsidR="000709F1" w:rsidRPr="000F6719" w14:paraId="4CFC0F29" w14:textId="77777777" w:rsidTr="004762C3">
        <w:trPr>
          <w:jc w:val="center"/>
        </w:trPr>
        <w:tc>
          <w:tcPr>
            <w:tcW w:w="2952" w:type="dxa"/>
            <w:shd w:val="clear" w:color="auto" w:fill="FFFFFF"/>
          </w:tcPr>
          <w:p w14:paraId="0A4A4235"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Renal disease, mild/moderate</w:t>
            </w:r>
          </w:p>
        </w:tc>
        <w:tc>
          <w:tcPr>
            <w:tcW w:w="1469" w:type="dxa"/>
            <w:shd w:val="clear" w:color="auto" w:fill="FFFFFF"/>
          </w:tcPr>
          <w:p w14:paraId="5DDAB40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630 (15.5)</w:t>
            </w:r>
          </w:p>
        </w:tc>
        <w:tc>
          <w:tcPr>
            <w:tcW w:w="1642" w:type="dxa"/>
            <w:shd w:val="clear" w:color="auto" w:fill="FFFFFF"/>
          </w:tcPr>
          <w:p w14:paraId="2A3898E1"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2,174 (13.7)</w:t>
            </w:r>
          </w:p>
        </w:tc>
        <w:tc>
          <w:tcPr>
            <w:tcW w:w="1642" w:type="dxa"/>
            <w:shd w:val="clear" w:color="auto" w:fill="FFFFFF"/>
          </w:tcPr>
          <w:p w14:paraId="584DB5A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6,199 (4.4)</w:t>
            </w:r>
          </w:p>
        </w:tc>
        <w:tc>
          <w:tcPr>
            <w:tcW w:w="1728" w:type="dxa"/>
            <w:shd w:val="clear" w:color="auto" w:fill="FFFFFF"/>
          </w:tcPr>
          <w:p w14:paraId="383E66D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15,289 (2.8)</w:t>
            </w:r>
          </w:p>
        </w:tc>
      </w:tr>
      <w:tr w:rsidR="000709F1" w:rsidRPr="000F6719" w14:paraId="3A8B5E60" w14:textId="77777777" w:rsidTr="004762C3">
        <w:trPr>
          <w:jc w:val="center"/>
        </w:trPr>
        <w:tc>
          <w:tcPr>
            <w:tcW w:w="2952" w:type="dxa"/>
            <w:shd w:val="clear" w:color="auto" w:fill="FFFFFF"/>
          </w:tcPr>
          <w:p w14:paraId="7CDE758D"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Renal disease, severe</w:t>
            </w:r>
          </w:p>
        </w:tc>
        <w:tc>
          <w:tcPr>
            <w:tcW w:w="1469" w:type="dxa"/>
            <w:shd w:val="clear" w:color="auto" w:fill="FFFFFF"/>
          </w:tcPr>
          <w:p w14:paraId="7D50A45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479 (11.8)</w:t>
            </w:r>
          </w:p>
        </w:tc>
        <w:tc>
          <w:tcPr>
            <w:tcW w:w="1642" w:type="dxa"/>
            <w:shd w:val="clear" w:color="auto" w:fill="FFFFFF"/>
          </w:tcPr>
          <w:p w14:paraId="19BEBDF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1,236 (7.8)</w:t>
            </w:r>
          </w:p>
        </w:tc>
        <w:tc>
          <w:tcPr>
            <w:tcW w:w="1642" w:type="dxa"/>
            <w:shd w:val="clear" w:color="auto" w:fill="FFFFFF"/>
          </w:tcPr>
          <w:p w14:paraId="458B2E8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2,816 (2.0)</w:t>
            </w:r>
          </w:p>
        </w:tc>
        <w:tc>
          <w:tcPr>
            <w:tcW w:w="1728" w:type="dxa"/>
            <w:shd w:val="clear" w:color="auto" w:fill="FFFFFF"/>
          </w:tcPr>
          <w:p w14:paraId="0785FEC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3,855 (0.7)</w:t>
            </w:r>
          </w:p>
        </w:tc>
      </w:tr>
      <w:tr w:rsidR="000709F1" w:rsidRPr="000F6719" w14:paraId="600B1CFA" w14:textId="77777777" w:rsidTr="004762C3">
        <w:trPr>
          <w:jc w:val="center"/>
        </w:trPr>
        <w:tc>
          <w:tcPr>
            <w:tcW w:w="2952" w:type="dxa"/>
            <w:shd w:val="clear" w:color="auto" w:fill="FFFFFF"/>
          </w:tcPr>
          <w:p w14:paraId="0FB0530F"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HIV</w:t>
            </w:r>
          </w:p>
        </w:tc>
        <w:tc>
          <w:tcPr>
            <w:tcW w:w="1469" w:type="dxa"/>
            <w:shd w:val="clear" w:color="auto" w:fill="FFFFFF"/>
          </w:tcPr>
          <w:p w14:paraId="7A6F132E"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44 (1.1)</w:t>
            </w:r>
          </w:p>
        </w:tc>
        <w:tc>
          <w:tcPr>
            <w:tcW w:w="1642" w:type="dxa"/>
            <w:shd w:val="clear" w:color="auto" w:fill="FFFFFF"/>
          </w:tcPr>
          <w:p w14:paraId="123FB66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135 (0.9)</w:t>
            </w:r>
          </w:p>
        </w:tc>
        <w:tc>
          <w:tcPr>
            <w:tcW w:w="1642" w:type="dxa"/>
            <w:shd w:val="clear" w:color="auto" w:fill="FFFFFF"/>
          </w:tcPr>
          <w:p w14:paraId="3145A6C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444 (0.3)</w:t>
            </w:r>
          </w:p>
        </w:tc>
        <w:tc>
          <w:tcPr>
            <w:tcW w:w="1728" w:type="dxa"/>
            <w:shd w:val="clear" w:color="auto" w:fill="FFFFFF"/>
          </w:tcPr>
          <w:p w14:paraId="581CB2FB"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1,610 (0.3)</w:t>
            </w:r>
          </w:p>
        </w:tc>
      </w:tr>
      <w:tr w:rsidR="000709F1" w:rsidRPr="000F6719" w14:paraId="117B997E" w14:textId="77777777" w:rsidTr="004762C3">
        <w:trPr>
          <w:jc w:val="center"/>
        </w:trPr>
        <w:tc>
          <w:tcPr>
            <w:tcW w:w="2952" w:type="dxa"/>
            <w:shd w:val="clear" w:color="auto" w:fill="FFFFFF"/>
          </w:tcPr>
          <w:p w14:paraId="25637BD6"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Metastatic solid tumor</w:t>
            </w:r>
          </w:p>
        </w:tc>
        <w:tc>
          <w:tcPr>
            <w:tcW w:w="1469" w:type="dxa"/>
            <w:shd w:val="clear" w:color="auto" w:fill="FFFFFF"/>
          </w:tcPr>
          <w:p w14:paraId="7492927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191 (4.7)</w:t>
            </w:r>
          </w:p>
        </w:tc>
        <w:tc>
          <w:tcPr>
            <w:tcW w:w="1642" w:type="dxa"/>
            <w:shd w:val="clear" w:color="auto" w:fill="FFFFFF"/>
          </w:tcPr>
          <w:p w14:paraId="360AA5C5"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609 (3.8)</w:t>
            </w:r>
          </w:p>
        </w:tc>
        <w:tc>
          <w:tcPr>
            <w:tcW w:w="1642" w:type="dxa"/>
            <w:shd w:val="clear" w:color="auto" w:fill="FFFFFF"/>
          </w:tcPr>
          <w:p w14:paraId="518640AB"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2,295 (1.6)</w:t>
            </w:r>
          </w:p>
        </w:tc>
        <w:tc>
          <w:tcPr>
            <w:tcW w:w="1728" w:type="dxa"/>
            <w:shd w:val="clear" w:color="auto" w:fill="FFFFFF"/>
          </w:tcPr>
          <w:p w14:paraId="266BD29D"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6,099 (1.1)</w:t>
            </w:r>
          </w:p>
        </w:tc>
      </w:tr>
      <w:tr w:rsidR="000709F1" w:rsidRPr="000F6719" w14:paraId="174E944A" w14:textId="77777777" w:rsidTr="004762C3">
        <w:trPr>
          <w:jc w:val="center"/>
        </w:trPr>
        <w:tc>
          <w:tcPr>
            <w:tcW w:w="2952" w:type="dxa"/>
            <w:shd w:val="clear" w:color="auto" w:fill="FFFFFF"/>
          </w:tcPr>
          <w:p w14:paraId="4DBC430D"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Malignancy</w:t>
            </w:r>
          </w:p>
        </w:tc>
        <w:tc>
          <w:tcPr>
            <w:tcW w:w="1469" w:type="dxa"/>
            <w:shd w:val="clear" w:color="auto" w:fill="FFFFFF"/>
          </w:tcPr>
          <w:p w14:paraId="4A65201D"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700 (17.2)</w:t>
            </w:r>
          </w:p>
        </w:tc>
        <w:tc>
          <w:tcPr>
            <w:tcW w:w="1642" w:type="dxa"/>
            <w:shd w:val="clear" w:color="auto" w:fill="FFFFFF"/>
          </w:tcPr>
          <w:p w14:paraId="248DE2E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2,528 (15.9)</w:t>
            </w:r>
          </w:p>
        </w:tc>
        <w:tc>
          <w:tcPr>
            <w:tcW w:w="1642" w:type="dxa"/>
            <w:shd w:val="clear" w:color="auto" w:fill="FFFFFF"/>
          </w:tcPr>
          <w:p w14:paraId="7247C1F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4,951 (3.5)</w:t>
            </w:r>
          </w:p>
        </w:tc>
        <w:tc>
          <w:tcPr>
            <w:tcW w:w="1728" w:type="dxa"/>
            <w:shd w:val="clear" w:color="auto" w:fill="FFFFFF"/>
          </w:tcPr>
          <w:p w14:paraId="45E9041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19,657 (3.5)</w:t>
            </w:r>
          </w:p>
        </w:tc>
      </w:tr>
      <w:tr w:rsidR="000709F1" w:rsidRPr="000F6719" w14:paraId="6326929D" w14:textId="77777777" w:rsidTr="004762C3">
        <w:trPr>
          <w:jc w:val="center"/>
        </w:trPr>
        <w:tc>
          <w:tcPr>
            <w:tcW w:w="2952" w:type="dxa"/>
            <w:shd w:val="clear" w:color="auto" w:fill="FFFFFF"/>
          </w:tcPr>
          <w:p w14:paraId="3C9B9B9F"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AIDS</w:t>
            </w:r>
          </w:p>
        </w:tc>
        <w:tc>
          <w:tcPr>
            <w:tcW w:w="1469" w:type="dxa"/>
            <w:shd w:val="clear" w:color="auto" w:fill="FFFFFF"/>
          </w:tcPr>
          <w:p w14:paraId="38ADFA34"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63 (1.6)</w:t>
            </w:r>
          </w:p>
        </w:tc>
        <w:tc>
          <w:tcPr>
            <w:tcW w:w="1642" w:type="dxa"/>
            <w:shd w:val="clear" w:color="auto" w:fill="FFFFFF"/>
          </w:tcPr>
          <w:p w14:paraId="056475C2"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264 (1.7)</w:t>
            </w:r>
          </w:p>
        </w:tc>
        <w:tc>
          <w:tcPr>
            <w:tcW w:w="1642" w:type="dxa"/>
            <w:shd w:val="clear" w:color="auto" w:fill="FFFFFF"/>
          </w:tcPr>
          <w:p w14:paraId="7A06574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127 (0.1)</w:t>
            </w:r>
          </w:p>
        </w:tc>
        <w:tc>
          <w:tcPr>
            <w:tcW w:w="1728" w:type="dxa"/>
            <w:shd w:val="clear" w:color="auto" w:fill="FFFFFF"/>
          </w:tcPr>
          <w:p w14:paraId="604F741E"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393 (0.1)</w:t>
            </w:r>
          </w:p>
        </w:tc>
      </w:tr>
      <w:tr w:rsidR="000709F1" w:rsidRPr="000F6719" w14:paraId="6DCAF3CD" w14:textId="77777777" w:rsidTr="004762C3">
        <w:trPr>
          <w:jc w:val="center"/>
        </w:trPr>
        <w:tc>
          <w:tcPr>
            <w:tcW w:w="2952" w:type="dxa"/>
            <w:shd w:val="clear" w:color="auto" w:fill="FFFFFF"/>
          </w:tcPr>
          <w:p w14:paraId="59D38A91" w14:textId="77777777" w:rsidR="000709F1" w:rsidRPr="000F6719" w:rsidRDefault="000709F1"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Pandemic wave</w:t>
            </w:r>
          </w:p>
        </w:tc>
        <w:tc>
          <w:tcPr>
            <w:tcW w:w="1469" w:type="dxa"/>
            <w:shd w:val="clear" w:color="auto" w:fill="FFFFFF"/>
          </w:tcPr>
          <w:p w14:paraId="2377CE58"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4633CE80" w14:textId="77777777" w:rsidR="000709F1" w:rsidRPr="000F6719" w:rsidRDefault="000709F1" w:rsidP="004762C3">
            <w:pPr>
              <w:spacing w:before="24" w:after="24" w:line="240" w:lineRule="auto"/>
              <w:jc w:val="right"/>
              <w:rPr>
                <w:rFonts w:ascii="Times New Roman" w:hAnsi="Times New Roman" w:cs="Times New Roman"/>
              </w:rPr>
            </w:pPr>
          </w:p>
        </w:tc>
        <w:tc>
          <w:tcPr>
            <w:tcW w:w="1642" w:type="dxa"/>
            <w:shd w:val="clear" w:color="auto" w:fill="FFFFFF"/>
          </w:tcPr>
          <w:p w14:paraId="4C85D7BF" w14:textId="77777777" w:rsidR="000709F1" w:rsidRPr="000F6719" w:rsidRDefault="000709F1" w:rsidP="004762C3">
            <w:pPr>
              <w:spacing w:before="24" w:after="24" w:line="240" w:lineRule="auto"/>
              <w:jc w:val="right"/>
              <w:rPr>
                <w:rFonts w:ascii="Times New Roman" w:hAnsi="Times New Roman" w:cs="Times New Roman"/>
              </w:rPr>
            </w:pPr>
          </w:p>
        </w:tc>
        <w:tc>
          <w:tcPr>
            <w:tcW w:w="1728" w:type="dxa"/>
            <w:shd w:val="clear" w:color="auto" w:fill="FFFFFF"/>
          </w:tcPr>
          <w:p w14:paraId="45B28CA8" w14:textId="77777777" w:rsidR="000709F1" w:rsidRPr="000F6719" w:rsidRDefault="000709F1" w:rsidP="004762C3">
            <w:pPr>
              <w:spacing w:before="24" w:after="24" w:line="240" w:lineRule="auto"/>
              <w:jc w:val="right"/>
              <w:rPr>
                <w:rFonts w:ascii="Times New Roman" w:hAnsi="Times New Roman" w:cs="Times New Roman"/>
              </w:rPr>
            </w:pPr>
          </w:p>
        </w:tc>
      </w:tr>
      <w:tr w:rsidR="000709F1" w:rsidRPr="000F6719" w14:paraId="772502ED" w14:textId="77777777" w:rsidTr="004762C3">
        <w:trPr>
          <w:jc w:val="center"/>
        </w:trPr>
        <w:tc>
          <w:tcPr>
            <w:tcW w:w="2952" w:type="dxa"/>
            <w:shd w:val="clear" w:color="auto" w:fill="FFFFFF"/>
          </w:tcPr>
          <w:p w14:paraId="1DF7F975"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Pre-Delta</w:t>
            </w:r>
          </w:p>
        </w:tc>
        <w:tc>
          <w:tcPr>
            <w:tcW w:w="1469" w:type="dxa"/>
            <w:shd w:val="clear" w:color="auto" w:fill="FFFFFF"/>
          </w:tcPr>
          <w:p w14:paraId="4D29CC41"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2,087 (51.4)</w:t>
            </w:r>
          </w:p>
        </w:tc>
        <w:tc>
          <w:tcPr>
            <w:tcW w:w="1642" w:type="dxa"/>
            <w:shd w:val="clear" w:color="auto" w:fill="FFFFFF"/>
          </w:tcPr>
          <w:p w14:paraId="578DAFC8"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7,656 (48.3)</w:t>
            </w:r>
          </w:p>
        </w:tc>
        <w:tc>
          <w:tcPr>
            <w:tcW w:w="1642" w:type="dxa"/>
            <w:shd w:val="clear" w:color="auto" w:fill="FFFFFF"/>
          </w:tcPr>
          <w:p w14:paraId="719D6126"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3DA4D24F"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54C890E4" w14:textId="77777777" w:rsidTr="004762C3">
        <w:trPr>
          <w:jc w:val="center"/>
        </w:trPr>
        <w:tc>
          <w:tcPr>
            <w:tcW w:w="2952" w:type="dxa"/>
            <w:shd w:val="clear" w:color="auto" w:fill="FFFFFF"/>
          </w:tcPr>
          <w:p w14:paraId="61EE4352"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Delta</w:t>
            </w:r>
          </w:p>
        </w:tc>
        <w:tc>
          <w:tcPr>
            <w:tcW w:w="1469" w:type="dxa"/>
            <w:shd w:val="clear" w:color="auto" w:fill="FFFFFF"/>
          </w:tcPr>
          <w:p w14:paraId="0C9978F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644 (15.8)</w:t>
            </w:r>
          </w:p>
        </w:tc>
        <w:tc>
          <w:tcPr>
            <w:tcW w:w="1642" w:type="dxa"/>
            <w:shd w:val="clear" w:color="auto" w:fill="FFFFFF"/>
          </w:tcPr>
          <w:p w14:paraId="76C30701"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2,338 (14.7)</w:t>
            </w:r>
          </w:p>
        </w:tc>
        <w:tc>
          <w:tcPr>
            <w:tcW w:w="1642" w:type="dxa"/>
            <w:shd w:val="clear" w:color="auto" w:fill="FFFFFF"/>
          </w:tcPr>
          <w:p w14:paraId="32F098B1"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shd w:val="clear" w:color="auto" w:fill="FFFFFF"/>
          </w:tcPr>
          <w:p w14:paraId="531E845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r w:rsidR="000709F1" w:rsidRPr="000F6719" w14:paraId="0A3B70AA" w14:textId="77777777" w:rsidTr="004762C3">
        <w:trPr>
          <w:jc w:val="center"/>
        </w:trPr>
        <w:tc>
          <w:tcPr>
            <w:tcW w:w="2952" w:type="dxa"/>
            <w:tcBorders>
              <w:bottom w:val="single" w:sz="8" w:space="0" w:color="333333"/>
            </w:tcBorders>
            <w:shd w:val="clear" w:color="auto" w:fill="FFFFFF"/>
          </w:tcPr>
          <w:p w14:paraId="2D6B6201" w14:textId="77777777" w:rsidR="000709F1" w:rsidRPr="000F6719" w:rsidRDefault="000709F1"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Omicron</w:t>
            </w:r>
          </w:p>
        </w:tc>
        <w:tc>
          <w:tcPr>
            <w:tcW w:w="1469" w:type="dxa"/>
            <w:tcBorders>
              <w:bottom w:val="single" w:sz="8" w:space="0" w:color="333333"/>
            </w:tcBorders>
            <w:shd w:val="clear" w:color="auto" w:fill="FFFFFF"/>
          </w:tcPr>
          <w:p w14:paraId="0B9B9EC7"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1,333 (32.8)</w:t>
            </w:r>
          </w:p>
        </w:tc>
        <w:tc>
          <w:tcPr>
            <w:tcW w:w="1642" w:type="dxa"/>
            <w:tcBorders>
              <w:bottom w:val="single" w:sz="8" w:space="0" w:color="333333"/>
            </w:tcBorders>
            <w:shd w:val="clear" w:color="auto" w:fill="FFFFFF"/>
          </w:tcPr>
          <w:p w14:paraId="6C26E6AC"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5,862 (37.0)</w:t>
            </w:r>
          </w:p>
        </w:tc>
        <w:tc>
          <w:tcPr>
            <w:tcW w:w="1642" w:type="dxa"/>
            <w:tcBorders>
              <w:bottom w:val="single" w:sz="8" w:space="0" w:color="333333"/>
            </w:tcBorders>
            <w:shd w:val="clear" w:color="auto" w:fill="FFFFFF"/>
          </w:tcPr>
          <w:p w14:paraId="2B6C3F09"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c>
          <w:tcPr>
            <w:tcW w:w="1728" w:type="dxa"/>
            <w:tcBorders>
              <w:bottom w:val="single" w:sz="8" w:space="0" w:color="333333"/>
            </w:tcBorders>
            <w:shd w:val="clear" w:color="auto" w:fill="FFFFFF"/>
          </w:tcPr>
          <w:p w14:paraId="72BAFAFB" w14:textId="77777777" w:rsidR="000709F1" w:rsidRPr="000F6719" w:rsidRDefault="000709F1"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NA</w:t>
            </w:r>
          </w:p>
        </w:tc>
      </w:tr>
    </w:tbl>
    <w:p w14:paraId="255DD871" w14:textId="77777777" w:rsidR="000709F1" w:rsidRPr="000F6719" w:rsidRDefault="000709F1" w:rsidP="000709F1">
      <w:pPr>
        <w:spacing w:line="480" w:lineRule="auto"/>
        <w:rPr>
          <w:rFonts w:ascii="Times New Roman" w:hAnsi="Times New Roman" w:cs="Times New Roman"/>
        </w:rPr>
      </w:pPr>
      <w:r w:rsidRPr="000F6719">
        <w:rPr>
          <w:rFonts w:ascii="Times New Roman" w:hAnsi="Times New Roman" w:cs="Times New Roman"/>
          <w:sz w:val="13"/>
        </w:rPr>
        <w:t>ᵃNA, not available. Race and ethnicity are not captured in MarketScan commercial claims. Pandemic wave was included as a covariate in the MarketScan base model (Figure 3, eTable 10) but is not tabulated here. Cell counts &lt;20 are suppressed.</w:t>
      </w:r>
    </w:p>
    <w:p w14:paraId="1C4520C0" w14:textId="77777777" w:rsidR="000709F1" w:rsidRPr="000F6719" w:rsidRDefault="000709F1" w:rsidP="000709F1">
      <w:pPr>
        <w:spacing w:line="480" w:lineRule="auto"/>
        <w:rPr>
          <w:rFonts w:ascii="Times New Roman" w:hAnsi="Times New Roman" w:cs="Times New Roman"/>
        </w:rPr>
      </w:pPr>
      <w:r w:rsidRPr="000F6719">
        <w:rPr>
          <w:rFonts w:ascii="Times New Roman" w:hAnsi="Times New Roman" w:cs="Times New Roman"/>
          <w:sz w:val="13"/>
        </w:rPr>
        <w:t xml:space="preserve">ᵇVaccination “No record” denotes no vaccination record identified before the index date using the concept set in </w:t>
      </w:r>
      <w:proofErr w:type="spellStart"/>
      <w:r w:rsidRPr="000F6719">
        <w:rPr>
          <w:rFonts w:ascii="Times New Roman" w:hAnsi="Times New Roman" w:cs="Times New Roman"/>
          <w:sz w:val="13"/>
        </w:rPr>
        <w:t>eTable</w:t>
      </w:r>
      <w:proofErr w:type="spellEnd"/>
      <w:r w:rsidRPr="000F6719">
        <w:rPr>
          <w:rFonts w:ascii="Times New Roman" w:hAnsi="Times New Roman" w:cs="Times New Roman"/>
          <w:sz w:val="13"/>
        </w:rPr>
        <w:t xml:space="preserve"> 3; it does not confirm the participant was unvaccinated.</w:t>
      </w:r>
    </w:p>
    <w:p w14:paraId="230613FC" w14:textId="77777777" w:rsidR="000709F1" w:rsidRPr="000F6719" w:rsidRDefault="000709F1" w:rsidP="000709F1">
      <w:pPr>
        <w:spacing w:line="480" w:lineRule="auto"/>
        <w:rPr>
          <w:rFonts w:ascii="Times New Roman" w:hAnsi="Times New Roman" w:cs="Times New Roman"/>
        </w:rPr>
      </w:pPr>
      <w:r w:rsidRPr="000F6719">
        <w:rPr>
          <w:rFonts w:ascii="Times New Roman" w:hAnsi="Times New Roman" w:cs="Times New Roman"/>
          <w:sz w:val="13"/>
        </w:rPr>
        <w:t>ᶜMarketScan captures commercially insured individuals, so adults aged ≥65 years, who are predominantly covered by Medicare, are under-represented.</w:t>
      </w:r>
    </w:p>
    <w:p w14:paraId="24F3EAF8" w14:textId="77777777" w:rsidR="000F6719" w:rsidRPr="000F6719" w:rsidRDefault="000F6719" w:rsidP="000F6719">
      <w:pPr>
        <w:spacing w:line="480" w:lineRule="auto"/>
        <w:rPr>
          <w:rFonts w:ascii="Times New Roman" w:hAnsi="Times New Roman" w:cs="Times New Roman"/>
          <w:b/>
          <w:sz w:val="18"/>
        </w:rPr>
      </w:pPr>
    </w:p>
    <w:p w14:paraId="12B3491D" w14:textId="5265C2ED" w:rsidR="000F6719" w:rsidRPr="000F6719" w:rsidRDefault="000F6719" w:rsidP="000F6719">
      <w:pPr>
        <w:spacing w:line="480" w:lineRule="auto"/>
        <w:rPr>
          <w:rFonts w:ascii="Times New Roman" w:hAnsi="Times New Roman" w:cs="Times New Roman"/>
        </w:rPr>
      </w:pPr>
      <w:r w:rsidRPr="000F6719">
        <w:rPr>
          <w:rFonts w:ascii="Times New Roman" w:hAnsi="Times New Roman" w:cs="Times New Roman"/>
          <w:b/>
          <w:sz w:val="18"/>
        </w:rPr>
        <w:t xml:space="preserve">Table 2. </w:t>
      </w:r>
      <w:proofErr w:type="gramStart"/>
      <w:r w:rsidRPr="000F6719">
        <w:rPr>
          <w:rFonts w:ascii="Times New Roman" w:hAnsi="Times New Roman" w:cs="Times New Roman"/>
          <w:b/>
          <w:sz w:val="18"/>
        </w:rPr>
        <w:t>Social determinants of health characteristics,</w:t>
      </w:r>
      <w:proofErr w:type="gramEnd"/>
      <w:r w:rsidRPr="000F6719">
        <w:rPr>
          <w:rFonts w:ascii="Times New Roman" w:hAnsi="Times New Roman" w:cs="Times New Roman"/>
          <w:b/>
          <w:sz w:val="18"/>
        </w:rPr>
        <w:t xml:space="preserve"> matched All of Us cohort.</w:t>
      </w:r>
    </w:p>
    <w:p w14:paraId="03089510" w14:textId="77777777" w:rsidR="000F6719" w:rsidRPr="000F6719" w:rsidRDefault="000F6719" w:rsidP="000F6719">
      <w:pPr>
        <w:spacing w:line="480" w:lineRule="auto"/>
        <w:rPr>
          <w:rFonts w:ascii="Times New Roman" w:hAnsi="Times New Roman" w:cs="Times New Roman"/>
        </w:rPr>
      </w:pPr>
      <w:r w:rsidRPr="000F6719">
        <w:rPr>
          <w:rFonts w:ascii="Times New Roman" w:hAnsi="Times New Roman" w:cs="Times New Roman"/>
          <w:sz w:val="15"/>
        </w:rPr>
        <w:t>Data are n (%). Percentages are column percentages of the matched cohort (4,064 cases; 15,856 controls).</w:t>
      </w:r>
    </w:p>
    <w:tbl>
      <w:tblPr>
        <w:tblW w:w="0" w:type="auto"/>
        <w:jc w:val="center"/>
        <w:tblLayout w:type="fixed"/>
        <w:tblLook w:val="04A0" w:firstRow="1" w:lastRow="0" w:firstColumn="1" w:lastColumn="0" w:noHBand="0" w:noVBand="1"/>
      </w:tblPr>
      <w:tblGrid>
        <w:gridCol w:w="4392"/>
        <w:gridCol w:w="2232"/>
        <w:gridCol w:w="2232"/>
      </w:tblGrid>
      <w:tr w:rsidR="000F6719" w:rsidRPr="000F6719" w14:paraId="5FEACD5E" w14:textId="77777777" w:rsidTr="004762C3">
        <w:trPr>
          <w:jc w:val="center"/>
        </w:trPr>
        <w:tc>
          <w:tcPr>
            <w:tcW w:w="4392" w:type="dxa"/>
            <w:tcBorders>
              <w:top w:val="single" w:sz="8" w:space="0" w:color="333333"/>
              <w:bottom w:val="single" w:sz="8" w:space="0" w:color="333333"/>
            </w:tcBorders>
            <w:shd w:val="clear" w:color="auto" w:fill="FFFFFF"/>
          </w:tcPr>
          <w:p w14:paraId="7B4B2AC6" w14:textId="77777777" w:rsidR="000F6719" w:rsidRPr="000F6719" w:rsidRDefault="000F6719"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Variable</w:t>
            </w:r>
          </w:p>
        </w:tc>
        <w:tc>
          <w:tcPr>
            <w:tcW w:w="2232" w:type="dxa"/>
            <w:tcBorders>
              <w:top w:val="single" w:sz="8" w:space="0" w:color="333333"/>
              <w:bottom w:val="single" w:sz="8" w:space="0" w:color="333333"/>
            </w:tcBorders>
            <w:shd w:val="clear" w:color="auto" w:fill="FFFFFF"/>
          </w:tcPr>
          <w:p w14:paraId="0DB4F555"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b/>
                <w:color w:val="000000"/>
                <w:sz w:val="14"/>
              </w:rPr>
              <w:t>Cases</w:t>
            </w:r>
          </w:p>
        </w:tc>
        <w:tc>
          <w:tcPr>
            <w:tcW w:w="2232" w:type="dxa"/>
            <w:tcBorders>
              <w:top w:val="single" w:sz="8" w:space="0" w:color="333333"/>
              <w:bottom w:val="single" w:sz="8" w:space="0" w:color="333333"/>
            </w:tcBorders>
            <w:shd w:val="clear" w:color="auto" w:fill="FFFFFF"/>
          </w:tcPr>
          <w:p w14:paraId="72346A9C"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b/>
                <w:color w:val="000000"/>
                <w:sz w:val="14"/>
              </w:rPr>
              <w:t>Controls</w:t>
            </w:r>
          </w:p>
        </w:tc>
      </w:tr>
      <w:tr w:rsidR="000F6719" w:rsidRPr="000F6719" w14:paraId="4E0E34AC" w14:textId="77777777" w:rsidTr="004762C3">
        <w:trPr>
          <w:jc w:val="center"/>
        </w:trPr>
        <w:tc>
          <w:tcPr>
            <w:tcW w:w="4392" w:type="dxa"/>
            <w:shd w:val="clear" w:color="auto" w:fill="FFFFFF"/>
          </w:tcPr>
          <w:p w14:paraId="4DD5822A" w14:textId="77777777" w:rsidR="000F6719" w:rsidRPr="000F6719" w:rsidRDefault="000F6719"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Income</w:t>
            </w:r>
          </w:p>
        </w:tc>
        <w:tc>
          <w:tcPr>
            <w:tcW w:w="2232" w:type="dxa"/>
            <w:shd w:val="clear" w:color="auto" w:fill="FFFFFF"/>
          </w:tcPr>
          <w:p w14:paraId="12EF5822" w14:textId="77777777" w:rsidR="000F6719" w:rsidRPr="000F6719" w:rsidRDefault="000F6719" w:rsidP="004762C3">
            <w:pPr>
              <w:spacing w:before="24" w:after="24" w:line="240" w:lineRule="auto"/>
              <w:jc w:val="right"/>
              <w:rPr>
                <w:rFonts w:ascii="Times New Roman" w:hAnsi="Times New Roman" w:cs="Times New Roman"/>
              </w:rPr>
            </w:pPr>
          </w:p>
        </w:tc>
        <w:tc>
          <w:tcPr>
            <w:tcW w:w="2232" w:type="dxa"/>
            <w:shd w:val="clear" w:color="auto" w:fill="FFFFFF"/>
          </w:tcPr>
          <w:p w14:paraId="0314BFC9" w14:textId="77777777" w:rsidR="000F6719" w:rsidRPr="000F6719" w:rsidRDefault="000F6719" w:rsidP="004762C3">
            <w:pPr>
              <w:spacing w:before="24" w:after="24" w:line="240" w:lineRule="auto"/>
              <w:jc w:val="right"/>
              <w:rPr>
                <w:rFonts w:ascii="Times New Roman" w:hAnsi="Times New Roman" w:cs="Times New Roman"/>
              </w:rPr>
            </w:pPr>
          </w:p>
        </w:tc>
      </w:tr>
      <w:tr w:rsidR="000F6719" w:rsidRPr="000F6719" w14:paraId="5E5BCFC1" w14:textId="77777777" w:rsidTr="004762C3">
        <w:trPr>
          <w:jc w:val="center"/>
        </w:trPr>
        <w:tc>
          <w:tcPr>
            <w:tcW w:w="4392" w:type="dxa"/>
            <w:shd w:val="clear" w:color="auto" w:fill="FFFFFF"/>
          </w:tcPr>
          <w:p w14:paraId="12077C3D"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&lt;$10,000</w:t>
            </w:r>
          </w:p>
        </w:tc>
        <w:tc>
          <w:tcPr>
            <w:tcW w:w="2232" w:type="dxa"/>
            <w:shd w:val="clear" w:color="auto" w:fill="FFFFFF"/>
          </w:tcPr>
          <w:p w14:paraId="4435DACB"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675 (16.6)</w:t>
            </w:r>
          </w:p>
        </w:tc>
        <w:tc>
          <w:tcPr>
            <w:tcW w:w="2232" w:type="dxa"/>
            <w:shd w:val="clear" w:color="auto" w:fill="FFFFFF"/>
          </w:tcPr>
          <w:p w14:paraId="61178525"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2,257 (14.2)</w:t>
            </w:r>
          </w:p>
        </w:tc>
      </w:tr>
      <w:tr w:rsidR="000F6719" w:rsidRPr="000F6719" w14:paraId="0A2937DF" w14:textId="77777777" w:rsidTr="004762C3">
        <w:trPr>
          <w:jc w:val="center"/>
        </w:trPr>
        <w:tc>
          <w:tcPr>
            <w:tcW w:w="4392" w:type="dxa"/>
            <w:shd w:val="clear" w:color="auto" w:fill="FFFFFF"/>
          </w:tcPr>
          <w:p w14:paraId="033E0DDD"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$10,000–24,999</w:t>
            </w:r>
          </w:p>
        </w:tc>
        <w:tc>
          <w:tcPr>
            <w:tcW w:w="2232" w:type="dxa"/>
            <w:shd w:val="clear" w:color="auto" w:fill="FFFFFF"/>
          </w:tcPr>
          <w:p w14:paraId="7EA6763A"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650 (16.0)</w:t>
            </w:r>
          </w:p>
        </w:tc>
        <w:tc>
          <w:tcPr>
            <w:tcW w:w="2232" w:type="dxa"/>
            <w:shd w:val="clear" w:color="auto" w:fill="FFFFFF"/>
          </w:tcPr>
          <w:p w14:paraId="53128FF3"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2,268 (14.3)</w:t>
            </w:r>
          </w:p>
        </w:tc>
      </w:tr>
      <w:tr w:rsidR="000F6719" w:rsidRPr="000F6719" w14:paraId="062FC9E2" w14:textId="77777777" w:rsidTr="004762C3">
        <w:trPr>
          <w:jc w:val="center"/>
        </w:trPr>
        <w:tc>
          <w:tcPr>
            <w:tcW w:w="4392" w:type="dxa"/>
            <w:shd w:val="clear" w:color="auto" w:fill="FFFFFF"/>
          </w:tcPr>
          <w:p w14:paraId="6A510A46"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$25,000–34,999</w:t>
            </w:r>
          </w:p>
        </w:tc>
        <w:tc>
          <w:tcPr>
            <w:tcW w:w="2232" w:type="dxa"/>
            <w:shd w:val="clear" w:color="auto" w:fill="FFFFFF"/>
          </w:tcPr>
          <w:p w14:paraId="42041C56"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318 (7.8)</w:t>
            </w:r>
          </w:p>
        </w:tc>
        <w:tc>
          <w:tcPr>
            <w:tcW w:w="2232" w:type="dxa"/>
            <w:shd w:val="clear" w:color="auto" w:fill="FFFFFF"/>
          </w:tcPr>
          <w:p w14:paraId="32BFE137"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1,351 (8.5)</w:t>
            </w:r>
          </w:p>
        </w:tc>
      </w:tr>
      <w:tr w:rsidR="000F6719" w:rsidRPr="000F6719" w14:paraId="57899824" w14:textId="77777777" w:rsidTr="004762C3">
        <w:trPr>
          <w:jc w:val="center"/>
        </w:trPr>
        <w:tc>
          <w:tcPr>
            <w:tcW w:w="4392" w:type="dxa"/>
            <w:shd w:val="clear" w:color="auto" w:fill="FFFFFF"/>
          </w:tcPr>
          <w:p w14:paraId="7260A0D7"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$35,000–99,999 (reference)</w:t>
            </w:r>
          </w:p>
        </w:tc>
        <w:tc>
          <w:tcPr>
            <w:tcW w:w="2232" w:type="dxa"/>
            <w:shd w:val="clear" w:color="auto" w:fill="FFFFFF"/>
          </w:tcPr>
          <w:p w14:paraId="00074BB9"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793 (19.5)</w:t>
            </w:r>
          </w:p>
        </w:tc>
        <w:tc>
          <w:tcPr>
            <w:tcW w:w="2232" w:type="dxa"/>
            <w:shd w:val="clear" w:color="auto" w:fill="FFFFFF"/>
          </w:tcPr>
          <w:p w14:paraId="32F0B62D"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4,264 (26.9)</w:t>
            </w:r>
          </w:p>
        </w:tc>
      </w:tr>
      <w:tr w:rsidR="000F6719" w:rsidRPr="000F6719" w14:paraId="545F05D2" w14:textId="77777777" w:rsidTr="004762C3">
        <w:trPr>
          <w:jc w:val="center"/>
        </w:trPr>
        <w:tc>
          <w:tcPr>
            <w:tcW w:w="4392" w:type="dxa"/>
            <w:shd w:val="clear" w:color="auto" w:fill="FFFFFF"/>
          </w:tcPr>
          <w:p w14:paraId="549E829B"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$100,000–149,999</w:t>
            </w:r>
          </w:p>
        </w:tc>
        <w:tc>
          <w:tcPr>
            <w:tcW w:w="2232" w:type="dxa"/>
            <w:shd w:val="clear" w:color="auto" w:fill="FFFFFF"/>
          </w:tcPr>
          <w:p w14:paraId="600552DE"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277 (6.8)</w:t>
            </w:r>
          </w:p>
        </w:tc>
        <w:tc>
          <w:tcPr>
            <w:tcW w:w="2232" w:type="dxa"/>
            <w:shd w:val="clear" w:color="auto" w:fill="FFFFFF"/>
          </w:tcPr>
          <w:p w14:paraId="4748F154"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1,292 (8.1)</w:t>
            </w:r>
          </w:p>
        </w:tc>
      </w:tr>
      <w:tr w:rsidR="000F6719" w:rsidRPr="000F6719" w14:paraId="07AFD3B1" w14:textId="77777777" w:rsidTr="004762C3">
        <w:trPr>
          <w:jc w:val="center"/>
        </w:trPr>
        <w:tc>
          <w:tcPr>
            <w:tcW w:w="4392" w:type="dxa"/>
            <w:shd w:val="clear" w:color="auto" w:fill="FFFFFF"/>
          </w:tcPr>
          <w:p w14:paraId="5C6F2F1D"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$150,000–199,999</w:t>
            </w:r>
          </w:p>
        </w:tc>
        <w:tc>
          <w:tcPr>
            <w:tcW w:w="2232" w:type="dxa"/>
            <w:shd w:val="clear" w:color="auto" w:fill="FFFFFF"/>
          </w:tcPr>
          <w:p w14:paraId="306F65F8"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122 (3.0)</w:t>
            </w:r>
          </w:p>
        </w:tc>
        <w:tc>
          <w:tcPr>
            <w:tcW w:w="2232" w:type="dxa"/>
            <w:shd w:val="clear" w:color="auto" w:fill="FFFFFF"/>
          </w:tcPr>
          <w:p w14:paraId="3CA7AD4A"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582 (3.7)</w:t>
            </w:r>
          </w:p>
        </w:tc>
      </w:tr>
      <w:tr w:rsidR="000F6719" w:rsidRPr="000F6719" w14:paraId="7E3151CE" w14:textId="77777777" w:rsidTr="004762C3">
        <w:trPr>
          <w:jc w:val="center"/>
        </w:trPr>
        <w:tc>
          <w:tcPr>
            <w:tcW w:w="4392" w:type="dxa"/>
            <w:shd w:val="clear" w:color="auto" w:fill="FFFFFF"/>
          </w:tcPr>
          <w:p w14:paraId="7F58DEAD"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≥$200,000</w:t>
            </w:r>
          </w:p>
        </w:tc>
        <w:tc>
          <w:tcPr>
            <w:tcW w:w="2232" w:type="dxa"/>
            <w:shd w:val="clear" w:color="auto" w:fill="FFFFFF"/>
          </w:tcPr>
          <w:p w14:paraId="0F638797"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143 (3.5)</w:t>
            </w:r>
          </w:p>
        </w:tc>
        <w:tc>
          <w:tcPr>
            <w:tcW w:w="2232" w:type="dxa"/>
            <w:shd w:val="clear" w:color="auto" w:fill="FFFFFF"/>
          </w:tcPr>
          <w:p w14:paraId="78555F2E"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705 (4.4)</w:t>
            </w:r>
          </w:p>
        </w:tc>
      </w:tr>
      <w:tr w:rsidR="000F6719" w:rsidRPr="000F6719" w14:paraId="34A786C6" w14:textId="77777777" w:rsidTr="004762C3">
        <w:trPr>
          <w:jc w:val="center"/>
        </w:trPr>
        <w:tc>
          <w:tcPr>
            <w:tcW w:w="4392" w:type="dxa"/>
            <w:shd w:val="clear" w:color="auto" w:fill="FFFFFF"/>
          </w:tcPr>
          <w:p w14:paraId="451C53D5"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shd w:val="clear" w:color="auto" w:fill="FFFFFF"/>
          </w:tcPr>
          <w:p w14:paraId="6AC8DFED"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1,086 (26.7)</w:t>
            </w:r>
          </w:p>
        </w:tc>
        <w:tc>
          <w:tcPr>
            <w:tcW w:w="2232" w:type="dxa"/>
            <w:shd w:val="clear" w:color="auto" w:fill="FFFFFF"/>
          </w:tcPr>
          <w:p w14:paraId="3743873A"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3,137 (19.8)</w:t>
            </w:r>
          </w:p>
        </w:tc>
      </w:tr>
      <w:tr w:rsidR="000F6719" w:rsidRPr="000F6719" w14:paraId="592C8062" w14:textId="77777777" w:rsidTr="004762C3">
        <w:trPr>
          <w:jc w:val="center"/>
        </w:trPr>
        <w:tc>
          <w:tcPr>
            <w:tcW w:w="4392" w:type="dxa"/>
            <w:shd w:val="clear" w:color="auto" w:fill="FFFFFF"/>
          </w:tcPr>
          <w:p w14:paraId="19EA3771" w14:textId="77777777" w:rsidR="000F6719" w:rsidRPr="000F6719" w:rsidRDefault="000F6719"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Employment</w:t>
            </w:r>
          </w:p>
        </w:tc>
        <w:tc>
          <w:tcPr>
            <w:tcW w:w="2232" w:type="dxa"/>
            <w:shd w:val="clear" w:color="auto" w:fill="FFFFFF"/>
          </w:tcPr>
          <w:p w14:paraId="495DB7E7" w14:textId="77777777" w:rsidR="000F6719" w:rsidRPr="000F6719" w:rsidRDefault="000F6719" w:rsidP="004762C3">
            <w:pPr>
              <w:spacing w:before="24" w:after="24" w:line="240" w:lineRule="auto"/>
              <w:jc w:val="right"/>
              <w:rPr>
                <w:rFonts w:ascii="Times New Roman" w:hAnsi="Times New Roman" w:cs="Times New Roman"/>
              </w:rPr>
            </w:pPr>
          </w:p>
        </w:tc>
        <w:tc>
          <w:tcPr>
            <w:tcW w:w="2232" w:type="dxa"/>
            <w:shd w:val="clear" w:color="auto" w:fill="FFFFFF"/>
          </w:tcPr>
          <w:p w14:paraId="2B64E832" w14:textId="77777777" w:rsidR="000F6719" w:rsidRPr="000F6719" w:rsidRDefault="000F6719" w:rsidP="004762C3">
            <w:pPr>
              <w:spacing w:before="24" w:after="24" w:line="240" w:lineRule="auto"/>
              <w:jc w:val="right"/>
              <w:rPr>
                <w:rFonts w:ascii="Times New Roman" w:hAnsi="Times New Roman" w:cs="Times New Roman"/>
              </w:rPr>
            </w:pPr>
          </w:p>
        </w:tc>
      </w:tr>
      <w:tr w:rsidR="000F6719" w:rsidRPr="000F6719" w14:paraId="0DA050CD" w14:textId="77777777" w:rsidTr="004762C3">
        <w:trPr>
          <w:jc w:val="center"/>
        </w:trPr>
        <w:tc>
          <w:tcPr>
            <w:tcW w:w="4392" w:type="dxa"/>
            <w:shd w:val="clear" w:color="auto" w:fill="FFFFFF"/>
          </w:tcPr>
          <w:p w14:paraId="1B460E9D"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Employed (reference)</w:t>
            </w:r>
          </w:p>
        </w:tc>
        <w:tc>
          <w:tcPr>
            <w:tcW w:w="2232" w:type="dxa"/>
            <w:shd w:val="clear" w:color="auto" w:fill="FFFFFF"/>
          </w:tcPr>
          <w:p w14:paraId="69AB5CCC"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1,099 (27.0)</w:t>
            </w:r>
          </w:p>
        </w:tc>
        <w:tc>
          <w:tcPr>
            <w:tcW w:w="2232" w:type="dxa"/>
            <w:shd w:val="clear" w:color="auto" w:fill="FFFFFF"/>
          </w:tcPr>
          <w:p w14:paraId="6E13EE0D"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5,930 (37.4)</w:t>
            </w:r>
          </w:p>
        </w:tc>
      </w:tr>
      <w:tr w:rsidR="000F6719" w:rsidRPr="000F6719" w14:paraId="439EBE93" w14:textId="77777777" w:rsidTr="004762C3">
        <w:trPr>
          <w:jc w:val="center"/>
        </w:trPr>
        <w:tc>
          <w:tcPr>
            <w:tcW w:w="4392" w:type="dxa"/>
            <w:shd w:val="clear" w:color="auto" w:fill="FFFFFF"/>
          </w:tcPr>
          <w:p w14:paraId="5A48877C"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Student</w:t>
            </w:r>
          </w:p>
        </w:tc>
        <w:tc>
          <w:tcPr>
            <w:tcW w:w="2232" w:type="dxa"/>
            <w:shd w:val="clear" w:color="auto" w:fill="FFFFFF"/>
          </w:tcPr>
          <w:p w14:paraId="2B829709"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84 (2.1)</w:t>
            </w:r>
          </w:p>
        </w:tc>
        <w:tc>
          <w:tcPr>
            <w:tcW w:w="2232" w:type="dxa"/>
            <w:shd w:val="clear" w:color="auto" w:fill="FFFFFF"/>
          </w:tcPr>
          <w:p w14:paraId="4BE8F8D4"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318 (2.0)</w:t>
            </w:r>
          </w:p>
        </w:tc>
      </w:tr>
      <w:tr w:rsidR="000F6719" w:rsidRPr="000F6719" w14:paraId="2C105B80" w14:textId="77777777" w:rsidTr="004762C3">
        <w:trPr>
          <w:jc w:val="center"/>
        </w:trPr>
        <w:tc>
          <w:tcPr>
            <w:tcW w:w="4392" w:type="dxa"/>
            <w:shd w:val="clear" w:color="auto" w:fill="FFFFFF"/>
          </w:tcPr>
          <w:p w14:paraId="3C01D3E9"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Unemployed</w:t>
            </w:r>
          </w:p>
        </w:tc>
        <w:tc>
          <w:tcPr>
            <w:tcW w:w="2232" w:type="dxa"/>
            <w:shd w:val="clear" w:color="auto" w:fill="FFFFFF"/>
          </w:tcPr>
          <w:p w14:paraId="2D2B6890"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1,334 (32.8)</w:t>
            </w:r>
          </w:p>
        </w:tc>
        <w:tc>
          <w:tcPr>
            <w:tcW w:w="2232" w:type="dxa"/>
            <w:shd w:val="clear" w:color="auto" w:fill="FFFFFF"/>
          </w:tcPr>
          <w:p w14:paraId="75572AC2"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4,407 (27.8)</w:t>
            </w:r>
          </w:p>
        </w:tc>
      </w:tr>
      <w:tr w:rsidR="000F6719" w:rsidRPr="000F6719" w14:paraId="43A80155" w14:textId="77777777" w:rsidTr="004762C3">
        <w:trPr>
          <w:jc w:val="center"/>
        </w:trPr>
        <w:tc>
          <w:tcPr>
            <w:tcW w:w="4392" w:type="dxa"/>
            <w:shd w:val="clear" w:color="auto" w:fill="FFFFFF"/>
          </w:tcPr>
          <w:p w14:paraId="0A92FD1E"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Retired or other</w:t>
            </w:r>
          </w:p>
        </w:tc>
        <w:tc>
          <w:tcPr>
            <w:tcW w:w="2232" w:type="dxa"/>
            <w:shd w:val="clear" w:color="auto" w:fill="FFFFFF"/>
          </w:tcPr>
          <w:p w14:paraId="4405238B"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1,427 (35.1)</w:t>
            </w:r>
          </w:p>
        </w:tc>
        <w:tc>
          <w:tcPr>
            <w:tcW w:w="2232" w:type="dxa"/>
            <w:shd w:val="clear" w:color="auto" w:fill="FFFFFF"/>
          </w:tcPr>
          <w:p w14:paraId="14315574"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4,819 (30.4)</w:t>
            </w:r>
          </w:p>
        </w:tc>
      </w:tr>
      <w:tr w:rsidR="000F6719" w:rsidRPr="000F6719" w14:paraId="17468576" w14:textId="77777777" w:rsidTr="004762C3">
        <w:trPr>
          <w:jc w:val="center"/>
        </w:trPr>
        <w:tc>
          <w:tcPr>
            <w:tcW w:w="4392" w:type="dxa"/>
            <w:shd w:val="clear" w:color="auto" w:fill="FFFFFF"/>
          </w:tcPr>
          <w:p w14:paraId="1F47EA94"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shd w:val="clear" w:color="auto" w:fill="FFFFFF"/>
          </w:tcPr>
          <w:p w14:paraId="24FEFB4C"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120 (3.0)</w:t>
            </w:r>
          </w:p>
        </w:tc>
        <w:tc>
          <w:tcPr>
            <w:tcW w:w="2232" w:type="dxa"/>
            <w:shd w:val="clear" w:color="auto" w:fill="FFFFFF"/>
          </w:tcPr>
          <w:p w14:paraId="64FB49AE"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382 (2.4)</w:t>
            </w:r>
          </w:p>
        </w:tc>
      </w:tr>
      <w:tr w:rsidR="000F6719" w:rsidRPr="000F6719" w14:paraId="2D948AE2" w14:textId="77777777" w:rsidTr="004762C3">
        <w:trPr>
          <w:jc w:val="center"/>
        </w:trPr>
        <w:tc>
          <w:tcPr>
            <w:tcW w:w="4392" w:type="dxa"/>
            <w:shd w:val="clear" w:color="auto" w:fill="FFFFFF"/>
          </w:tcPr>
          <w:p w14:paraId="077AACE7" w14:textId="77777777" w:rsidR="000F6719" w:rsidRPr="000F6719" w:rsidRDefault="000F6719"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Education</w:t>
            </w:r>
          </w:p>
        </w:tc>
        <w:tc>
          <w:tcPr>
            <w:tcW w:w="2232" w:type="dxa"/>
            <w:shd w:val="clear" w:color="auto" w:fill="FFFFFF"/>
          </w:tcPr>
          <w:p w14:paraId="0847D3C4" w14:textId="77777777" w:rsidR="000F6719" w:rsidRPr="000F6719" w:rsidRDefault="000F6719" w:rsidP="004762C3">
            <w:pPr>
              <w:spacing w:before="24" w:after="24" w:line="240" w:lineRule="auto"/>
              <w:jc w:val="right"/>
              <w:rPr>
                <w:rFonts w:ascii="Times New Roman" w:hAnsi="Times New Roman" w:cs="Times New Roman"/>
              </w:rPr>
            </w:pPr>
          </w:p>
        </w:tc>
        <w:tc>
          <w:tcPr>
            <w:tcW w:w="2232" w:type="dxa"/>
            <w:shd w:val="clear" w:color="auto" w:fill="FFFFFF"/>
          </w:tcPr>
          <w:p w14:paraId="4693C25F" w14:textId="77777777" w:rsidR="000F6719" w:rsidRPr="000F6719" w:rsidRDefault="000F6719" w:rsidP="004762C3">
            <w:pPr>
              <w:spacing w:before="24" w:after="24" w:line="240" w:lineRule="auto"/>
              <w:jc w:val="right"/>
              <w:rPr>
                <w:rFonts w:ascii="Times New Roman" w:hAnsi="Times New Roman" w:cs="Times New Roman"/>
              </w:rPr>
            </w:pPr>
          </w:p>
        </w:tc>
      </w:tr>
      <w:tr w:rsidR="000F6719" w:rsidRPr="000F6719" w14:paraId="6114F43C" w14:textId="77777777" w:rsidTr="004762C3">
        <w:trPr>
          <w:jc w:val="center"/>
        </w:trPr>
        <w:tc>
          <w:tcPr>
            <w:tcW w:w="4392" w:type="dxa"/>
            <w:shd w:val="clear" w:color="auto" w:fill="FFFFFF"/>
          </w:tcPr>
          <w:p w14:paraId="36A0C7CF"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Never attended school</w:t>
            </w:r>
          </w:p>
        </w:tc>
        <w:tc>
          <w:tcPr>
            <w:tcW w:w="2232" w:type="dxa"/>
            <w:shd w:val="clear" w:color="auto" w:fill="FFFFFF"/>
          </w:tcPr>
          <w:p w14:paraId="511E2385"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&lt;20</w:t>
            </w:r>
          </w:p>
        </w:tc>
        <w:tc>
          <w:tcPr>
            <w:tcW w:w="2232" w:type="dxa"/>
            <w:shd w:val="clear" w:color="auto" w:fill="FFFFFF"/>
          </w:tcPr>
          <w:p w14:paraId="0C457E8F"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&lt;20</w:t>
            </w:r>
          </w:p>
        </w:tc>
      </w:tr>
      <w:tr w:rsidR="000F6719" w:rsidRPr="000F6719" w14:paraId="1511F5DD" w14:textId="77777777" w:rsidTr="004762C3">
        <w:trPr>
          <w:jc w:val="center"/>
        </w:trPr>
        <w:tc>
          <w:tcPr>
            <w:tcW w:w="4392" w:type="dxa"/>
            <w:shd w:val="clear" w:color="auto" w:fill="FFFFFF"/>
          </w:tcPr>
          <w:p w14:paraId="7BEA9C27"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Below high school or GED</w:t>
            </w:r>
          </w:p>
        </w:tc>
        <w:tc>
          <w:tcPr>
            <w:tcW w:w="2232" w:type="dxa"/>
            <w:shd w:val="clear" w:color="auto" w:fill="FFFFFF"/>
          </w:tcPr>
          <w:p w14:paraId="727575C2"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565 (13.9)</w:t>
            </w:r>
          </w:p>
        </w:tc>
        <w:tc>
          <w:tcPr>
            <w:tcW w:w="2232" w:type="dxa"/>
            <w:shd w:val="clear" w:color="auto" w:fill="FFFFFF"/>
          </w:tcPr>
          <w:p w14:paraId="1F337B68"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1,643 (10.4)</w:t>
            </w:r>
          </w:p>
        </w:tc>
      </w:tr>
      <w:tr w:rsidR="000F6719" w:rsidRPr="000F6719" w14:paraId="140A7EA5" w14:textId="77777777" w:rsidTr="004762C3">
        <w:trPr>
          <w:jc w:val="center"/>
        </w:trPr>
        <w:tc>
          <w:tcPr>
            <w:tcW w:w="4392" w:type="dxa"/>
            <w:shd w:val="clear" w:color="auto" w:fill="FFFFFF"/>
          </w:tcPr>
          <w:p w14:paraId="6D11D1C9"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High school, GED, or some college</w:t>
            </w:r>
          </w:p>
        </w:tc>
        <w:tc>
          <w:tcPr>
            <w:tcW w:w="2232" w:type="dxa"/>
            <w:shd w:val="clear" w:color="auto" w:fill="FFFFFF"/>
          </w:tcPr>
          <w:p w14:paraId="5FA9F631"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2,128 (52.4)</w:t>
            </w:r>
          </w:p>
        </w:tc>
        <w:tc>
          <w:tcPr>
            <w:tcW w:w="2232" w:type="dxa"/>
            <w:shd w:val="clear" w:color="auto" w:fill="FFFFFF"/>
          </w:tcPr>
          <w:p w14:paraId="16569E7A"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8,164 (51.5)</w:t>
            </w:r>
          </w:p>
        </w:tc>
      </w:tr>
      <w:tr w:rsidR="000F6719" w:rsidRPr="000F6719" w14:paraId="618B1F4E" w14:textId="77777777" w:rsidTr="004762C3">
        <w:trPr>
          <w:jc w:val="center"/>
        </w:trPr>
        <w:tc>
          <w:tcPr>
            <w:tcW w:w="4392" w:type="dxa"/>
            <w:shd w:val="clear" w:color="auto" w:fill="FFFFFF"/>
          </w:tcPr>
          <w:p w14:paraId="71A94EFD"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College graduate or higher (reference)</w:t>
            </w:r>
          </w:p>
        </w:tc>
        <w:tc>
          <w:tcPr>
            <w:tcW w:w="2232" w:type="dxa"/>
            <w:shd w:val="clear" w:color="auto" w:fill="FFFFFF"/>
          </w:tcPr>
          <w:p w14:paraId="074831F4"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1,243 (30.6)</w:t>
            </w:r>
          </w:p>
        </w:tc>
        <w:tc>
          <w:tcPr>
            <w:tcW w:w="2232" w:type="dxa"/>
            <w:shd w:val="clear" w:color="auto" w:fill="FFFFFF"/>
          </w:tcPr>
          <w:p w14:paraId="77B122A6"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5,758 (36.3)</w:t>
            </w:r>
          </w:p>
        </w:tc>
      </w:tr>
      <w:tr w:rsidR="000F6719" w:rsidRPr="000F6719" w14:paraId="22B7FDE3" w14:textId="77777777" w:rsidTr="004762C3">
        <w:trPr>
          <w:jc w:val="center"/>
        </w:trPr>
        <w:tc>
          <w:tcPr>
            <w:tcW w:w="4392" w:type="dxa"/>
            <w:shd w:val="clear" w:color="auto" w:fill="FFFFFF"/>
          </w:tcPr>
          <w:p w14:paraId="313CEDD8"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shd w:val="clear" w:color="auto" w:fill="FFFFFF"/>
          </w:tcPr>
          <w:p w14:paraId="097D50A3"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112 (2.8)</w:t>
            </w:r>
          </w:p>
        </w:tc>
        <w:tc>
          <w:tcPr>
            <w:tcW w:w="2232" w:type="dxa"/>
            <w:shd w:val="clear" w:color="auto" w:fill="FFFFFF"/>
          </w:tcPr>
          <w:p w14:paraId="278B3689"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273 (1.7)</w:t>
            </w:r>
          </w:p>
        </w:tc>
      </w:tr>
      <w:tr w:rsidR="000F6719" w:rsidRPr="000F6719" w14:paraId="49706792" w14:textId="77777777" w:rsidTr="004762C3">
        <w:trPr>
          <w:jc w:val="center"/>
        </w:trPr>
        <w:tc>
          <w:tcPr>
            <w:tcW w:w="4392" w:type="dxa"/>
            <w:shd w:val="clear" w:color="auto" w:fill="FFFFFF"/>
          </w:tcPr>
          <w:p w14:paraId="0793B852" w14:textId="77777777" w:rsidR="000F6719" w:rsidRPr="000F6719" w:rsidRDefault="000F6719"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Housing tenure</w:t>
            </w:r>
          </w:p>
        </w:tc>
        <w:tc>
          <w:tcPr>
            <w:tcW w:w="2232" w:type="dxa"/>
            <w:shd w:val="clear" w:color="auto" w:fill="FFFFFF"/>
          </w:tcPr>
          <w:p w14:paraId="4912E6DF" w14:textId="77777777" w:rsidR="000F6719" w:rsidRPr="000F6719" w:rsidRDefault="000F6719" w:rsidP="004762C3">
            <w:pPr>
              <w:spacing w:before="24" w:after="24" w:line="240" w:lineRule="auto"/>
              <w:jc w:val="right"/>
              <w:rPr>
                <w:rFonts w:ascii="Times New Roman" w:hAnsi="Times New Roman" w:cs="Times New Roman"/>
              </w:rPr>
            </w:pPr>
          </w:p>
        </w:tc>
        <w:tc>
          <w:tcPr>
            <w:tcW w:w="2232" w:type="dxa"/>
            <w:shd w:val="clear" w:color="auto" w:fill="FFFFFF"/>
          </w:tcPr>
          <w:p w14:paraId="752FE4FB" w14:textId="77777777" w:rsidR="000F6719" w:rsidRPr="000F6719" w:rsidRDefault="000F6719" w:rsidP="004762C3">
            <w:pPr>
              <w:spacing w:before="24" w:after="24" w:line="240" w:lineRule="auto"/>
              <w:jc w:val="right"/>
              <w:rPr>
                <w:rFonts w:ascii="Times New Roman" w:hAnsi="Times New Roman" w:cs="Times New Roman"/>
              </w:rPr>
            </w:pPr>
          </w:p>
        </w:tc>
      </w:tr>
      <w:tr w:rsidR="000F6719" w:rsidRPr="000F6719" w14:paraId="14518030" w14:textId="77777777" w:rsidTr="004762C3">
        <w:trPr>
          <w:jc w:val="center"/>
        </w:trPr>
        <w:tc>
          <w:tcPr>
            <w:tcW w:w="4392" w:type="dxa"/>
            <w:shd w:val="clear" w:color="auto" w:fill="FFFFFF"/>
          </w:tcPr>
          <w:p w14:paraId="78422593"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Own home (reference)</w:t>
            </w:r>
          </w:p>
        </w:tc>
        <w:tc>
          <w:tcPr>
            <w:tcW w:w="2232" w:type="dxa"/>
            <w:shd w:val="clear" w:color="auto" w:fill="FFFFFF"/>
          </w:tcPr>
          <w:p w14:paraId="1CA87AEE"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1,519 (37.4)</w:t>
            </w:r>
          </w:p>
        </w:tc>
        <w:tc>
          <w:tcPr>
            <w:tcW w:w="2232" w:type="dxa"/>
            <w:shd w:val="clear" w:color="auto" w:fill="FFFFFF"/>
          </w:tcPr>
          <w:p w14:paraId="0680BFFA"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6,816 (43.0)</w:t>
            </w:r>
          </w:p>
        </w:tc>
      </w:tr>
      <w:tr w:rsidR="000F6719" w:rsidRPr="000F6719" w14:paraId="6E4F042B" w14:textId="77777777" w:rsidTr="004762C3">
        <w:trPr>
          <w:jc w:val="center"/>
        </w:trPr>
        <w:tc>
          <w:tcPr>
            <w:tcW w:w="4392" w:type="dxa"/>
            <w:shd w:val="clear" w:color="auto" w:fill="FFFFFF"/>
          </w:tcPr>
          <w:p w14:paraId="15AF64EB"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Rent</w:t>
            </w:r>
          </w:p>
        </w:tc>
        <w:tc>
          <w:tcPr>
            <w:tcW w:w="2232" w:type="dxa"/>
            <w:shd w:val="clear" w:color="auto" w:fill="FFFFFF"/>
          </w:tcPr>
          <w:p w14:paraId="04BF36AF"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2,030 (50.0)</w:t>
            </w:r>
          </w:p>
        </w:tc>
        <w:tc>
          <w:tcPr>
            <w:tcW w:w="2232" w:type="dxa"/>
            <w:shd w:val="clear" w:color="auto" w:fill="FFFFFF"/>
          </w:tcPr>
          <w:p w14:paraId="36A18A9A"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6,849 (43.2)</w:t>
            </w:r>
          </w:p>
        </w:tc>
      </w:tr>
      <w:tr w:rsidR="000F6719" w:rsidRPr="000F6719" w14:paraId="1EBE147F" w14:textId="77777777" w:rsidTr="004762C3">
        <w:trPr>
          <w:jc w:val="center"/>
        </w:trPr>
        <w:tc>
          <w:tcPr>
            <w:tcW w:w="4392" w:type="dxa"/>
            <w:shd w:val="clear" w:color="auto" w:fill="FFFFFF"/>
          </w:tcPr>
          <w:p w14:paraId="685FD7BC"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Other</w:t>
            </w:r>
          </w:p>
        </w:tc>
        <w:tc>
          <w:tcPr>
            <w:tcW w:w="2232" w:type="dxa"/>
            <w:shd w:val="clear" w:color="auto" w:fill="FFFFFF"/>
          </w:tcPr>
          <w:p w14:paraId="3FE439B6"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345 (8.5)</w:t>
            </w:r>
          </w:p>
        </w:tc>
        <w:tc>
          <w:tcPr>
            <w:tcW w:w="2232" w:type="dxa"/>
            <w:shd w:val="clear" w:color="auto" w:fill="FFFFFF"/>
          </w:tcPr>
          <w:p w14:paraId="3186E2F8"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1,615 (10.2)</w:t>
            </w:r>
          </w:p>
        </w:tc>
      </w:tr>
      <w:tr w:rsidR="000F6719" w:rsidRPr="000F6719" w14:paraId="11CEC733" w14:textId="77777777" w:rsidTr="004762C3">
        <w:trPr>
          <w:jc w:val="center"/>
        </w:trPr>
        <w:tc>
          <w:tcPr>
            <w:tcW w:w="4392" w:type="dxa"/>
            <w:shd w:val="clear" w:color="auto" w:fill="FFFFFF"/>
          </w:tcPr>
          <w:p w14:paraId="7D24FBCA"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shd w:val="clear" w:color="auto" w:fill="FFFFFF"/>
          </w:tcPr>
          <w:p w14:paraId="0EDC624E"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169 (4.2)</w:t>
            </w:r>
          </w:p>
        </w:tc>
        <w:tc>
          <w:tcPr>
            <w:tcW w:w="2232" w:type="dxa"/>
            <w:shd w:val="clear" w:color="auto" w:fill="FFFFFF"/>
          </w:tcPr>
          <w:p w14:paraId="37B40FCC"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571 (3.6)</w:t>
            </w:r>
          </w:p>
        </w:tc>
      </w:tr>
      <w:tr w:rsidR="000F6719" w:rsidRPr="000F6719" w14:paraId="50A1681D" w14:textId="77777777" w:rsidTr="004762C3">
        <w:trPr>
          <w:jc w:val="center"/>
        </w:trPr>
        <w:tc>
          <w:tcPr>
            <w:tcW w:w="4392" w:type="dxa"/>
            <w:shd w:val="clear" w:color="auto" w:fill="FFFFFF"/>
          </w:tcPr>
          <w:p w14:paraId="44BCAAF2" w14:textId="77777777" w:rsidR="000F6719" w:rsidRPr="000F6719" w:rsidRDefault="000F6719"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Housing stability</w:t>
            </w:r>
          </w:p>
        </w:tc>
        <w:tc>
          <w:tcPr>
            <w:tcW w:w="2232" w:type="dxa"/>
            <w:shd w:val="clear" w:color="auto" w:fill="FFFFFF"/>
          </w:tcPr>
          <w:p w14:paraId="14F6E154" w14:textId="77777777" w:rsidR="000F6719" w:rsidRPr="000F6719" w:rsidRDefault="000F6719" w:rsidP="004762C3">
            <w:pPr>
              <w:spacing w:before="24" w:after="24" w:line="240" w:lineRule="auto"/>
              <w:jc w:val="right"/>
              <w:rPr>
                <w:rFonts w:ascii="Times New Roman" w:hAnsi="Times New Roman" w:cs="Times New Roman"/>
              </w:rPr>
            </w:pPr>
          </w:p>
        </w:tc>
        <w:tc>
          <w:tcPr>
            <w:tcW w:w="2232" w:type="dxa"/>
            <w:shd w:val="clear" w:color="auto" w:fill="FFFFFF"/>
          </w:tcPr>
          <w:p w14:paraId="5E2F1E11" w14:textId="77777777" w:rsidR="000F6719" w:rsidRPr="000F6719" w:rsidRDefault="000F6719" w:rsidP="004762C3">
            <w:pPr>
              <w:spacing w:before="24" w:after="24" w:line="240" w:lineRule="auto"/>
              <w:jc w:val="right"/>
              <w:rPr>
                <w:rFonts w:ascii="Times New Roman" w:hAnsi="Times New Roman" w:cs="Times New Roman"/>
              </w:rPr>
            </w:pPr>
          </w:p>
        </w:tc>
      </w:tr>
      <w:tr w:rsidR="000F6719" w:rsidRPr="000F6719" w14:paraId="71B47556" w14:textId="77777777" w:rsidTr="004762C3">
        <w:trPr>
          <w:jc w:val="center"/>
        </w:trPr>
        <w:tc>
          <w:tcPr>
            <w:tcW w:w="4392" w:type="dxa"/>
            <w:shd w:val="clear" w:color="auto" w:fill="FFFFFF"/>
          </w:tcPr>
          <w:p w14:paraId="5B23F6A0"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Stable (reference)</w:t>
            </w:r>
          </w:p>
        </w:tc>
        <w:tc>
          <w:tcPr>
            <w:tcW w:w="2232" w:type="dxa"/>
            <w:shd w:val="clear" w:color="auto" w:fill="FFFFFF"/>
          </w:tcPr>
          <w:p w14:paraId="0DB94D04"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3,281 (80.7)</w:t>
            </w:r>
          </w:p>
        </w:tc>
        <w:tc>
          <w:tcPr>
            <w:tcW w:w="2232" w:type="dxa"/>
            <w:shd w:val="clear" w:color="auto" w:fill="FFFFFF"/>
          </w:tcPr>
          <w:p w14:paraId="18CC53B8"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12,967 (81.8)</w:t>
            </w:r>
          </w:p>
        </w:tc>
      </w:tr>
      <w:tr w:rsidR="000F6719" w:rsidRPr="000F6719" w14:paraId="435DFB04" w14:textId="77777777" w:rsidTr="004762C3">
        <w:trPr>
          <w:jc w:val="center"/>
        </w:trPr>
        <w:tc>
          <w:tcPr>
            <w:tcW w:w="4392" w:type="dxa"/>
            <w:shd w:val="clear" w:color="auto" w:fill="FFFFFF"/>
          </w:tcPr>
          <w:p w14:paraId="330646A0"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Unstable</w:t>
            </w:r>
          </w:p>
        </w:tc>
        <w:tc>
          <w:tcPr>
            <w:tcW w:w="2232" w:type="dxa"/>
            <w:shd w:val="clear" w:color="auto" w:fill="FFFFFF"/>
          </w:tcPr>
          <w:p w14:paraId="12D02EA3"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710 (17.5)</w:t>
            </w:r>
          </w:p>
        </w:tc>
        <w:tc>
          <w:tcPr>
            <w:tcW w:w="2232" w:type="dxa"/>
            <w:shd w:val="clear" w:color="auto" w:fill="FFFFFF"/>
          </w:tcPr>
          <w:p w14:paraId="5799D3C4"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2,684 (16.9)</w:t>
            </w:r>
          </w:p>
        </w:tc>
      </w:tr>
      <w:tr w:rsidR="000F6719" w:rsidRPr="000F6719" w14:paraId="462B8184" w14:textId="77777777" w:rsidTr="004762C3">
        <w:trPr>
          <w:jc w:val="center"/>
        </w:trPr>
        <w:tc>
          <w:tcPr>
            <w:tcW w:w="4392" w:type="dxa"/>
            <w:shd w:val="clear" w:color="auto" w:fill="FFFFFF"/>
          </w:tcPr>
          <w:p w14:paraId="0773A91D"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shd w:val="clear" w:color="auto" w:fill="FFFFFF"/>
          </w:tcPr>
          <w:p w14:paraId="7B2B7D25"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73 (1.8)</w:t>
            </w:r>
          </w:p>
        </w:tc>
        <w:tc>
          <w:tcPr>
            <w:tcW w:w="2232" w:type="dxa"/>
            <w:shd w:val="clear" w:color="auto" w:fill="FFFFFF"/>
          </w:tcPr>
          <w:p w14:paraId="4E6CFCCF"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205 (1.3)</w:t>
            </w:r>
          </w:p>
        </w:tc>
      </w:tr>
      <w:tr w:rsidR="000F6719" w:rsidRPr="000F6719" w14:paraId="7C941A8F" w14:textId="77777777" w:rsidTr="004762C3">
        <w:trPr>
          <w:jc w:val="center"/>
        </w:trPr>
        <w:tc>
          <w:tcPr>
            <w:tcW w:w="4392" w:type="dxa"/>
            <w:shd w:val="clear" w:color="auto" w:fill="FFFFFF"/>
          </w:tcPr>
          <w:p w14:paraId="0E148983" w14:textId="77777777" w:rsidR="000F6719" w:rsidRPr="000F6719" w:rsidRDefault="000F6719"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Disability (any)</w:t>
            </w:r>
          </w:p>
        </w:tc>
        <w:tc>
          <w:tcPr>
            <w:tcW w:w="2232" w:type="dxa"/>
            <w:shd w:val="clear" w:color="auto" w:fill="FFFFFF"/>
          </w:tcPr>
          <w:p w14:paraId="44EC10ED" w14:textId="77777777" w:rsidR="000F6719" w:rsidRPr="000F6719" w:rsidRDefault="000F6719" w:rsidP="004762C3">
            <w:pPr>
              <w:spacing w:before="24" w:after="24" w:line="240" w:lineRule="auto"/>
              <w:jc w:val="right"/>
              <w:rPr>
                <w:rFonts w:ascii="Times New Roman" w:hAnsi="Times New Roman" w:cs="Times New Roman"/>
              </w:rPr>
            </w:pPr>
          </w:p>
        </w:tc>
        <w:tc>
          <w:tcPr>
            <w:tcW w:w="2232" w:type="dxa"/>
            <w:shd w:val="clear" w:color="auto" w:fill="FFFFFF"/>
          </w:tcPr>
          <w:p w14:paraId="2F521FA0" w14:textId="77777777" w:rsidR="000F6719" w:rsidRPr="000F6719" w:rsidRDefault="000F6719" w:rsidP="004762C3">
            <w:pPr>
              <w:spacing w:before="24" w:after="24" w:line="240" w:lineRule="auto"/>
              <w:jc w:val="right"/>
              <w:rPr>
                <w:rFonts w:ascii="Times New Roman" w:hAnsi="Times New Roman" w:cs="Times New Roman"/>
              </w:rPr>
            </w:pPr>
          </w:p>
        </w:tc>
      </w:tr>
      <w:tr w:rsidR="000F6719" w:rsidRPr="000F6719" w14:paraId="2B00D110" w14:textId="77777777" w:rsidTr="004762C3">
        <w:trPr>
          <w:jc w:val="center"/>
        </w:trPr>
        <w:tc>
          <w:tcPr>
            <w:tcW w:w="4392" w:type="dxa"/>
            <w:shd w:val="clear" w:color="auto" w:fill="FFFFFF"/>
          </w:tcPr>
          <w:p w14:paraId="58CBCD32"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Yes</w:t>
            </w:r>
          </w:p>
        </w:tc>
        <w:tc>
          <w:tcPr>
            <w:tcW w:w="2232" w:type="dxa"/>
            <w:shd w:val="clear" w:color="auto" w:fill="FFFFFF"/>
          </w:tcPr>
          <w:p w14:paraId="1D8BCA90"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557 (13.7)</w:t>
            </w:r>
          </w:p>
        </w:tc>
        <w:tc>
          <w:tcPr>
            <w:tcW w:w="2232" w:type="dxa"/>
            <w:shd w:val="clear" w:color="auto" w:fill="FFFFFF"/>
          </w:tcPr>
          <w:p w14:paraId="16E6B029"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2,174 (13.7)</w:t>
            </w:r>
          </w:p>
        </w:tc>
      </w:tr>
      <w:tr w:rsidR="000F6719" w:rsidRPr="000F6719" w14:paraId="30D7B410" w14:textId="77777777" w:rsidTr="004762C3">
        <w:trPr>
          <w:jc w:val="center"/>
        </w:trPr>
        <w:tc>
          <w:tcPr>
            <w:tcW w:w="4392" w:type="dxa"/>
            <w:shd w:val="clear" w:color="auto" w:fill="FFFFFF"/>
          </w:tcPr>
          <w:p w14:paraId="5961272E"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No (reference)</w:t>
            </w:r>
          </w:p>
        </w:tc>
        <w:tc>
          <w:tcPr>
            <w:tcW w:w="2232" w:type="dxa"/>
            <w:shd w:val="clear" w:color="auto" w:fill="FFFFFF"/>
          </w:tcPr>
          <w:p w14:paraId="7F28FDC7"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815 (20.1)</w:t>
            </w:r>
          </w:p>
        </w:tc>
        <w:tc>
          <w:tcPr>
            <w:tcW w:w="2232" w:type="dxa"/>
            <w:shd w:val="clear" w:color="auto" w:fill="FFFFFF"/>
          </w:tcPr>
          <w:p w14:paraId="629CB4FA"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3,349 (21.1)</w:t>
            </w:r>
          </w:p>
        </w:tc>
      </w:tr>
      <w:tr w:rsidR="000F6719" w:rsidRPr="000F6719" w14:paraId="56B810B8" w14:textId="77777777" w:rsidTr="004762C3">
        <w:trPr>
          <w:jc w:val="center"/>
        </w:trPr>
        <w:tc>
          <w:tcPr>
            <w:tcW w:w="4392" w:type="dxa"/>
            <w:shd w:val="clear" w:color="auto" w:fill="FFFFFF"/>
          </w:tcPr>
          <w:p w14:paraId="5E238A19"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lastRenderedPageBreak/>
              <w:t>Missing*</w:t>
            </w:r>
          </w:p>
        </w:tc>
        <w:tc>
          <w:tcPr>
            <w:tcW w:w="2232" w:type="dxa"/>
            <w:shd w:val="clear" w:color="auto" w:fill="FFFFFF"/>
          </w:tcPr>
          <w:p w14:paraId="1475DB71"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2,692 (66.2)</w:t>
            </w:r>
          </w:p>
        </w:tc>
        <w:tc>
          <w:tcPr>
            <w:tcW w:w="2232" w:type="dxa"/>
            <w:shd w:val="clear" w:color="auto" w:fill="FFFFFF"/>
          </w:tcPr>
          <w:p w14:paraId="08704948"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10,333 (65.2)</w:t>
            </w:r>
          </w:p>
        </w:tc>
      </w:tr>
      <w:tr w:rsidR="000F6719" w:rsidRPr="000F6719" w14:paraId="28FEAC33" w14:textId="77777777" w:rsidTr="004762C3">
        <w:trPr>
          <w:jc w:val="center"/>
        </w:trPr>
        <w:tc>
          <w:tcPr>
            <w:tcW w:w="4392" w:type="dxa"/>
            <w:shd w:val="clear" w:color="auto" w:fill="FFFFFF"/>
          </w:tcPr>
          <w:p w14:paraId="6E663A35" w14:textId="77777777" w:rsidR="000F6719" w:rsidRPr="000F6719" w:rsidRDefault="000F6719" w:rsidP="004762C3">
            <w:pPr>
              <w:spacing w:before="24" w:after="24" w:line="240" w:lineRule="auto"/>
              <w:rPr>
                <w:rFonts w:ascii="Times New Roman" w:hAnsi="Times New Roman" w:cs="Times New Roman"/>
              </w:rPr>
            </w:pPr>
            <w:r w:rsidRPr="000F6719">
              <w:rPr>
                <w:rFonts w:ascii="Times New Roman" w:hAnsi="Times New Roman" w:cs="Times New Roman"/>
                <w:b/>
                <w:color w:val="000000"/>
                <w:sz w:val="14"/>
              </w:rPr>
              <w:t>Insurance type</w:t>
            </w:r>
          </w:p>
        </w:tc>
        <w:tc>
          <w:tcPr>
            <w:tcW w:w="2232" w:type="dxa"/>
            <w:shd w:val="clear" w:color="auto" w:fill="FFFFFF"/>
          </w:tcPr>
          <w:p w14:paraId="62D3FB83" w14:textId="77777777" w:rsidR="000F6719" w:rsidRPr="000F6719" w:rsidRDefault="000F6719" w:rsidP="004762C3">
            <w:pPr>
              <w:spacing w:before="24" w:after="24" w:line="240" w:lineRule="auto"/>
              <w:jc w:val="right"/>
              <w:rPr>
                <w:rFonts w:ascii="Times New Roman" w:hAnsi="Times New Roman" w:cs="Times New Roman"/>
              </w:rPr>
            </w:pPr>
          </w:p>
        </w:tc>
        <w:tc>
          <w:tcPr>
            <w:tcW w:w="2232" w:type="dxa"/>
            <w:shd w:val="clear" w:color="auto" w:fill="FFFFFF"/>
          </w:tcPr>
          <w:p w14:paraId="7964BEF5" w14:textId="77777777" w:rsidR="000F6719" w:rsidRPr="000F6719" w:rsidRDefault="000F6719" w:rsidP="004762C3">
            <w:pPr>
              <w:spacing w:before="24" w:after="24" w:line="240" w:lineRule="auto"/>
              <w:jc w:val="right"/>
              <w:rPr>
                <w:rFonts w:ascii="Times New Roman" w:hAnsi="Times New Roman" w:cs="Times New Roman"/>
              </w:rPr>
            </w:pPr>
          </w:p>
        </w:tc>
      </w:tr>
      <w:tr w:rsidR="000F6719" w:rsidRPr="000F6719" w14:paraId="6EEE2135" w14:textId="77777777" w:rsidTr="004762C3">
        <w:trPr>
          <w:jc w:val="center"/>
        </w:trPr>
        <w:tc>
          <w:tcPr>
            <w:tcW w:w="4392" w:type="dxa"/>
            <w:shd w:val="clear" w:color="auto" w:fill="FFFFFF"/>
          </w:tcPr>
          <w:p w14:paraId="4D20E948"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Employer (reference)</w:t>
            </w:r>
          </w:p>
        </w:tc>
        <w:tc>
          <w:tcPr>
            <w:tcW w:w="2232" w:type="dxa"/>
            <w:shd w:val="clear" w:color="auto" w:fill="FFFFFF"/>
          </w:tcPr>
          <w:p w14:paraId="02A25750"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788 (19.4)</w:t>
            </w:r>
          </w:p>
        </w:tc>
        <w:tc>
          <w:tcPr>
            <w:tcW w:w="2232" w:type="dxa"/>
            <w:shd w:val="clear" w:color="auto" w:fill="FFFFFF"/>
          </w:tcPr>
          <w:p w14:paraId="28FC379C"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4,201 (26.5)</w:t>
            </w:r>
          </w:p>
        </w:tc>
      </w:tr>
      <w:tr w:rsidR="000F6719" w:rsidRPr="000F6719" w14:paraId="3275E4E6" w14:textId="77777777" w:rsidTr="004762C3">
        <w:trPr>
          <w:jc w:val="center"/>
        </w:trPr>
        <w:tc>
          <w:tcPr>
            <w:tcW w:w="4392" w:type="dxa"/>
            <w:shd w:val="clear" w:color="auto" w:fill="FFFFFF"/>
          </w:tcPr>
          <w:p w14:paraId="407CCE50"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Medicare</w:t>
            </w:r>
          </w:p>
        </w:tc>
        <w:tc>
          <w:tcPr>
            <w:tcW w:w="2232" w:type="dxa"/>
            <w:shd w:val="clear" w:color="auto" w:fill="FFFFFF"/>
          </w:tcPr>
          <w:p w14:paraId="0F03A7A9"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940 (23.1)</w:t>
            </w:r>
          </w:p>
        </w:tc>
        <w:tc>
          <w:tcPr>
            <w:tcW w:w="2232" w:type="dxa"/>
            <w:shd w:val="clear" w:color="auto" w:fill="FFFFFF"/>
          </w:tcPr>
          <w:p w14:paraId="1A43B4A5"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3,496 (22.0)</w:t>
            </w:r>
          </w:p>
        </w:tc>
      </w:tr>
      <w:tr w:rsidR="000F6719" w:rsidRPr="000F6719" w14:paraId="6003EFDC" w14:textId="77777777" w:rsidTr="004762C3">
        <w:trPr>
          <w:jc w:val="center"/>
        </w:trPr>
        <w:tc>
          <w:tcPr>
            <w:tcW w:w="4392" w:type="dxa"/>
            <w:shd w:val="clear" w:color="auto" w:fill="FFFFFF"/>
          </w:tcPr>
          <w:p w14:paraId="6FDB25EA"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Medicaid</w:t>
            </w:r>
          </w:p>
        </w:tc>
        <w:tc>
          <w:tcPr>
            <w:tcW w:w="2232" w:type="dxa"/>
            <w:shd w:val="clear" w:color="auto" w:fill="FFFFFF"/>
          </w:tcPr>
          <w:p w14:paraId="454A8475"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1,410 (34.7)</w:t>
            </w:r>
          </w:p>
        </w:tc>
        <w:tc>
          <w:tcPr>
            <w:tcW w:w="2232" w:type="dxa"/>
            <w:shd w:val="clear" w:color="auto" w:fill="FFFFFF"/>
          </w:tcPr>
          <w:p w14:paraId="56C85F7C"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4,159 (26.2)</w:t>
            </w:r>
          </w:p>
        </w:tc>
      </w:tr>
      <w:tr w:rsidR="000F6719" w:rsidRPr="000F6719" w14:paraId="5CC8670F" w14:textId="77777777" w:rsidTr="004762C3">
        <w:trPr>
          <w:jc w:val="center"/>
        </w:trPr>
        <w:tc>
          <w:tcPr>
            <w:tcW w:w="4392" w:type="dxa"/>
            <w:shd w:val="clear" w:color="auto" w:fill="FFFFFF"/>
          </w:tcPr>
          <w:p w14:paraId="1215C6A2"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Other or none</w:t>
            </w:r>
          </w:p>
        </w:tc>
        <w:tc>
          <w:tcPr>
            <w:tcW w:w="2232" w:type="dxa"/>
            <w:shd w:val="clear" w:color="auto" w:fill="FFFFFF"/>
          </w:tcPr>
          <w:p w14:paraId="6871E40E"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368 (9.1)</w:t>
            </w:r>
          </w:p>
        </w:tc>
        <w:tc>
          <w:tcPr>
            <w:tcW w:w="2232" w:type="dxa"/>
            <w:shd w:val="clear" w:color="auto" w:fill="FFFFFF"/>
          </w:tcPr>
          <w:p w14:paraId="7446D78E"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1,316 (8.3)</w:t>
            </w:r>
          </w:p>
        </w:tc>
      </w:tr>
      <w:tr w:rsidR="000F6719" w:rsidRPr="000F6719" w14:paraId="27BC2FA5" w14:textId="77777777" w:rsidTr="004762C3">
        <w:trPr>
          <w:jc w:val="center"/>
        </w:trPr>
        <w:tc>
          <w:tcPr>
            <w:tcW w:w="4392" w:type="dxa"/>
            <w:tcBorders>
              <w:bottom w:val="single" w:sz="8" w:space="0" w:color="333333"/>
            </w:tcBorders>
            <w:shd w:val="clear" w:color="auto" w:fill="FFFFFF"/>
          </w:tcPr>
          <w:p w14:paraId="0F2689B0" w14:textId="77777777" w:rsidR="000F6719" w:rsidRPr="000F6719" w:rsidRDefault="000F6719" w:rsidP="004762C3">
            <w:pPr>
              <w:spacing w:before="24" w:after="24" w:line="240" w:lineRule="auto"/>
              <w:ind w:left="180"/>
              <w:rPr>
                <w:rFonts w:ascii="Times New Roman" w:hAnsi="Times New Roman" w:cs="Times New Roman"/>
              </w:rPr>
            </w:pPr>
            <w:r w:rsidRPr="000F6719">
              <w:rPr>
                <w:rFonts w:ascii="Times New Roman" w:hAnsi="Times New Roman" w:cs="Times New Roman"/>
                <w:color w:val="000000"/>
                <w:sz w:val="14"/>
              </w:rPr>
              <w:t>Missing*</w:t>
            </w:r>
          </w:p>
        </w:tc>
        <w:tc>
          <w:tcPr>
            <w:tcW w:w="2232" w:type="dxa"/>
            <w:tcBorders>
              <w:bottom w:val="single" w:sz="8" w:space="0" w:color="333333"/>
            </w:tcBorders>
            <w:shd w:val="clear" w:color="auto" w:fill="FFFFFF"/>
          </w:tcPr>
          <w:p w14:paraId="547CD33E"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558 (13.7)</w:t>
            </w:r>
          </w:p>
        </w:tc>
        <w:tc>
          <w:tcPr>
            <w:tcW w:w="2232" w:type="dxa"/>
            <w:tcBorders>
              <w:bottom w:val="single" w:sz="8" w:space="0" w:color="333333"/>
            </w:tcBorders>
            <w:shd w:val="clear" w:color="auto" w:fill="FFFFFF"/>
          </w:tcPr>
          <w:p w14:paraId="53C0D51A" w14:textId="77777777" w:rsidR="000F6719" w:rsidRPr="000F6719" w:rsidRDefault="000F6719" w:rsidP="004762C3">
            <w:pPr>
              <w:spacing w:before="24" w:after="24" w:line="240" w:lineRule="auto"/>
              <w:jc w:val="right"/>
              <w:rPr>
                <w:rFonts w:ascii="Times New Roman" w:hAnsi="Times New Roman" w:cs="Times New Roman"/>
              </w:rPr>
            </w:pPr>
            <w:r w:rsidRPr="000F6719">
              <w:rPr>
                <w:rFonts w:ascii="Times New Roman" w:hAnsi="Times New Roman" w:cs="Times New Roman"/>
                <w:color w:val="000000"/>
                <w:sz w:val="14"/>
              </w:rPr>
              <w:t>2,684 (16.9)</w:t>
            </w:r>
          </w:p>
        </w:tc>
      </w:tr>
    </w:tbl>
    <w:p w14:paraId="797CA7AD" w14:textId="77777777" w:rsidR="000F6719" w:rsidRPr="000F6719" w:rsidRDefault="000F6719" w:rsidP="000F6719">
      <w:pPr>
        <w:spacing w:line="480" w:lineRule="auto"/>
        <w:rPr>
          <w:rFonts w:ascii="Times New Roman" w:hAnsi="Times New Roman" w:cs="Times New Roman"/>
        </w:rPr>
      </w:pPr>
      <w:r w:rsidRPr="000F6719">
        <w:rPr>
          <w:rFonts w:ascii="Times New Roman" w:hAnsi="Times New Roman" w:cs="Times New Roman"/>
          <w:sz w:val="13"/>
        </w:rPr>
        <w:t>“Missing” denotes a Skip or Prefer-not-to-answer response. Cell counts &lt;20 are suppressed per All of Us data use policy.</w:t>
      </w:r>
    </w:p>
    <w:p w14:paraId="3E3996C7" w14:textId="77777777" w:rsidR="000F6719" w:rsidRPr="000F6719" w:rsidRDefault="000F6719" w:rsidP="000F6719">
      <w:pPr>
        <w:spacing w:line="480" w:lineRule="auto"/>
        <w:rPr>
          <w:rFonts w:ascii="Times New Roman" w:hAnsi="Times New Roman" w:cs="Times New Roman"/>
        </w:rPr>
      </w:pPr>
      <w:r w:rsidRPr="000F6719">
        <w:rPr>
          <w:rFonts w:ascii="Times New Roman" w:hAnsi="Times New Roman" w:cs="Times New Roman"/>
          <w:sz w:val="13"/>
        </w:rPr>
        <w:t xml:space="preserve">*Disability and insurance missingness </w:t>
      </w:r>
      <w:proofErr w:type="gramStart"/>
      <w:r w:rsidRPr="000F6719">
        <w:rPr>
          <w:rFonts w:ascii="Times New Roman" w:hAnsi="Times New Roman" w:cs="Times New Roman"/>
          <w:sz w:val="13"/>
        </w:rPr>
        <w:t>is</w:t>
      </w:r>
      <w:proofErr w:type="gramEnd"/>
      <w:r w:rsidRPr="000F6719">
        <w:rPr>
          <w:rFonts w:ascii="Times New Roman" w:hAnsi="Times New Roman" w:cs="Times New Roman"/>
          <w:sz w:val="13"/>
        </w:rPr>
        <w:t xml:space="preserve"> mainly non-administration: the ACS-6 items were added to The Basics survey on November 10, 2020, and the insurance item after enrollment began.</w:t>
      </w:r>
    </w:p>
    <w:p w14:paraId="425A1E98" w14:textId="77777777" w:rsidR="000F6719" w:rsidRPr="000F6719" w:rsidRDefault="000F6719" w:rsidP="000F6719">
      <w:pPr>
        <w:spacing w:line="480" w:lineRule="auto"/>
        <w:rPr>
          <w:rFonts w:ascii="Times New Roman" w:hAnsi="Times New Roman" w:cs="Times New Roman"/>
        </w:rPr>
      </w:pPr>
      <w:r w:rsidRPr="000F6719">
        <w:rPr>
          <w:rFonts w:ascii="Times New Roman" w:hAnsi="Times New Roman" w:cs="Times New Roman"/>
        </w:rPr>
        <w:br w:type="page"/>
      </w:r>
    </w:p>
    <w:p w14:paraId="70761E32" w14:textId="77777777" w:rsidR="00452027" w:rsidRPr="000F6719" w:rsidRDefault="00452027" w:rsidP="00C06BCF">
      <w:pPr>
        <w:spacing w:before="60" w:line="480" w:lineRule="auto"/>
        <w:rPr>
          <w:rFonts w:ascii="Times New Roman" w:hAnsi="Times New Roman" w:cs="Times New Roman"/>
        </w:rPr>
      </w:pPr>
    </w:p>
    <w:p w14:paraId="038A5DDD" w14:textId="2CE71ABF" w:rsidR="00840028" w:rsidRPr="000F6719" w:rsidRDefault="004D6DF4" w:rsidP="00B96FCD">
      <w:pPr>
        <w:spacing w:after="120"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8F9E994" wp14:editId="03133F47">
            <wp:extent cx="5943600" cy="5926309"/>
            <wp:effectExtent l="0" t="0" r="0" b="0"/>
            <wp:docPr id="52876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61091" name="Picture 5287610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926309"/>
                    </a:xfrm>
                    <a:prstGeom prst="rect">
                      <a:avLst/>
                    </a:prstGeom>
                  </pic:spPr>
                </pic:pic>
              </a:graphicData>
            </a:graphic>
          </wp:inline>
        </w:drawing>
      </w:r>
    </w:p>
    <w:p w14:paraId="730D4F1A"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Social determinants of health</w:t>
      </w:r>
    </w:p>
    <w:p w14:paraId="730D4F1B" w14:textId="31A8EF11" w:rsidR="00841284" w:rsidRPr="000F6719" w:rsidRDefault="00D413D7"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Each domain was first entered alone into the base model (Table 3, Figure 4). Medicaid coverage carried the largest insurance estimate (AOR 1.59, 1.43-1.77) and other or no coverage was also elevated. The income pattern was not monotonic: the three lowest strata were elevated (&lt;$10,000, 1.46, 1.29-1.65) but so was $100,000-149,999 (1.20, 1.03-1.41), which may reflect heterogeneity within the broad $35,000-99,999 reference or residual confounding from unmeasured factors such as occupational exposure. Education below GED (1.35, 1.18-1.53), unemployment (1.41, 1.28-1.56), student status (1.61, 1.24-2.09), non-employment (1.36, 1.22-1.51), and renting (1.28, 1.17-1.39) were all elevated. The "never attended school" estimate (3.35, 1.66-6.78) rests on fewer than 20 participants. Housing instability and disability were not significant.</w:t>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891C33" w:rsidRPr="00891C33">
        <w:rPr>
          <w:rFonts w:ascii="Times New Roman" w:eastAsia="Arial" w:hAnsi="Times New Roman" w:cs="Times New Roman"/>
        </w:rPr>
      </w:r>
      <w:r w:rsidRPr="000F6719">
        <w:rPr>
          <w:rFonts w:ascii="Times New Roman" w:eastAsia="Arial" w:hAnsi="Times New Roman" w:cs="Times New Roman"/>
        </w:rPr>
      </w:r>
      <w:r w:rsidR="004B3FB3" w:rsidRPr="004B3FB3">
        <w:rPr>
          <w:rFonts w:ascii="Times New Roman" w:eastAsia="Arial" w:hAnsi="Times New Roman" w:cs="Times New Roman"/>
        </w:rPr>
      </w:r>
      <w:r w:rsidRPr="000F6719">
        <w:rPr>
          <w:rFonts w:ascii="Times New Roman" w:eastAsia="Arial" w:hAnsi="Times New Roman" w:cs="Times New Roman"/>
        </w:rPr>
      </w:r>
      <w:r w:rsidR="008341B3" w:rsidRPr="008341B3">
        <w:rPr>
          <w:rFonts w:ascii="Times New Roman" w:eastAsia="Arial" w:hAnsi="Times New Roman" w:cs="Times New Roman"/>
        </w:rPr>
      </w:r>
      <w:r w:rsidRPr="000F6719">
        <w:rPr>
          <w:rFonts w:ascii="Times New Roman" w:eastAsia="Arial" w:hAnsi="Times New Roman" w:cs="Times New Roman"/>
        </w:rPr>
      </w:r>
      <w:r w:rsidR="00D01653" w:rsidRPr="00D01653">
        <w:rPr>
          <w:rFonts w:ascii="Times New Roman" w:eastAsia="Arial" w:hAnsi="Times New Roman" w:cs="Times New Roman"/>
        </w:rPr>
      </w:r>
      <w:r w:rsidRPr="000F6719">
        <w:rPr>
          <w:rFonts w:ascii="Times New Roman" w:eastAsia="Arial" w:hAnsi="Times New Roman" w:cs="Times New Roman"/>
        </w:rPr>
      </w:r>
      <w:r w:rsidR="009F24E2" w:rsidRPr="000F6719">
        <w:rPr>
          <w:rFonts w:ascii="Times New Roman" w:eastAsia="Arial" w:hAnsi="Times New Roman" w:cs="Times New Roman"/>
        </w:rPr>
      </w:r>
      <w:r w:rsidRPr="000F6719">
        <w:rPr>
          <w:rFonts w:ascii="Times New Roman" w:eastAsia="Arial" w:hAnsi="Times New Roman" w:cs="Times New Roman"/>
        </w:rPr>
      </w:r>
    </w:p>
    <w:p w14:paraId="56AEB7FD" w14:textId="7E916FA3" w:rsidR="006263F7" w:rsidRPr="000F6719" w:rsidRDefault="003C31BD" w:rsidP="006263F7">
      <w:pPr>
        <w:spacing w:after="120"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C74AAB1" wp14:editId="2E82EF05">
            <wp:extent cx="5943600" cy="5269271"/>
            <wp:effectExtent l="0" t="0" r="0" b="0"/>
            <wp:docPr id="1338152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52551" name="Picture 13381525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269271"/>
                    </a:xfrm>
                    <a:prstGeom prst="rect">
                      <a:avLst/>
                    </a:prstGeom>
                  </pic:spPr>
                </pic:pic>
              </a:graphicData>
            </a:graphic>
          </wp:inline>
        </w:drawing>
      </w:r>
    </w:p>
    <w:p w14:paraId="346C531F" w14:textId="77777777" w:rsidR="00C06AB3" w:rsidRPr="00C06AB3" w:rsidRDefault="00C06AB3" w:rsidP="00C06AB3">
      <w:pPr>
        <w:spacing w:line="480" w:lineRule="auto"/>
        <w:rPr>
          <w:rFonts w:ascii="Times New Roman" w:hAnsi="Times New Roman" w:cs="Times New Roman"/>
        </w:rPr>
      </w:pPr>
      <w:r w:rsidRPr="00C06AB3">
        <w:rPr>
          <w:rFonts w:ascii="Times New Roman" w:hAnsi="Times New Roman" w:cs="Times New Roman"/>
          <w:b/>
          <w:sz w:val="18"/>
        </w:rPr>
        <w:lastRenderedPageBreak/>
        <w:t xml:space="preserve">Table 3. Domain-specific and jointly adjusted associations of survey-derived </w:t>
      </w:r>
      <w:proofErr w:type="spellStart"/>
      <w:r w:rsidRPr="00C06AB3">
        <w:rPr>
          <w:rFonts w:ascii="Times New Roman" w:hAnsi="Times New Roman" w:cs="Times New Roman"/>
          <w:b/>
          <w:sz w:val="18"/>
        </w:rPr>
        <w:t>SDoH</w:t>
      </w:r>
      <w:proofErr w:type="spellEnd"/>
      <w:r w:rsidRPr="00C06AB3">
        <w:rPr>
          <w:rFonts w:ascii="Times New Roman" w:hAnsi="Times New Roman" w:cs="Times New Roman"/>
          <w:b/>
          <w:sz w:val="18"/>
        </w:rPr>
        <w:t xml:space="preserve"> with COVID-19 hospitalization.</w:t>
      </w:r>
    </w:p>
    <w:p w14:paraId="3ABD96D1" w14:textId="77777777" w:rsidR="00C06AB3" w:rsidRPr="00C06AB3" w:rsidRDefault="00C06AB3" w:rsidP="00C06AB3">
      <w:pPr>
        <w:spacing w:line="480" w:lineRule="auto"/>
        <w:rPr>
          <w:rFonts w:ascii="Times New Roman" w:hAnsi="Times New Roman" w:cs="Times New Roman"/>
        </w:rPr>
      </w:pPr>
      <w:r w:rsidRPr="00C06AB3">
        <w:rPr>
          <w:rFonts w:ascii="Times New Roman" w:hAnsi="Times New Roman" w:cs="Times New Roman"/>
          <w:sz w:val="15"/>
        </w:rPr>
        <w:t xml:space="preserve">Values are adjusted odds ratios (95% confidence intervals) from conditional logistic regression within matched strata. The domain-specific model adds one </w:t>
      </w:r>
      <w:proofErr w:type="spellStart"/>
      <w:r w:rsidRPr="00C06AB3">
        <w:rPr>
          <w:rFonts w:ascii="Times New Roman" w:hAnsi="Times New Roman" w:cs="Times New Roman"/>
          <w:sz w:val="15"/>
        </w:rPr>
        <w:t>SDoH</w:t>
      </w:r>
      <w:proofErr w:type="spellEnd"/>
      <w:r w:rsidRPr="00C06AB3">
        <w:rPr>
          <w:rFonts w:ascii="Times New Roman" w:hAnsi="Times New Roman" w:cs="Times New Roman"/>
          <w:sz w:val="15"/>
        </w:rPr>
        <w:t xml:space="preserve"> domain to the base model; the joint model adds all six domains simultaneously. Both adjust for sex, race, ethnicity, age, vaccination, pandemic wave, and 19 Charlson comorbidities.</w:t>
      </w:r>
    </w:p>
    <w:tbl>
      <w:tblPr>
        <w:tblW w:w="0" w:type="auto"/>
        <w:jc w:val="center"/>
        <w:tblLayout w:type="fixed"/>
        <w:tblLook w:val="04A0" w:firstRow="1" w:lastRow="0" w:firstColumn="1" w:lastColumn="0" w:noHBand="0" w:noVBand="1"/>
      </w:tblPr>
      <w:tblGrid>
        <w:gridCol w:w="3528"/>
        <w:gridCol w:w="2664"/>
        <w:gridCol w:w="2664"/>
      </w:tblGrid>
      <w:tr w:rsidR="00C06AB3" w:rsidRPr="00C06AB3" w14:paraId="5B11C0A6" w14:textId="77777777" w:rsidTr="004762C3">
        <w:trPr>
          <w:jc w:val="center"/>
        </w:trPr>
        <w:tc>
          <w:tcPr>
            <w:tcW w:w="3528" w:type="dxa"/>
            <w:tcBorders>
              <w:top w:val="single" w:sz="8" w:space="0" w:color="333333"/>
              <w:bottom w:val="single" w:sz="8" w:space="0" w:color="333333"/>
            </w:tcBorders>
            <w:shd w:val="clear" w:color="auto" w:fill="FFFFFF"/>
          </w:tcPr>
          <w:p w14:paraId="164F9F81" w14:textId="77777777" w:rsidR="00C06AB3" w:rsidRPr="00C06AB3" w:rsidRDefault="00C06AB3" w:rsidP="004762C3">
            <w:pPr>
              <w:spacing w:before="24" w:after="24" w:line="240" w:lineRule="auto"/>
              <w:rPr>
                <w:rFonts w:ascii="Times New Roman" w:hAnsi="Times New Roman" w:cs="Times New Roman"/>
              </w:rPr>
            </w:pPr>
            <w:r w:rsidRPr="00C06AB3">
              <w:rPr>
                <w:rFonts w:ascii="Times New Roman" w:hAnsi="Times New Roman" w:cs="Times New Roman"/>
                <w:b/>
                <w:color w:val="000000"/>
                <w:sz w:val="14"/>
              </w:rPr>
              <w:t>Variable</w:t>
            </w:r>
          </w:p>
        </w:tc>
        <w:tc>
          <w:tcPr>
            <w:tcW w:w="2664" w:type="dxa"/>
            <w:tcBorders>
              <w:top w:val="single" w:sz="8" w:space="0" w:color="333333"/>
              <w:bottom w:val="single" w:sz="8" w:space="0" w:color="333333"/>
            </w:tcBorders>
            <w:shd w:val="clear" w:color="auto" w:fill="FFFFFF"/>
          </w:tcPr>
          <w:p w14:paraId="07A6C799"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b/>
                <w:color w:val="000000"/>
                <w:sz w:val="14"/>
              </w:rPr>
              <w:t>Domain-specific AOR (95% CI)</w:t>
            </w:r>
          </w:p>
        </w:tc>
        <w:tc>
          <w:tcPr>
            <w:tcW w:w="2664" w:type="dxa"/>
            <w:tcBorders>
              <w:top w:val="single" w:sz="8" w:space="0" w:color="333333"/>
              <w:bottom w:val="single" w:sz="8" w:space="0" w:color="333333"/>
            </w:tcBorders>
            <w:shd w:val="clear" w:color="auto" w:fill="FFFFFF"/>
          </w:tcPr>
          <w:p w14:paraId="2443E0BF"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b/>
                <w:color w:val="000000"/>
                <w:sz w:val="14"/>
              </w:rPr>
              <w:t>Joint AOR (95% CI)</w:t>
            </w:r>
          </w:p>
        </w:tc>
      </w:tr>
      <w:tr w:rsidR="00C06AB3" w:rsidRPr="00C06AB3" w14:paraId="5E790C04" w14:textId="77777777" w:rsidTr="004762C3">
        <w:trPr>
          <w:jc w:val="center"/>
        </w:trPr>
        <w:tc>
          <w:tcPr>
            <w:tcW w:w="3528" w:type="dxa"/>
            <w:shd w:val="clear" w:color="auto" w:fill="FFFFFF"/>
          </w:tcPr>
          <w:p w14:paraId="53188229" w14:textId="77777777" w:rsidR="00C06AB3" w:rsidRPr="00C06AB3" w:rsidRDefault="00C06AB3" w:rsidP="004762C3">
            <w:pPr>
              <w:spacing w:before="24" w:after="24" w:line="240" w:lineRule="auto"/>
              <w:rPr>
                <w:rFonts w:ascii="Times New Roman" w:hAnsi="Times New Roman" w:cs="Times New Roman"/>
              </w:rPr>
            </w:pPr>
            <w:r w:rsidRPr="00C06AB3">
              <w:rPr>
                <w:rFonts w:ascii="Times New Roman" w:hAnsi="Times New Roman" w:cs="Times New Roman"/>
                <w:b/>
                <w:color w:val="000000"/>
                <w:sz w:val="14"/>
              </w:rPr>
              <w:t>Income (reference: $35,000–99,999)</w:t>
            </w:r>
          </w:p>
        </w:tc>
        <w:tc>
          <w:tcPr>
            <w:tcW w:w="2664" w:type="dxa"/>
            <w:shd w:val="clear" w:color="auto" w:fill="FFFFFF"/>
          </w:tcPr>
          <w:p w14:paraId="6E464146" w14:textId="77777777" w:rsidR="00C06AB3" w:rsidRPr="00C06AB3" w:rsidRDefault="00C06AB3" w:rsidP="004762C3">
            <w:pPr>
              <w:spacing w:before="24" w:after="24" w:line="240" w:lineRule="auto"/>
              <w:jc w:val="right"/>
              <w:rPr>
                <w:rFonts w:ascii="Times New Roman" w:hAnsi="Times New Roman" w:cs="Times New Roman"/>
              </w:rPr>
            </w:pPr>
          </w:p>
        </w:tc>
        <w:tc>
          <w:tcPr>
            <w:tcW w:w="2664" w:type="dxa"/>
            <w:shd w:val="clear" w:color="auto" w:fill="FFFFFF"/>
          </w:tcPr>
          <w:p w14:paraId="1843073A" w14:textId="77777777" w:rsidR="00C06AB3" w:rsidRPr="00C06AB3" w:rsidRDefault="00C06AB3" w:rsidP="004762C3">
            <w:pPr>
              <w:spacing w:before="24" w:after="24" w:line="240" w:lineRule="auto"/>
              <w:jc w:val="right"/>
              <w:rPr>
                <w:rFonts w:ascii="Times New Roman" w:hAnsi="Times New Roman" w:cs="Times New Roman"/>
              </w:rPr>
            </w:pPr>
          </w:p>
        </w:tc>
      </w:tr>
      <w:tr w:rsidR="00C06AB3" w:rsidRPr="00C06AB3" w14:paraId="17B0E437" w14:textId="77777777" w:rsidTr="004762C3">
        <w:trPr>
          <w:jc w:val="center"/>
        </w:trPr>
        <w:tc>
          <w:tcPr>
            <w:tcW w:w="3528" w:type="dxa"/>
            <w:shd w:val="clear" w:color="auto" w:fill="FFFFFF"/>
          </w:tcPr>
          <w:p w14:paraId="64CEEE63"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&lt;$10,000</w:t>
            </w:r>
          </w:p>
        </w:tc>
        <w:tc>
          <w:tcPr>
            <w:tcW w:w="2664" w:type="dxa"/>
            <w:shd w:val="clear" w:color="auto" w:fill="FFFFFF"/>
          </w:tcPr>
          <w:p w14:paraId="719C2C3F"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1.46*** (1.29–1.65)</w:t>
            </w:r>
          </w:p>
        </w:tc>
        <w:tc>
          <w:tcPr>
            <w:tcW w:w="2664" w:type="dxa"/>
            <w:shd w:val="clear" w:color="auto" w:fill="FFFFFF"/>
          </w:tcPr>
          <w:p w14:paraId="0F5A5664"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1.18* (1.02–1.36)</w:t>
            </w:r>
          </w:p>
        </w:tc>
      </w:tr>
      <w:tr w:rsidR="00C06AB3" w:rsidRPr="00C06AB3" w14:paraId="47CB8684" w14:textId="77777777" w:rsidTr="004762C3">
        <w:trPr>
          <w:jc w:val="center"/>
        </w:trPr>
        <w:tc>
          <w:tcPr>
            <w:tcW w:w="3528" w:type="dxa"/>
            <w:shd w:val="clear" w:color="auto" w:fill="FFFFFF"/>
          </w:tcPr>
          <w:p w14:paraId="782FDA0F"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$10,000–24,999</w:t>
            </w:r>
          </w:p>
        </w:tc>
        <w:tc>
          <w:tcPr>
            <w:tcW w:w="2664" w:type="dxa"/>
            <w:shd w:val="clear" w:color="auto" w:fill="FFFFFF"/>
          </w:tcPr>
          <w:p w14:paraId="5ECD679C"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1.37*** (1.21–1.55)</w:t>
            </w:r>
          </w:p>
        </w:tc>
        <w:tc>
          <w:tcPr>
            <w:tcW w:w="2664" w:type="dxa"/>
            <w:shd w:val="clear" w:color="auto" w:fill="FFFFFF"/>
          </w:tcPr>
          <w:p w14:paraId="090CB6C0"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1.18* (1.04–1.35)</w:t>
            </w:r>
          </w:p>
        </w:tc>
      </w:tr>
      <w:tr w:rsidR="00C06AB3" w:rsidRPr="00C06AB3" w14:paraId="55877FC3" w14:textId="77777777" w:rsidTr="004762C3">
        <w:trPr>
          <w:jc w:val="center"/>
        </w:trPr>
        <w:tc>
          <w:tcPr>
            <w:tcW w:w="3528" w:type="dxa"/>
            <w:shd w:val="clear" w:color="auto" w:fill="FFFFFF"/>
          </w:tcPr>
          <w:p w14:paraId="65F45A94"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$25,000–34,999</w:t>
            </w:r>
          </w:p>
        </w:tc>
        <w:tc>
          <w:tcPr>
            <w:tcW w:w="2664" w:type="dxa"/>
            <w:shd w:val="clear" w:color="auto" w:fill="FFFFFF"/>
          </w:tcPr>
          <w:p w14:paraId="6A43DDCB"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1.19* (1.02–1.38)</w:t>
            </w:r>
          </w:p>
        </w:tc>
        <w:tc>
          <w:tcPr>
            <w:tcW w:w="2664" w:type="dxa"/>
            <w:shd w:val="clear" w:color="auto" w:fill="FFFFFF"/>
          </w:tcPr>
          <w:p w14:paraId="48A0A284"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1.12 (0.96–1.31)</w:t>
            </w:r>
          </w:p>
        </w:tc>
      </w:tr>
      <w:tr w:rsidR="00C06AB3" w:rsidRPr="00C06AB3" w14:paraId="3CEBA2FC" w14:textId="77777777" w:rsidTr="004762C3">
        <w:trPr>
          <w:jc w:val="center"/>
        </w:trPr>
        <w:tc>
          <w:tcPr>
            <w:tcW w:w="3528" w:type="dxa"/>
            <w:shd w:val="clear" w:color="auto" w:fill="FFFFFF"/>
          </w:tcPr>
          <w:p w14:paraId="4A3D4590"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$100,000–149,999</w:t>
            </w:r>
          </w:p>
        </w:tc>
        <w:tc>
          <w:tcPr>
            <w:tcW w:w="2664" w:type="dxa"/>
            <w:shd w:val="clear" w:color="auto" w:fill="FFFFFF"/>
          </w:tcPr>
          <w:p w14:paraId="2BA28A78"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1.20* (1.03–1.41)</w:t>
            </w:r>
          </w:p>
        </w:tc>
        <w:tc>
          <w:tcPr>
            <w:tcW w:w="2664" w:type="dxa"/>
            <w:shd w:val="clear" w:color="auto" w:fill="FFFFFF"/>
          </w:tcPr>
          <w:p w14:paraId="15A6D951"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1.24** (1.06–1.46)</w:t>
            </w:r>
          </w:p>
        </w:tc>
      </w:tr>
      <w:tr w:rsidR="00C06AB3" w:rsidRPr="00C06AB3" w14:paraId="32817A61" w14:textId="77777777" w:rsidTr="004762C3">
        <w:trPr>
          <w:jc w:val="center"/>
        </w:trPr>
        <w:tc>
          <w:tcPr>
            <w:tcW w:w="3528" w:type="dxa"/>
            <w:shd w:val="clear" w:color="auto" w:fill="FFFFFF"/>
          </w:tcPr>
          <w:p w14:paraId="36D87DFB"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$150,000–199,999</w:t>
            </w:r>
          </w:p>
        </w:tc>
        <w:tc>
          <w:tcPr>
            <w:tcW w:w="2664" w:type="dxa"/>
            <w:shd w:val="clear" w:color="auto" w:fill="FFFFFF"/>
          </w:tcPr>
          <w:p w14:paraId="2A65D742"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1.19 (0.96–1.48)</w:t>
            </w:r>
          </w:p>
        </w:tc>
        <w:tc>
          <w:tcPr>
            <w:tcW w:w="2664" w:type="dxa"/>
            <w:shd w:val="clear" w:color="auto" w:fill="FFFFFF"/>
          </w:tcPr>
          <w:p w14:paraId="1FFFC6FC"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1.26* (1.01–1.57)</w:t>
            </w:r>
          </w:p>
        </w:tc>
      </w:tr>
      <w:tr w:rsidR="00C06AB3" w:rsidRPr="00C06AB3" w14:paraId="006CF6C4" w14:textId="77777777" w:rsidTr="004762C3">
        <w:trPr>
          <w:jc w:val="center"/>
        </w:trPr>
        <w:tc>
          <w:tcPr>
            <w:tcW w:w="3528" w:type="dxa"/>
            <w:shd w:val="clear" w:color="auto" w:fill="FFFFFF"/>
          </w:tcPr>
          <w:p w14:paraId="2C40A3FF"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≥$200,000</w:t>
            </w:r>
          </w:p>
        </w:tc>
        <w:tc>
          <w:tcPr>
            <w:tcW w:w="2664" w:type="dxa"/>
            <w:shd w:val="clear" w:color="auto" w:fill="FFFFFF"/>
          </w:tcPr>
          <w:p w14:paraId="46E02F6C"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1.10 (0.90–1.34)</w:t>
            </w:r>
          </w:p>
        </w:tc>
        <w:tc>
          <w:tcPr>
            <w:tcW w:w="2664" w:type="dxa"/>
            <w:shd w:val="clear" w:color="auto" w:fill="FFFFFF"/>
          </w:tcPr>
          <w:p w14:paraId="21882E82"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1.15 (0.93–1.41)</w:t>
            </w:r>
          </w:p>
        </w:tc>
      </w:tr>
      <w:tr w:rsidR="00C06AB3" w:rsidRPr="00C06AB3" w14:paraId="58E4DDA9" w14:textId="77777777" w:rsidTr="004762C3">
        <w:trPr>
          <w:jc w:val="center"/>
        </w:trPr>
        <w:tc>
          <w:tcPr>
            <w:tcW w:w="3528" w:type="dxa"/>
            <w:shd w:val="clear" w:color="auto" w:fill="FFFFFF"/>
          </w:tcPr>
          <w:p w14:paraId="6F435FE4"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Missing</w:t>
            </w:r>
          </w:p>
        </w:tc>
        <w:tc>
          <w:tcPr>
            <w:tcW w:w="2664" w:type="dxa"/>
            <w:shd w:val="clear" w:color="auto" w:fill="FFFFFF"/>
          </w:tcPr>
          <w:p w14:paraId="06C2B1DB"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1.65*** (1.48–1.84)</w:t>
            </w:r>
          </w:p>
        </w:tc>
        <w:tc>
          <w:tcPr>
            <w:tcW w:w="2664" w:type="dxa"/>
            <w:shd w:val="clear" w:color="auto" w:fill="FFFFFF"/>
          </w:tcPr>
          <w:p w14:paraId="762DDF85"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1.46*** (1.29–1.64)</w:t>
            </w:r>
          </w:p>
        </w:tc>
      </w:tr>
      <w:tr w:rsidR="00C06AB3" w:rsidRPr="00C06AB3" w14:paraId="5F0B0E7F" w14:textId="77777777" w:rsidTr="004762C3">
        <w:trPr>
          <w:jc w:val="center"/>
        </w:trPr>
        <w:tc>
          <w:tcPr>
            <w:tcW w:w="3528" w:type="dxa"/>
            <w:shd w:val="clear" w:color="auto" w:fill="FFFFFF"/>
          </w:tcPr>
          <w:p w14:paraId="5F188F42" w14:textId="77777777" w:rsidR="00C06AB3" w:rsidRPr="00C06AB3" w:rsidRDefault="00C06AB3" w:rsidP="004762C3">
            <w:pPr>
              <w:spacing w:before="24" w:after="24" w:line="240" w:lineRule="auto"/>
              <w:rPr>
                <w:rFonts w:ascii="Times New Roman" w:hAnsi="Times New Roman" w:cs="Times New Roman"/>
              </w:rPr>
            </w:pPr>
            <w:r w:rsidRPr="00C06AB3">
              <w:rPr>
                <w:rFonts w:ascii="Times New Roman" w:hAnsi="Times New Roman" w:cs="Times New Roman"/>
                <w:b/>
                <w:color w:val="000000"/>
                <w:sz w:val="14"/>
              </w:rPr>
              <w:t>Insurance (reference: Employer)</w:t>
            </w:r>
          </w:p>
        </w:tc>
        <w:tc>
          <w:tcPr>
            <w:tcW w:w="2664" w:type="dxa"/>
            <w:shd w:val="clear" w:color="auto" w:fill="FFFFFF"/>
          </w:tcPr>
          <w:p w14:paraId="4C3CC246" w14:textId="77777777" w:rsidR="00C06AB3" w:rsidRPr="00C06AB3" w:rsidRDefault="00C06AB3" w:rsidP="004762C3">
            <w:pPr>
              <w:spacing w:before="24" w:after="24" w:line="240" w:lineRule="auto"/>
              <w:jc w:val="right"/>
              <w:rPr>
                <w:rFonts w:ascii="Times New Roman" w:hAnsi="Times New Roman" w:cs="Times New Roman"/>
              </w:rPr>
            </w:pPr>
          </w:p>
        </w:tc>
        <w:tc>
          <w:tcPr>
            <w:tcW w:w="2664" w:type="dxa"/>
            <w:shd w:val="clear" w:color="auto" w:fill="FFFFFF"/>
          </w:tcPr>
          <w:p w14:paraId="51F5D577" w14:textId="77777777" w:rsidR="00C06AB3" w:rsidRPr="00C06AB3" w:rsidRDefault="00C06AB3" w:rsidP="004762C3">
            <w:pPr>
              <w:spacing w:before="24" w:after="24" w:line="240" w:lineRule="auto"/>
              <w:jc w:val="right"/>
              <w:rPr>
                <w:rFonts w:ascii="Times New Roman" w:hAnsi="Times New Roman" w:cs="Times New Roman"/>
              </w:rPr>
            </w:pPr>
          </w:p>
        </w:tc>
      </w:tr>
      <w:tr w:rsidR="00C06AB3" w:rsidRPr="00C06AB3" w14:paraId="5BE200B8" w14:textId="77777777" w:rsidTr="004762C3">
        <w:trPr>
          <w:jc w:val="center"/>
        </w:trPr>
        <w:tc>
          <w:tcPr>
            <w:tcW w:w="3528" w:type="dxa"/>
            <w:shd w:val="clear" w:color="auto" w:fill="FFFFFF"/>
          </w:tcPr>
          <w:p w14:paraId="4637F6ED"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Medicare</w:t>
            </w:r>
          </w:p>
        </w:tc>
        <w:tc>
          <w:tcPr>
            <w:tcW w:w="2664" w:type="dxa"/>
            <w:shd w:val="clear" w:color="auto" w:fill="FFFFFF"/>
          </w:tcPr>
          <w:p w14:paraId="6C08C54D"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1.06 (0.93–1.20)</w:t>
            </w:r>
          </w:p>
        </w:tc>
        <w:tc>
          <w:tcPr>
            <w:tcW w:w="2664" w:type="dxa"/>
            <w:shd w:val="clear" w:color="auto" w:fill="FFFFFF"/>
          </w:tcPr>
          <w:p w14:paraId="278607B2"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0.95 (0.83–1.09)</w:t>
            </w:r>
          </w:p>
        </w:tc>
      </w:tr>
      <w:tr w:rsidR="00C06AB3" w:rsidRPr="00C06AB3" w14:paraId="54D30D5C" w14:textId="77777777" w:rsidTr="004762C3">
        <w:trPr>
          <w:jc w:val="center"/>
        </w:trPr>
        <w:tc>
          <w:tcPr>
            <w:tcW w:w="3528" w:type="dxa"/>
            <w:shd w:val="clear" w:color="auto" w:fill="FFFFFF"/>
          </w:tcPr>
          <w:p w14:paraId="08427082"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Medicaid</w:t>
            </w:r>
          </w:p>
        </w:tc>
        <w:tc>
          <w:tcPr>
            <w:tcW w:w="2664" w:type="dxa"/>
            <w:shd w:val="clear" w:color="auto" w:fill="FFFFFF"/>
          </w:tcPr>
          <w:p w14:paraId="77E2E0A6"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1.59*** (1.43–1.77)</w:t>
            </w:r>
          </w:p>
        </w:tc>
        <w:tc>
          <w:tcPr>
            <w:tcW w:w="2664" w:type="dxa"/>
            <w:shd w:val="clear" w:color="auto" w:fill="FFFFFF"/>
          </w:tcPr>
          <w:p w14:paraId="55D12DB3"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1.33*** (1.16–1.51)</w:t>
            </w:r>
          </w:p>
        </w:tc>
      </w:tr>
      <w:tr w:rsidR="00C06AB3" w:rsidRPr="00C06AB3" w14:paraId="598C8BD7" w14:textId="77777777" w:rsidTr="004762C3">
        <w:trPr>
          <w:jc w:val="center"/>
        </w:trPr>
        <w:tc>
          <w:tcPr>
            <w:tcW w:w="3528" w:type="dxa"/>
            <w:shd w:val="clear" w:color="auto" w:fill="FFFFFF"/>
          </w:tcPr>
          <w:p w14:paraId="3FB45A63"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Other or none</w:t>
            </w:r>
          </w:p>
        </w:tc>
        <w:tc>
          <w:tcPr>
            <w:tcW w:w="2664" w:type="dxa"/>
            <w:shd w:val="clear" w:color="auto" w:fill="FFFFFF"/>
          </w:tcPr>
          <w:p w14:paraId="04FC6B40"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1.31*** (1.13–1.52)</w:t>
            </w:r>
          </w:p>
        </w:tc>
        <w:tc>
          <w:tcPr>
            <w:tcW w:w="2664" w:type="dxa"/>
            <w:shd w:val="clear" w:color="auto" w:fill="FFFFFF"/>
          </w:tcPr>
          <w:p w14:paraId="62AB1D36"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1.15 (0.98–1.35)</w:t>
            </w:r>
          </w:p>
        </w:tc>
      </w:tr>
      <w:tr w:rsidR="00C06AB3" w:rsidRPr="00C06AB3" w14:paraId="442F68C5" w14:textId="77777777" w:rsidTr="004762C3">
        <w:trPr>
          <w:jc w:val="center"/>
        </w:trPr>
        <w:tc>
          <w:tcPr>
            <w:tcW w:w="3528" w:type="dxa"/>
            <w:shd w:val="clear" w:color="auto" w:fill="FFFFFF"/>
          </w:tcPr>
          <w:p w14:paraId="7FDD8E2B" w14:textId="77777777" w:rsidR="00C06AB3" w:rsidRPr="00C06AB3" w:rsidRDefault="00C06AB3" w:rsidP="004762C3">
            <w:pPr>
              <w:spacing w:before="24" w:after="24" w:line="240" w:lineRule="auto"/>
              <w:rPr>
                <w:rFonts w:ascii="Times New Roman" w:hAnsi="Times New Roman" w:cs="Times New Roman"/>
              </w:rPr>
            </w:pPr>
            <w:r w:rsidRPr="00C06AB3">
              <w:rPr>
                <w:rFonts w:ascii="Times New Roman" w:hAnsi="Times New Roman" w:cs="Times New Roman"/>
                <w:b/>
                <w:color w:val="000000"/>
                <w:sz w:val="14"/>
              </w:rPr>
              <w:t>Education (reference: College graduate or higher)</w:t>
            </w:r>
          </w:p>
        </w:tc>
        <w:tc>
          <w:tcPr>
            <w:tcW w:w="2664" w:type="dxa"/>
            <w:shd w:val="clear" w:color="auto" w:fill="FFFFFF"/>
          </w:tcPr>
          <w:p w14:paraId="71A40A5E" w14:textId="77777777" w:rsidR="00C06AB3" w:rsidRPr="00C06AB3" w:rsidRDefault="00C06AB3" w:rsidP="004762C3">
            <w:pPr>
              <w:spacing w:before="24" w:after="24" w:line="240" w:lineRule="auto"/>
              <w:jc w:val="right"/>
              <w:rPr>
                <w:rFonts w:ascii="Times New Roman" w:hAnsi="Times New Roman" w:cs="Times New Roman"/>
              </w:rPr>
            </w:pPr>
          </w:p>
        </w:tc>
        <w:tc>
          <w:tcPr>
            <w:tcW w:w="2664" w:type="dxa"/>
            <w:shd w:val="clear" w:color="auto" w:fill="FFFFFF"/>
          </w:tcPr>
          <w:p w14:paraId="3D2EB701" w14:textId="77777777" w:rsidR="00C06AB3" w:rsidRPr="00C06AB3" w:rsidRDefault="00C06AB3" w:rsidP="004762C3">
            <w:pPr>
              <w:spacing w:before="24" w:after="24" w:line="240" w:lineRule="auto"/>
              <w:jc w:val="right"/>
              <w:rPr>
                <w:rFonts w:ascii="Times New Roman" w:hAnsi="Times New Roman" w:cs="Times New Roman"/>
              </w:rPr>
            </w:pPr>
          </w:p>
        </w:tc>
      </w:tr>
      <w:tr w:rsidR="00C06AB3" w:rsidRPr="00C06AB3" w14:paraId="679ADB60" w14:textId="77777777" w:rsidTr="004762C3">
        <w:trPr>
          <w:jc w:val="center"/>
        </w:trPr>
        <w:tc>
          <w:tcPr>
            <w:tcW w:w="3528" w:type="dxa"/>
            <w:shd w:val="clear" w:color="auto" w:fill="FFFFFF"/>
          </w:tcPr>
          <w:p w14:paraId="69D32B60"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Never attended school</w:t>
            </w:r>
          </w:p>
        </w:tc>
        <w:tc>
          <w:tcPr>
            <w:tcW w:w="2664" w:type="dxa"/>
            <w:shd w:val="clear" w:color="auto" w:fill="FFFFFF"/>
          </w:tcPr>
          <w:p w14:paraId="6533EB99"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3.35*** (1.66–6.78)</w:t>
            </w:r>
          </w:p>
        </w:tc>
        <w:tc>
          <w:tcPr>
            <w:tcW w:w="2664" w:type="dxa"/>
            <w:shd w:val="clear" w:color="auto" w:fill="FFFFFF"/>
          </w:tcPr>
          <w:p w14:paraId="13E231BD"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2.85** (1.40–5.82)</w:t>
            </w:r>
          </w:p>
        </w:tc>
      </w:tr>
      <w:tr w:rsidR="00C06AB3" w:rsidRPr="00C06AB3" w14:paraId="17AA4DDD" w14:textId="77777777" w:rsidTr="004762C3">
        <w:trPr>
          <w:jc w:val="center"/>
        </w:trPr>
        <w:tc>
          <w:tcPr>
            <w:tcW w:w="3528" w:type="dxa"/>
            <w:shd w:val="clear" w:color="auto" w:fill="FFFFFF"/>
          </w:tcPr>
          <w:p w14:paraId="3ADEE929"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Below GED</w:t>
            </w:r>
          </w:p>
        </w:tc>
        <w:tc>
          <w:tcPr>
            <w:tcW w:w="2664" w:type="dxa"/>
            <w:shd w:val="clear" w:color="auto" w:fill="FFFFFF"/>
          </w:tcPr>
          <w:p w14:paraId="14A3AA55"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1.35*** (1.18–1.53)</w:t>
            </w:r>
          </w:p>
        </w:tc>
        <w:tc>
          <w:tcPr>
            <w:tcW w:w="2664" w:type="dxa"/>
            <w:shd w:val="clear" w:color="auto" w:fill="FFFFFF"/>
          </w:tcPr>
          <w:p w14:paraId="65CA2996"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1.13 (0.98–1.30)</w:t>
            </w:r>
          </w:p>
        </w:tc>
      </w:tr>
      <w:tr w:rsidR="00C06AB3" w:rsidRPr="00C06AB3" w14:paraId="54A7B311" w14:textId="77777777" w:rsidTr="004762C3">
        <w:trPr>
          <w:jc w:val="center"/>
        </w:trPr>
        <w:tc>
          <w:tcPr>
            <w:tcW w:w="3528" w:type="dxa"/>
            <w:shd w:val="clear" w:color="auto" w:fill="FFFFFF"/>
          </w:tcPr>
          <w:p w14:paraId="7B79E01D"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GED or some college</w:t>
            </w:r>
          </w:p>
        </w:tc>
        <w:tc>
          <w:tcPr>
            <w:tcW w:w="2664" w:type="dxa"/>
            <w:shd w:val="clear" w:color="auto" w:fill="FFFFFF"/>
          </w:tcPr>
          <w:p w14:paraId="0D97A7A8"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1.11* (1.02–1.21)</w:t>
            </w:r>
          </w:p>
        </w:tc>
        <w:tc>
          <w:tcPr>
            <w:tcW w:w="2664" w:type="dxa"/>
            <w:shd w:val="clear" w:color="auto" w:fill="FFFFFF"/>
          </w:tcPr>
          <w:p w14:paraId="0E0799E6"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1.02 (0.93–1.12)</w:t>
            </w:r>
          </w:p>
        </w:tc>
      </w:tr>
      <w:tr w:rsidR="00C06AB3" w:rsidRPr="00C06AB3" w14:paraId="05D9C266" w14:textId="77777777" w:rsidTr="004762C3">
        <w:trPr>
          <w:jc w:val="center"/>
        </w:trPr>
        <w:tc>
          <w:tcPr>
            <w:tcW w:w="3528" w:type="dxa"/>
            <w:shd w:val="clear" w:color="auto" w:fill="FFFFFF"/>
          </w:tcPr>
          <w:p w14:paraId="408D7AF4" w14:textId="77777777" w:rsidR="00C06AB3" w:rsidRPr="00C06AB3" w:rsidRDefault="00C06AB3" w:rsidP="004762C3">
            <w:pPr>
              <w:spacing w:before="24" w:after="24" w:line="240" w:lineRule="auto"/>
              <w:rPr>
                <w:rFonts w:ascii="Times New Roman" w:hAnsi="Times New Roman" w:cs="Times New Roman"/>
              </w:rPr>
            </w:pPr>
            <w:r w:rsidRPr="00C06AB3">
              <w:rPr>
                <w:rFonts w:ascii="Times New Roman" w:hAnsi="Times New Roman" w:cs="Times New Roman"/>
                <w:b/>
                <w:color w:val="000000"/>
                <w:sz w:val="14"/>
              </w:rPr>
              <w:t>Employment (reference: Employed)</w:t>
            </w:r>
          </w:p>
        </w:tc>
        <w:tc>
          <w:tcPr>
            <w:tcW w:w="2664" w:type="dxa"/>
            <w:shd w:val="clear" w:color="auto" w:fill="FFFFFF"/>
          </w:tcPr>
          <w:p w14:paraId="0EB2AC13" w14:textId="77777777" w:rsidR="00C06AB3" w:rsidRPr="00C06AB3" w:rsidRDefault="00C06AB3" w:rsidP="004762C3">
            <w:pPr>
              <w:spacing w:before="24" w:after="24" w:line="240" w:lineRule="auto"/>
              <w:jc w:val="right"/>
              <w:rPr>
                <w:rFonts w:ascii="Times New Roman" w:hAnsi="Times New Roman" w:cs="Times New Roman"/>
              </w:rPr>
            </w:pPr>
          </w:p>
        </w:tc>
        <w:tc>
          <w:tcPr>
            <w:tcW w:w="2664" w:type="dxa"/>
            <w:shd w:val="clear" w:color="auto" w:fill="FFFFFF"/>
          </w:tcPr>
          <w:p w14:paraId="778008AD" w14:textId="77777777" w:rsidR="00C06AB3" w:rsidRPr="00C06AB3" w:rsidRDefault="00C06AB3" w:rsidP="004762C3">
            <w:pPr>
              <w:spacing w:before="24" w:after="24" w:line="240" w:lineRule="auto"/>
              <w:jc w:val="right"/>
              <w:rPr>
                <w:rFonts w:ascii="Times New Roman" w:hAnsi="Times New Roman" w:cs="Times New Roman"/>
              </w:rPr>
            </w:pPr>
          </w:p>
        </w:tc>
      </w:tr>
      <w:tr w:rsidR="00C06AB3" w:rsidRPr="00C06AB3" w14:paraId="7991FE6E" w14:textId="77777777" w:rsidTr="004762C3">
        <w:trPr>
          <w:jc w:val="center"/>
        </w:trPr>
        <w:tc>
          <w:tcPr>
            <w:tcW w:w="3528" w:type="dxa"/>
            <w:shd w:val="clear" w:color="auto" w:fill="FFFFFF"/>
          </w:tcPr>
          <w:p w14:paraId="0E03659A"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Unemployed</w:t>
            </w:r>
          </w:p>
        </w:tc>
        <w:tc>
          <w:tcPr>
            <w:tcW w:w="2664" w:type="dxa"/>
            <w:shd w:val="clear" w:color="auto" w:fill="FFFFFF"/>
          </w:tcPr>
          <w:p w14:paraId="335D6E4F"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1.41*** (1.28–1.56)</w:t>
            </w:r>
          </w:p>
        </w:tc>
        <w:tc>
          <w:tcPr>
            <w:tcW w:w="2664" w:type="dxa"/>
            <w:shd w:val="clear" w:color="auto" w:fill="FFFFFF"/>
          </w:tcPr>
          <w:p w14:paraId="225D8A5E"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1.23*** (1.09–1.38)</w:t>
            </w:r>
          </w:p>
        </w:tc>
      </w:tr>
      <w:tr w:rsidR="00C06AB3" w:rsidRPr="00C06AB3" w14:paraId="483F7FB4" w14:textId="77777777" w:rsidTr="004762C3">
        <w:trPr>
          <w:jc w:val="center"/>
        </w:trPr>
        <w:tc>
          <w:tcPr>
            <w:tcW w:w="3528" w:type="dxa"/>
            <w:shd w:val="clear" w:color="auto" w:fill="FFFFFF"/>
          </w:tcPr>
          <w:p w14:paraId="70DAAA55"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Student</w:t>
            </w:r>
          </w:p>
        </w:tc>
        <w:tc>
          <w:tcPr>
            <w:tcW w:w="2664" w:type="dxa"/>
            <w:shd w:val="clear" w:color="auto" w:fill="FFFFFF"/>
          </w:tcPr>
          <w:p w14:paraId="0FC58022"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1.61*** (1.24–2.09)</w:t>
            </w:r>
          </w:p>
        </w:tc>
        <w:tc>
          <w:tcPr>
            <w:tcW w:w="2664" w:type="dxa"/>
            <w:shd w:val="clear" w:color="auto" w:fill="FFFFFF"/>
          </w:tcPr>
          <w:p w14:paraId="26D15891"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1.52** (1.16–1.98)</w:t>
            </w:r>
          </w:p>
        </w:tc>
      </w:tr>
      <w:tr w:rsidR="00C06AB3" w:rsidRPr="00C06AB3" w14:paraId="72CF465D" w14:textId="77777777" w:rsidTr="004762C3">
        <w:trPr>
          <w:jc w:val="center"/>
        </w:trPr>
        <w:tc>
          <w:tcPr>
            <w:tcW w:w="3528" w:type="dxa"/>
            <w:shd w:val="clear" w:color="auto" w:fill="FFFFFF"/>
          </w:tcPr>
          <w:p w14:paraId="4712EBBD"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Retired or other</w:t>
            </w:r>
          </w:p>
        </w:tc>
        <w:tc>
          <w:tcPr>
            <w:tcW w:w="2664" w:type="dxa"/>
            <w:shd w:val="clear" w:color="auto" w:fill="FFFFFF"/>
          </w:tcPr>
          <w:p w14:paraId="3BEA9936"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1.36*** (1.22–1.51)</w:t>
            </w:r>
          </w:p>
        </w:tc>
        <w:tc>
          <w:tcPr>
            <w:tcW w:w="2664" w:type="dxa"/>
            <w:shd w:val="clear" w:color="auto" w:fill="FFFFFF"/>
          </w:tcPr>
          <w:p w14:paraId="32048782"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1.26*** (1.12–1.42)</w:t>
            </w:r>
          </w:p>
        </w:tc>
      </w:tr>
      <w:tr w:rsidR="00C06AB3" w:rsidRPr="00C06AB3" w14:paraId="7AAE6DE6" w14:textId="77777777" w:rsidTr="004762C3">
        <w:trPr>
          <w:jc w:val="center"/>
        </w:trPr>
        <w:tc>
          <w:tcPr>
            <w:tcW w:w="3528" w:type="dxa"/>
            <w:shd w:val="clear" w:color="auto" w:fill="FFFFFF"/>
          </w:tcPr>
          <w:p w14:paraId="14CB4A36" w14:textId="77777777" w:rsidR="00C06AB3" w:rsidRPr="00C06AB3" w:rsidRDefault="00C06AB3" w:rsidP="004762C3">
            <w:pPr>
              <w:spacing w:before="24" w:after="24" w:line="240" w:lineRule="auto"/>
              <w:rPr>
                <w:rFonts w:ascii="Times New Roman" w:hAnsi="Times New Roman" w:cs="Times New Roman"/>
              </w:rPr>
            </w:pPr>
            <w:r w:rsidRPr="00C06AB3">
              <w:rPr>
                <w:rFonts w:ascii="Times New Roman" w:hAnsi="Times New Roman" w:cs="Times New Roman"/>
                <w:b/>
                <w:color w:val="000000"/>
                <w:sz w:val="14"/>
              </w:rPr>
              <w:t>Housing tenure (reference: Own home)</w:t>
            </w:r>
          </w:p>
        </w:tc>
        <w:tc>
          <w:tcPr>
            <w:tcW w:w="2664" w:type="dxa"/>
            <w:shd w:val="clear" w:color="auto" w:fill="FFFFFF"/>
          </w:tcPr>
          <w:p w14:paraId="55EAA6CC" w14:textId="77777777" w:rsidR="00C06AB3" w:rsidRPr="00C06AB3" w:rsidRDefault="00C06AB3" w:rsidP="004762C3">
            <w:pPr>
              <w:spacing w:before="24" w:after="24" w:line="240" w:lineRule="auto"/>
              <w:jc w:val="right"/>
              <w:rPr>
                <w:rFonts w:ascii="Times New Roman" w:hAnsi="Times New Roman" w:cs="Times New Roman"/>
              </w:rPr>
            </w:pPr>
          </w:p>
        </w:tc>
        <w:tc>
          <w:tcPr>
            <w:tcW w:w="2664" w:type="dxa"/>
            <w:shd w:val="clear" w:color="auto" w:fill="FFFFFF"/>
          </w:tcPr>
          <w:p w14:paraId="260DCE42" w14:textId="77777777" w:rsidR="00C06AB3" w:rsidRPr="00C06AB3" w:rsidRDefault="00C06AB3" w:rsidP="004762C3">
            <w:pPr>
              <w:spacing w:before="24" w:after="24" w:line="240" w:lineRule="auto"/>
              <w:jc w:val="right"/>
              <w:rPr>
                <w:rFonts w:ascii="Times New Roman" w:hAnsi="Times New Roman" w:cs="Times New Roman"/>
              </w:rPr>
            </w:pPr>
          </w:p>
        </w:tc>
      </w:tr>
      <w:tr w:rsidR="00C06AB3" w:rsidRPr="00C06AB3" w14:paraId="670A629D" w14:textId="77777777" w:rsidTr="004762C3">
        <w:trPr>
          <w:jc w:val="center"/>
        </w:trPr>
        <w:tc>
          <w:tcPr>
            <w:tcW w:w="3528" w:type="dxa"/>
            <w:shd w:val="clear" w:color="auto" w:fill="FFFFFF"/>
          </w:tcPr>
          <w:p w14:paraId="10BB0C0A"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Rent</w:t>
            </w:r>
          </w:p>
        </w:tc>
        <w:tc>
          <w:tcPr>
            <w:tcW w:w="2664" w:type="dxa"/>
            <w:shd w:val="clear" w:color="auto" w:fill="FFFFFF"/>
          </w:tcPr>
          <w:p w14:paraId="72C99C4B"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1.28*** (1.17–1.39)</w:t>
            </w:r>
          </w:p>
        </w:tc>
        <w:tc>
          <w:tcPr>
            <w:tcW w:w="2664" w:type="dxa"/>
            <w:shd w:val="clear" w:color="auto" w:fill="FFFFFF"/>
          </w:tcPr>
          <w:p w14:paraId="3B7DE015"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1.13* (1.03–1.25)</w:t>
            </w:r>
          </w:p>
        </w:tc>
      </w:tr>
      <w:tr w:rsidR="00C06AB3" w:rsidRPr="00C06AB3" w14:paraId="6D98DD29" w14:textId="77777777" w:rsidTr="004762C3">
        <w:trPr>
          <w:jc w:val="center"/>
        </w:trPr>
        <w:tc>
          <w:tcPr>
            <w:tcW w:w="3528" w:type="dxa"/>
            <w:shd w:val="clear" w:color="auto" w:fill="FFFFFF"/>
          </w:tcPr>
          <w:p w14:paraId="14760AD6"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Other</w:t>
            </w:r>
          </w:p>
        </w:tc>
        <w:tc>
          <w:tcPr>
            <w:tcW w:w="2664" w:type="dxa"/>
            <w:shd w:val="clear" w:color="auto" w:fill="FFFFFF"/>
          </w:tcPr>
          <w:p w14:paraId="0F8A7981"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0.99 (0.86–1.13)</w:t>
            </w:r>
          </w:p>
        </w:tc>
        <w:tc>
          <w:tcPr>
            <w:tcW w:w="2664" w:type="dxa"/>
            <w:shd w:val="clear" w:color="auto" w:fill="FFFFFF"/>
          </w:tcPr>
          <w:p w14:paraId="4E640176"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0.86* (0.74–1.00)</w:t>
            </w:r>
          </w:p>
        </w:tc>
      </w:tr>
      <w:tr w:rsidR="00C06AB3" w:rsidRPr="00C06AB3" w14:paraId="3413C267" w14:textId="77777777" w:rsidTr="004762C3">
        <w:trPr>
          <w:jc w:val="center"/>
        </w:trPr>
        <w:tc>
          <w:tcPr>
            <w:tcW w:w="3528" w:type="dxa"/>
            <w:shd w:val="clear" w:color="auto" w:fill="FFFFFF"/>
          </w:tcPr>
          <w:p w14:paraId="1C69712C" w14:textId="77777777" w:rsidR="00C06AB3" w:rsidRPr="00C06AB3" w:rsidRDefault="00C06AB3" w:rsidP="004762C3">
            <w:pPr>
              <w:spacing w:before="24" w:after="24" w:line="240" w:lineRule="auto"/>
              <w:rPr>
                <w:rFonts w:ascii="Times New Roman" w:hAnsi="Times New Roman" w:cs="Times New Roman"/>
              </w:rPr>
            </w:pPr>
            <w:r w:rsidRPr="00C06AB3">
              <w:rPr>
                <w:rFonts w:ascii="Times New Roman" w:hAnsi="Times New Roman" w:cs="Times New Roman"/>
                <w:b/>
                <w:color w:val="000000"/>
                <w:sz w:val="14"/>
              </w:rPr>
              <w:t>Housing stability (reference: Stable)</w:t>
            </w:r>
          </w:p>
        </w:tc>
        <w:tc>
          <w:tcPr>
            <w:tcW w:w="2664" w:type="dxa"/>
            <w:shd w:val="clear" w:color="auto" w:fill="FFFFFF"/>
          </w:tcPr>
          <w:p w14:paraId="14276174" w14:textId="77777777" w:rsidR="00C06AB3" w:rsidRPr="00C06AB3" w:rsidRDefault="00C06AB3" w:rsidP="004762C3">
            <w:pPr>
              <w:spacing w:before="24" w:after="24" w:line="240" w:lineRule="auto"/>
              <w:jc w:val="right"/>
              <w:rPr>
                <w:rFonts w:ascii="Times New Roman" w:hAnsi="Times New Roman" w:cs="Times New Roman"/>
              </w:rPr>
            </w:pPr>
          </w:p>
        </w:tc>
        <w:tc>
          <w:tcPr>
            <w:tcW w:w="2664" w:type="dxa"/>
            <w:shd w:val="clear" w:color="auto" w:fill="FFFFFF"/>
          </w:tcPr>
          <w:p w14:paraId="45D26905" w14:textId="77777777" w:rsidR="00C06AB3" w:rsidRPr="00C06AB3" w:rsidRDefault="00C06AB3" w:rsidP="004762C3">
            <w:pPr>
              <w:spacing w:before="24" w:after="24" w:line="240" w:lineRule="auto"/>
              <w:jc w:val="right"/>
              <w:rPr>
                <w:rFonts w:ascii="Times New Roman" w:hAnsi="Times New Roman" w:cs="Times New Roman"/>
              </w:rPr>
            </w:pPr>
          </w:p>
        </w:tc>
      </w:tr>
      <w:tr w:rsidR="00C06AB3" w:rsidRPr="00C06AB3" w14:paraId="4A957E2D" w14:textId="77777777" w:rsidTr="004762C3">
        <w:trPr>
          <w:jc w:val="center"/>
        </w:trPr>
        <w:tc>
          <w:tcPr>
            <w:tcW w:w="3528" w:type="dxa"/>
            <w:shd w:val="clear" w:color="auto" w:fill="FFFFFF"/>
          </w:tcPr>
          <w:p w14:paraId="7515BE3C"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Unstable</w:t>
            </w:r>
          </w:p>
        </w:tc>
        <w:tc>
          <w:tcPr>
            <w:tcW w:w="2664" w:type="dxa"/>
            <w:shd w:val="clear" w:color="auto" w:fill="FFFFFF"/>
          </w:tcPr>
          <w:p w14:paraId="5E2FF550"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1.01 (0.92–1.11)</w:t>
            </w:r>
          </w:p>
        </w:tc>
        <w:tc>
          <w:tcPr>
            <w:tcW w:w="2664" w:type="dxa"/>
            <w:shd w:val="clear" w:color="auto" w:fill="FFFFFF"/>
          </w:tcPr>
          <w:p w14:paraId="70E2DF18"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0.94 (0.85–1.04)</w:t>
            </w:r>
          </w:p>
        </w:tc>
      </w:tr>
      <w:tr w:rsidR="00C06AB3" w:rsidRPr="00C06AB3" w14:paraId="024690E2" w14:textId="77777777" w:rsidTr="004762C3">
        <w:trPr>
          <w:jc w:val="center"/>
        </w:trPr>
        <w:tc>
          <w:tcPr>
            <w:tcW w:w="3528" w:type="dxa"/>
            <w:shd w:val="clear" w:color="auto" w:fill="FFFFFF"/>
          </w:tcPr>
          <w:p w14:paraId="641651BF" w14:textId="77777777" w:rsidR="00C06AB3" w:rsidRPr="00C06AB3" w:rsidRDefault="00C06AB3" w:rsidP="004762C3">
            <w:pPr>
              <w:spacing w:before="24" w:after="24" w:line="240" w:lineRule="auto"/>
              <w:rPr>
                <w:rFonts w:ascii="Times New Roman" w:hAnsi="Times New Roman" w:cs="Times New Roman"/>
              </w:rPr>
            </w:pPr>
            <w:r w:rsidRPr="00C06AB3">
              <w:rPr>
                <w:rFonts w:ascii="Times New Roman" w:hAnsi="Times New Roman" w:cs="Times New Roman"/>
                <w:b/>
                <w:color w:val="000000"/>
                <w:sz w:val="14"/>
              </w:rPr>
              <w:t>Disability (reference: No)</w:t>
            </w:r>
          </w:p>
        </w:tc>
        <w:tc>
          <w:tcPr>
            <w:tcW w:w="2664" w:type="dxa"/>
            <w:shd w:val="clear" w:color="auto" w:fill="FFFFFF"/>
          </w:tcPr>
          <w:p w14:paraId="474AFE94" w14:textId="77777777" w:rsidR="00C06AB3" w:rsidRPr="00C06AB3" w:rsidRDefault="00C06AB3" w:rsidP="004762C3">
            <w:pPr>
              <w:spacing w:before="24" w:after="24" w:line="240" w:lineRule="auto"/>
              <w:jc w:val="right"/>
              <w:rPr>
                <w:rFonts w:ascii="Times New Roman" w:hAnsi="Times New Roman" w:cs="Times New Roman"/>
              </w:rPr>
            </w:pPr>
          </w:p>
        </w:tc>
        <w:tc>
          <w:tcPr>
            <w:tcW w:w="2664" w:type="dxa"/>
            <w:shd w:val="clear" w:color="auto" w:fill="FFFFFF"/>
          </w:tcPr>
          <w:p w14:paraId="231546B7" w14:textId="77777777" w:rsidR="00C06AB3" w:rsidRPr="00C06AB3" w:rsidRDefault="00C06AB3" w:rsidP="004762C3">
            <w:pPr>
              <w:spacing w:before="24" w:after="24" w:line="240" w:lineRule="auto"/>
              <w:jc w:val="right"/>
              <w:rPr>
                <w:rFonts w:ascii="Times New Roman" w:hAnsi="Times New Roman" w:cs="Times New Roman"/>
              </w:rPr>
            </w:pPr>
          </w:p>
        </w:tc>
      </w:tr>
      <w:tr w:rsidR="00C06AB3" w:rsidRPr="00C06AB3" w14:paraId="161F0E68" w14:textId="77777777" w:rsidTr="004762C3">
        <w:trPr>
          <w:jc w:val="center"/>
        </w:trPr>
        <w:tc>
          <w:tcPr>
            <w:tcW w:w="3528" w:type="dxa"/>
            <w:tcBorders>
              <w:bottom w:val="single" w:sz="8" w:space="0" w:color="333333"/>
            </w:tcBorders>
            <w:shd w:val="clear" w:color="auto" w:fill="FFFFFF"/>
          </w:tcPr>
          <w:p w14:paraId="6830DCA1" w14:textId="77777777" w:rsidR="00C06AB3" w:rsidRPr="00C06AB3" w:rsidRDefault="00C06AB3" w:rsidP="004762C3">
            <w:pPr>
              <w:spacing w:before="24" w:after="24" w:line="240" w:lineRule="auto"/>
              <w:ind w:left="180"/>
              <w:rPr>
                <w:rFonts w:ascii="Times New Roman" w:hAnsi="Times New Roman" w:cs="Times New Roman"/>
              </w:rPr>
            </w:pPr>
            <w:r w:rsidRPr="00C06AB3">
              <w:rPr>
                <w:rFonts w:ascii="Times New Roman" w:hAnsi="Times New Roman" w:cs="Times New Roman"/>
                <w:color w:val="000000"/>
                <w:sz w:val="14"/>
              </w:rPr>
              <w:t>Any disability</w:t>
            </w:r>
          </w:p>
        </w:tc>
        <w:tc>
          <w:tcPr>
            <w:tcW w:w="2664" w:type="dxa"/>
            <w:tcBorders>
              <w:bottom w:val="single" w:sz="8" w:space="0" w:color="333333"/>
            </w:tcBorders>
            <w:shd w:val="clear" w:color="auto" w:fill="FFFFFF"/>
          </w:tcPr>
          <w:p w14:paraId="358D04FA"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0.94 (0.83–1.07)</w:t>
            </w:r>
          </w:p>
        </w:tc>
        <w:tc>
          <w:tcPr>
            <w:tcW w:w="2664" w:type="dxa"/>
            <w:tcBorders>
              <w:bottom w:val="single" w:sz="8" w:space="0" w:color="333333"/>
            </w:tcBorders>
            <w:shd w:val="clear" w:color="auto" w:fill="FFFFFF"/>
          </w:tcPr>
          <w:p w14:paraId="7E04B84B" w14:textId="77777777" w:rsidR="00C06AB3" w:rsidRPr="00C06AB3" w:rsidRDefault="00C06AB3" w:rsidP="004762C3">
            <w:pPr>
              <w:spacing w:before="24" w:after="24" w:line="240" w:lineRule="auto"/>
              <w:jc w:val="right"/>
              <w:rPr>
                <w:rFonts w:ascii="Times New Roman" w:hAnsi="Times New Roman" w:cs="Times New Roman"/>
              </w:rPr>
            </w:pPr>
            <w:r w:rsidRPr="00C06AB3">
              <w:rPr>
                <w:rFonts w:ascii="Times New Roman" w:hAnsi="Times New Roman" w:cs="Times New Roman"/>
                <w:color w:val="000000"/>
                <w:sz w:val="14"/>
              </w:rPr>
              <w:t>0.86* (0.76–0.98)</w:t>
            </w:r>
          </w:p>
        </w:tc>
      </w:tr>
    </w:tbl>
    <w:p w14:paraId="40787AAE" w14:textId="77777777" w:rsidR="00C06AB3" w:rsidRPr="00C06AB3" w:rsidRDefault="00C06AB3" w:rsidP="00C06AB3">
      <w:pPr>
        <w:spacing w:line="480" w:lineRule="auto"/>
        <w:rPr>
          <w:rFonts w:ascii="Times New Roman" w:hAnsi="Times New Roman" w:cs="Times New Roman"/>
        </w:rPr>
      </w:pPr>
      <w:r w:rsidRPr="00C06AB3">
        <w:rPr>
          <w:rFonts w:ascii="Times New Roman" w:hAnsi="Times New Roman" w:cs="Times New Roman"/>
          <w:sz w:val="13"/>
        </w:rPr>
        <w:t xml:space="preserve">*P &lt; 0.05; **P &lt; 0.01; ***P &lt; 0.001. Abbreviations: AOR, adjusted odds ratio; CI, confidence interval; GED, General Educational Development; </w:t>
      </w:r>
      <w:proofErr w:type="spellStart"/>
      <w:r w:rsidRPr="00C06AB3">
        <w:rPr>
          <w:rFonts w:ascii="Times New Roman" w:hAnsi="Times New Roman" w:cs="Times New Roman"/>
          <w:sz w:val="13"/>
        </w:rPr>
        <w:t>SDoH</w:t>
      </w:r>
      <w:proofErr w:type="spellEnd"/>
      <w:r w:rsidRPr="00C06AB3">
        <w:rPr>
          <w:rFonts w:ascii="Times New Roman" w:hAnsi="Times New Roman" w:cs="Times New Roman"/>
          <w:sz w:val="13"/>
        </w:rPr>
        <w:t>, social determinants of health.</w:t>
      </w:r>
    </w:p>
    <w:p w14:paraId="730D4F1D" w14:textId="77777777" w:rsidR="00841284" w:rsidRPr="00C06AB3" w:rsidRDefault="00D413D7" w:rsidP="00E3018C">
      <w:pPr>
        <w:pStyle w:val="Heading2"/>
        <w:spacing w:line="480" w:lineRule="auto"/>
        <w:rPr>
          <w:rFonts w:ascii="Times New Roman" w:hAnsi="Times New Roman" w:cs="Times New Roman"/>
        </w:rPr>
      </w:pPr>
      <w:r w:rsidRPr="00C06AB3">
        <w:rPr>
          <w:rFonts w:ascii="Times New Roman" w:hAnsi="Times New Roman" w:cs="Times New Roman"/>
        </w:rPr>
        <w:t xml:space="preserve">Mutually adjusted </w:t>
      </w:r>
      <w:proofErr w:type="spellStart"/>
      <w:r w:rsidRPr="00C06AB3">
        <w:rPr>
          <w:rFonts w:ascii="Times New Roman" w:hAnsi="Times New Roman" w:cs="Times New Roman"/>
        </w:rPr>
        <w:t>SDoH</w:t>
      </w:r>
      <w:proofErr w:type="spellEnd"/>
      <w:r w:rsidRPr="00C06AB3">
        <w:rPr>
          <w:rFonts w:ascii="Times New Roman" w:hAnsi="Times New Roman" w:cs="Times New Roman"/>
        </w:rPr>
        <w:t xml:space="preserve"> associations and Black-race coefficient attenuation</w:t>
      </w:r>
    </w:p>
    <w:p w14:paraId="730D4F1F" w14:textId="23291EB6"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Under mutual adjustment (Table 3), Medicaid (1.33, 1.16-1.51), unemployment (1.23, 1.09-1.38), non-employment (1.26, 1.12-1.42), student status (1.52, 1.16-1.98), renting (1.13, 1.03-1.25), and the two lowest income strata (both 1.18) remained associated. Education below GED lost significance (1.13, 0.98-1.30), as did other or no insurance and income $25,000-34,999, indicating overlap with income and employment rather than a separate contribution. The two upper-middle income strata instead strengthened and became significant ($100,000-149,999, 1.24, 1.06-1.46; $150,000-199,999, 1.26, 1.01-1.57), so the income pattern remains non-monotonic. Disability was inverse (0.86, 0.76-0.98) and housing tenure recorded as "other" moved from null to a borderline inverse estimate (0.86, 0.74-1.00); both should be read cautiously; 65.4% of participants have no disability response, and most of those were never asked rather than declining to answer.</w:t>
      </w:r>
      <w:r w:rsidR="000A5395" w:rsidRPr="000A5395">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081219" w:rsidRPr="000F6719">
        <w:rPr>
          <w:rFonts w:ascii="Times New Roman" w:eastAsia="Arial" w:hAnsi="Times New Roman" w:cs="Times New Roman"/>
        </w:rPr>
      </w:r>
      <w:r w:rsidRPr="000F6719">
        <w:rPr>
          <w:rFonts w:ascii="Times New Roman" w:eastAsia="Arial" w:hAnsi="Times New Roman" w:cs="Times New Roman"/>
        </w:rPr>
      </w:r>
      <w:r w:rsidR="00337683" w:rsidRPr="000F6719">
        <w:rPr>
          <w:rFonts w:ascii="Times New Roman" w:eastAsia="Arial" w:hAnsi="Times New Roman" w:cs="Times New Roman"/>
        </w:rPr>
      </w:r>
      <w:r w:rsidRPr="000F6719">
        <w:rPr>
          <w:rFonts w:ascii="Times New Roman" w:eastAsia="Arial" w:hAnsi="Times New Roman" w:cs="Times New Roman"/>
        </w:rPr>
      </w:r>
    </w:p>
    <w:p w14:paraId="730D4F20" w14:textId="04859CA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Including all six domains reduced the Black-race AOR from 2.30 (2.10-2.52) to 2.00 (1.81-2.20; eTable 12a). The association narrowed but did not resolve: even after adjustment for insurance, income, education, employment, housing, and disability, Black participants had twice the odds of hospitalization compared with White participants. Individual-level socioeconomic factors, as measured by self-report, therefore capture only a fraction of the racial association, consistent with UK Biobank and integrated-care studies reporting similarly modest attenuation.[33, 34]</w:t>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gramStart"/>
      <w:r w:rsidRPr="000F6719">
        <w:rPr>
          <w:rFonts w:ascii="Times New Roman" w:eastAsia="Arial" w:hAnsi="Times New Roman" w:cs="Times New Roman"/>
        </w:rPr>
      </w:r>
      <w:proofErr w:type="gramEnd"/>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p>
    <w:p w14:paraId="730D4F21"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The combined profile of Medicaid coverage, household income of $10,000-24,999, and renting carried 1.78-fold higher odds than employer-insured homeowners in the reference income stratum, the product of the three mutually adjusted AORs. The equivalent product of the domain-specific AORs is 2.79, so mutual adjustment reduces the combined contrast by roughly a third. Both are within-stratum odds ratios.</w:t>
      </w:r>
    </w:p>
    <w:p w14:paraId="730D4F22"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Wave-stratified associations</w:t>
      </w:r>
    </w:p>
    <w:p w14:paraId="730D4F23" w14:textId="6E52893E"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The lower-income association persisted across waves (Figure 5a; eTable 13). Income below $10,000 carried AOR 1.49 (1.21-1.82) pre-Delta, 2.11 (1.10-4.03) during Delta, and 1.64 (1.23-2.18) during Omicron, when vaccines were available. Confidence intervals overlap across waves, so the wave estimates are not distinguishable from one another, and the design cannot test treatment-access mechanisms directly. Period-based work has reported income-related disparities persisting across variant transitions.[29]</w:t>
      </w:r>
      <w:r w:rsidR="00A831FB"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5239FC" w:rsidRPr="000F6719">
        <w:rPr>
          <w:rFonts w:ascii="Times New Roman" w:eastAsia="Arial" w:hAnsi="Times New Roman" w:cs="Times New Roman"/>
        </w:rPr>
      </w:r>
      <w:r w:rsidRPr="000F6719">
        <w:rPr>
          <w:rFonts w:ascii="Times New Roman" w:eastAsia="Arial" w:hAnsi="Times New Roman" w:cs="Times New Roman"/>
        </w:rPr>
      </w:r>
      <w:r w:rsidR="00D457FF"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p>
    <w:p w14:paraId="2BD4B248" w14:textId="4A0A2073" w:rsidR="00E42FB3" w:rsidRPr="000F6719" w:rsidRDefault="000A5D01" w:rsidP="00E3018C">
      <w:pPr>
        <w:spacing w:after="120" w:line="480" w:lineRule="auto"/>
        <w:rPr>
          <w:rFonts w:ascii="Times New Roman" w:eastAsia="Arial" w:hAnsi="Times New Roman" w:cs="Times New Roman" w:hint="eastAsia"/>
          <w:b/>
          <w:bCs/>
        </w:rPr>
      </w:pPr>
      <w:r>
        <w:rPr>
          <w:rFonts w:ascii="Times New Roman" w:eastAsia="Arial" w:hAnsi="Times New Roman" w:cs="Times New Roman" w:hint="eastAsia"/>
          <w:b/>
          <w:bCs/>
          <w:noProof/>
        </w:rPr>
        <w:lastRenderedPageBreak/>
        <w:drawing>
          <wp:inline distT="0" distB="0" distL="0" distR="0" wp14:anchorId="018BAF2D" wp14:editId="016251B7">
            <wp:extent cx="5943600" cy="4754880"/>
            <wp:effectExtent l="0" t="0" r="0" b="0"/>
            <wp:docPr id="591522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22689" name="Picture 5915226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4CDF6E07" w14:textId="77777777" w:rsidR="00555E61" w:rsidRPr="000F6719" w:rsidRDefault="00555E61" w:rsidP="00E3018C">
      <w:pPr>
        <w:spacing w:after="120" w:line="480" w:lineRule="auto"/>
        <w:rPr>
          <w:rFonts w:ascii="Times New Roman" w:hAnsi="Times New Roman" w:cs="Times New Roman"/>
        </w:rPr>
      </w:pPr>
    </w:p>
    <w:p w14:paraId="730D4F25" w14:textId="127B5BF2" w:rsidR="00841284" w:rsidRPr="000F6719" w:rsidRDefault="00131340" w:rsidP="00E3018C">
      <w:pPr>
        <w:spacing w:after="120" w:line="480" w:lineRule="auto"/>
        <w:rPr>
          <w:rFonts w:ascii="Times New Roman" w:hAnsi="Times New Roman" w:cs="Times New Roman"/>
        </w:rPr>
      </w:pPr>
      <w:r w:rsidRPr="000F6719">
        <w:rPr>
          <w:rFonts w:ascii="Times New Roman" w:eastAsia="Arial" w:hAnsi="Times New Roman" w:cs="Times New Roman"/>
        </w:rPr>
        <w:t>The Black-race association was large pre-Delta (AOR 3.00, 2.56-3.51), essentially unchanged during Delta (2.98, 1.79-4.96), and narrowed to 1.65 (1.34-2.03) during Omicron (Figure 5b), consistent with the convergence of racial hospitalization rates in national surveillance.[4, 5] It remained statistically significant in all three waves. Coefficient attenuation by socioeconomic factors was 11.5% pre-Delta (3.00 to 2.64), 29.1% during Delta (2.98 to 2.17), and 30.1% during Omicron (1.65 to 1.42; eTable 12b). Most of the change occurred between pre-Delta and Delta rather than progressively, and the wide Delta interval leaves the three values statistically indistinguishable; no formal test compared them. Medicaid was significant in all three waves in domain-specific models, but its joint estimate was not significant in either Delta (1.64, 0.78-3.45) or Omicron (1.13, 0.84-1.53), consistent with overlap between the Medicaid, income, and housing signals (eTable 12c). Within-wave models retain only strata whose control index dates also fall in that wave, so the three models rest on 1,913, 301, and 1,105 strata rather than 2,087, 644, and 1,333 cases; Delta estimates should be read with that in mind.</w:t>
      </w:r>
      <w:r w:rsidR="00555E61"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AC2EEF"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D12EE0" w:rsidRPr="000F6719">
        <w:rPr>
          <w:rFonts w:ascii="Times New Roman" w:eastAsia="Arial" w:hAnsi="Times New Roman" w:cs="Times New Roman"/>
        </w:rPr>
      </w:r>
      <w:r w:rsidRPr="000F6719">
        <w:rPr>
          <w:rFonts w:ascii="Times New Roman" w:eastAsia="Arial" w:hAnsi="Times New Roman" w:cs="Times New Roman"/>
        </w:rPr>
      </w:r>
      <w:r w:rsidR="00555E61"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
    <w:p w14:paraId="730D4F26"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Sensitivity analyses</w:t>
      </w:r>
    </w:p>
    <w:p w14:paraId="730D4F27" w14:textId="5CF5361F"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Five sensitivity analyses supported the stability of the joint estimates (eTable 15). Restricting to inpatient-only cases, excluding controls with acute-care utilization, removing vaccination, and collapsing income to three levels (&lt;$35,000, 1.16, 1.04-1.30) preserved all key associations. Restricting to pre-infection surveys (86.4% of the cohort) preserved direction throughout, but the income and renter estimates lost significance; their intervals widened only slightly while the point estimates moved toward the null (1.18 to 1.13 and 1.13 to 1.09), so the change reflects attenuation rather than the smaller sample alone.</w:t>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
    <w:p w14:paraId="730D4F28" w14:textId="338477C1" w:rsidR="00841284" w:rsidRPr="000F6719" w:rsidRDefault="000A696E" w:rsidP="00E3018C">
      <w:pPr>
        <w:pStyle w:val="Heading2"/>
        <w:spacing w:line="480" w:lineRule="auto"/>
        <w:rPr>
          <w:rFonts w:ascii="Times New Roman" w:hAnsi="Times New Roman" w:cs="Times New Roman"/>
        </w:rPr>
      </w:pPr>
      <w:r w:rsidRPr="000F6719">
        <w:rPr>
          <w:rFonts w:ascii="Times New Roman" w:hAnsi="Times New Roman" w:cs="Times New Roman"/>
        </w:rPr>
        <w:t>Cross-cohort clinical-model comparison</w:t>
      </w:r>
    </w:p>
    <w:p w14:paraId="730D4F29" w14:textId="270EBAE6" w:rsidR="00841284" w:rsidRPr="000F6719" w:rsidRDefault="00A865D0" w:rsidP="00E3018C">
      <w:pPr>
        <w:spacing w:after="120" w:line="480" w:lineRule="auto"/>
        <w:rPr>
          <w:rFonts w:ascii="Times New Roman" w:hAnsi="Times New Roman" w:cs="Times New Roman"/>
        </w:rPr>
      </w:pPr>
      <w:r w:rsidRPr="000F6719">
        <w:rPr>
          <w:rFonts w:ascii="Times New Roman" w:eastAsia="Arial" w:hAnsi="Times New Roman" w:cs="Times New Roman"/>
        </w:rPr>
        <w:t>In MarketScan (693,682 matched observations; 139,468 cases; Table 1), female sex, recorded vaccination, and the age gradient were directionally concordant with All of Us, and comorbidity associations were generally larger (eTable 10). Five of 25 comparable estimates were directionally discordant: Omicron wave (All of Us 1.04, 0.96-1.13; MarketScan 0.47, 0.47-0.48), cerebrovascular disease, diabetes with complications, malignancy, and AIDS. The Omicron discordance is the largest and likely reflects the age and coverage differences between a commercially insured population and All of Us; the AIDS difference reflects the strict two-step All of Us phenotype (eTable 14). Concordance here means agreement in the direction of the point estimate irrespective of significance, which is a weak criterion.</w:t>
      </w:r>
      <w:r w:rsidRPr="000F6719">
        <w:rPr>
          <w:rFonts w:ascii="Times New Roman" w:eastAsia="Arial" w:hAnsi="Times New Roman" w:cs="Times New Roman"/>
        </w:rPr>
      </w:r>
      <w:r w:rsidR="00020FD3" w:rsidRPr="000F6719">
        <w:rPr>
          <w:rFonts w:ascii="Times New Roman" w:eastAsia="Arial" w:hAnsi="Times New Roman" w:cs="Times New Roman"/>
        </w:rPr>
      </w:r>
      <w:proofErr w:type="spellStart"/>
      <w:r w:rsidR="00020FD3" w:rsidRPr="000F6719">
        <w:rPr>
          <w:rFonts w:ascii="Times New Roman" w:eastAsia="Arial" w:hAnsi="Times New Roman" w:cs="Times New Roman"/>
        </w:rPr>
      </w:r>
      <w:proofErr w:type="spellEnd"/>
      <w:r w:rsidR="00020FD3" w:rsidRPr="000F6719">
        <w:rPr>
          <w:rFonts w:ascii="Times New Roman" w:eastAsia="Arial" w:hAnsi="Times New Roman" w:cs="Times New Roman"/>
        </w:rPr>
      </w:r>
      <w:proofErr w:type="spellStart"/>
      <w:r w:rsidR="00020FD3" w:rsidRPr="000F6719">
        <w:rPr>
          <w:rFonts w:ascii="Times New Roman" w:eastAsia="Arial" w:hAnsi="Times New Roman" w:cs="Times New Roman"/>
        </w:rPr>
      </w:r>
      <w:proofErr w:type="spellEnd"/>
      <w:r w:rsidR="00020FD3" w:rsidRPr="000F6719">
        <w:rPr>
          <w:rFonts w:ascii="Times New Roman" w:eastAsia="Arial" w:hAnsi="Times New Roman" w:cs="Times New Roman"/>
        </w:rPr>
      </w:r>
      <w:r w:rsidR="00020FD3" w:rsidRPr="000F6719">
        <w:rPr>
          <w:rFonts w:ascii="Times New Roman" w:eastAsia="Arial" w:hAnsi="Times New Roman" w:cs="Times New Roman"/>
        </w:rPr>
      </w:r>
      <w:proofErr w:type="spellStart"/>
      <w:r w:rsidR="00020FD3" w:rsidRPr="000F6719">
        <w:rPr>
          <w:rFonts w:ascii="Times New Roman" w:eastAsia="Arial" w:hAnsi="Times New Roman" w:cs="Times New Roman"/>
        </w:rPr>
      </w:r>
      <w:proofErr w:type="spellEnd"/>
      <w:r w:rsidR="00020FD3" w:rsidRPr="000F6719">
        <w:rPr>
          <w:rFonts w:ascii="Times New Roman" w:eastAsia="Arial" w:hAnsi="Times New Roman" w:cs="Times New Roman"/>
        </w:rPr>
      </w:r>
    </w:p>
    <w:p w14:paraId="730D4F2A" w14:textId="77777777" w:rsidR="00841284" w:rsidRPr="000F6719" w:rsidRDefault="00841284" w:rsidP="00E3018C">
      <w:pPr>
        <w:spacing w:line="480" w:lineRule="auto"/>
        <w:rPr>
          <w:rFonts w:ascii="Times New Roman" w:hAnsi="Times New Roman" w:cs="Times New Roman"/>
        </w:rPr>
      </w:pPr>
    </w:p>
    <w:p w14:paraId="730D4F2B"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DISCUSSION</w:t>
      </w:r>
    </w:p>
    <w:p w14:paraId="6F519E55" w14:textId="25858844" w:rsidR="00585117" w:rsidRPr="000F6719" w:rsidRDefault="008A2FA1"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Prior work in these data sources identified individual risk factors. Choi et al. found an income gradient in All of Us and no education association, and did not test employment or housing.[11] In N3C, Bennett et al. found Black race and obesity independently associated with clinical severity,[35] and Vaidya et al. found individual-level SDoH associations using EHR-coded fields.[16] We reproduce the low-income association and the residual Black-race association, and additionally identify independent employment, insurance, and housing associations that the few-variable and sparsely coded approaches did not surface.</w:t>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noProof/>
        </w:rPr>
      </w:r>
      <w:r w:rsidRPr="000F6719">
        <w:rPr>
          <w:rFonts w:ascii="Times New Roman" w:eastAsia="Arial" w:hAnsi="Times New Roman" w:cs="Times New Roman"/>
        </w:rPr>
      </w:r>
      <w:r w:rsidR="0028415F" w:rsidRPr="000F6719">
        <w:rPr>
          <w:rFonts w:ascii="Times New Roman" w:eastAsia="Arial" w:hAnsi="Times New Roman" w:cs="Times New Roman"/>
        </w:rPr>
      </w:r>
      <w:r w:rsidR="00585117" w:rsidRPr="000F6719">
        <w:rPr>
          <w:rFonts w:ascii="Times New Roman" w:eastAsia="Arial" w:hAnsi="Times New Roman" w:cs="Times New Roman"/>
        </w:rPr>
      </w:r>
      <w:r w:rsidR="009B5553"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B5553" w:rsidRPr="000F6719">
        <w:rPr>
          <w:rFonts w:ascii="Times New Roman" w:eastAsia="Arial" w:hAnsi="Times New Roman" w:cs="Times New Roman"/>
        </w:rPr>
      </w:r>
      <w:r w:rsidR="009A7915" w:rsidRPr="000F6719">
        <w:rPr>
          <w:rFonts w:ascii="Times New Roman" w:eastAsia="Arial" w:hAnsi="Times New Roman" w:cs="Times New Roman"/>
          <w:noProof/>
        </w:rPr>
      </w:r>
      <w:r w:rsidR="009B5553" w:rsidRPr="000F6719">
        <w:rPr>
          <w:rFonts w:ascii="Times New Roman" w:eastAsia="Arial" w:hAnsi="Times New Roman" w:cs="Times New Roman"/>
        </w:rPr>
      </w:r>
      <w:r w:rsidR="00585117" w:rsidRPr="000F6719">
        <w:rPr>
          <w:rFonts w:ascii="Times New Roman" w:eastAsia="Arial" w:hAnsi="Times New Roman" w:cs="Times New Roman"/>
        </w:rPr>
      </w:r>
      <w:proofErr w:type="spellStart"/>
      <w:r w:rsidR="00585117" w:rsidRPr="000F6719">
        <w:rPr>
          <w:rFonts w:ascii="Times New Roman" w:eastAsia="Arial" w:hAnsi="Times New Roman" w:cs="Times New Roman"/>
        </w:rPr>
      </w:r>
      <w:proofErr w:type="spellEnd"/>
      <w:r w:rsidR="00585117" w:rsidRPr="000F6719">
        <w:rPr>
          <w:rFonts w:ascii="Times New Roman" w:eastAsia="Arial" w:hAnsi="Times New Roman" w:cs="Times New Roman"/>
        </w:rPr>
      </w:r>
      <w:r w:rsidR="00585117"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585117" w:rsidRPr="000F6719">
        <w:rPr>
          <w:rFonts w:ascii="Times New Roman" w:eastAsia="Arial" w:hAnsi="Times New Roman" w:cs="Times New Roman"/>
        </w:rPr>
      </w:r>
      <w:r w:rsidR="009A7915" w:rsidRPr="000F6719">
        <w:rPr>
          <w:rFonts w:ascii="Times New Roman" w:eastAsia="Arial" w:hAnsi="Times New Roman" w:cs="Times New Roman"/>
          <w:noProof/>
        </w:rPr>
      </w:r>
      <w:r w:rsidR="00585117" w:rsidRPr="000F6719">
        <w:rPr>
          <w:rFonts w:ascii="Times New Roman" w:eastAsia="Arial" w:hAnsi="Times New Roman" w:cs="Times New Roman"/>
        </w:rPr>
      </w:r>
      <w:r w:rsidR="00585117" w:rsidRPr="000F6719">
        <w:rPr>
          <w:rFonts w:ascii="Times New Roman" w:eastAsia="Arial" w:hAnsi="Times New Roman" w:cs="Times New Roman"/>
        </w:rPr>
      </w:r>
    </w:p>
    <w:p w14:paraId="730D4F2C" w14:textId="53F135E0" w:rsidR="00841284" w:rsidRPr="000F6719" w:rsidRDefault="0053094D"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Our joint model extends these findings in three ways. First, it distinguishes associations that composite indices and few-variable models cannot separate: Choi et al.'s three-variable design did not include employment or housing,[11] and Gupta et al.'s composite All of Us deprivation index collapses insurance, income, employment, and housing into one score.[36] Second, encounter-density matching mitigates informative presence bias.[17] Third, wave-stratified analyses show the income association persisting while the racial association narrowed. Our contribution is identifying which domains remain associated after mutual adjustment, and which lose significance once overlapping domains are included (Figure 4). The two models answer complementary questions: the one-domain estimate is the association a domain carries when it is the only social factor in the model, while the mutually adjusted estimate is what remains once the other measured social domains are included. Neither supersedes the other.</w:t>
      </w:r>
      <w:r w:rsidR="006815E7" w:rsidRPr="000F6719">
        <w:rPr>
          <w:rFonts w:ascii="Times New Roman" w:eastAsia="Arial" w:hAnsi="Times New Roman" w:cs="Times New Roman"/>
        </w:rPr>
      </w:r>
      <w:r w:rsidR="006815E7" w:rsidRPr="000F6719">
        <w:rPr>
          <w:rFonts w:ascii="Times New Roman" w:eastAsia="Arial" w:hAnsi="Times New Roman" w:cs="Times New Roman"/>
        </w:rPr>
      </w:r>
      <w:r w:rsidR="006815E7" w:rsidRPr="000F6719">
        <w:rPr>
          <w:rFonts w:ascii="Times New Roman" w:eastAsia="Arial" w:hAnsi="Times New Roman" w:cs="Times New Roman"/>
        </w:rPr>
      </w:r>
      <w:r w:rsidR="006815E7" w:rsidRPr="000F6719">
        <w:rPr>
          <w:rFonts w:ascii="Times New Roman" w:eastAsia="Arial" w:hAnsi="Times New Roman" w:cs="Times New Roman"/>
        </w:rPr>
      </w:r>
      <w:r w:rsidR="006815E7" w:rsidRPr="000F6719">
        <w:rPr>
          <w:rFonts w:ascii="Times New Roman" w:eastAsia="Arial" w:hAnsi="Times New Roman" w:cs="Times New Roman"/>
        </w:rPr>
      </w:r>
      <w:r w:rsidR="006815E7" w:rsidRPr="000F6719">
        <w:rPr>
          <w:rFonts w:ascii="Times New Roman" w:eastAsia="Arial" w:hAnsi="Times New Roman" w:cs="Times New Roman"/>
        </w:rPr>
      </w:r>
      <w:r w:rsidR="006815E7" w:rsidRPr="000F6719">
        <w:rPr>
          <w:rFonts w:ascii="Times New Roman" w:eastAsia="Arial" w:hAnsi="Times New Roman" w:cs="Times New Roman"/>
        </w:rPr>
      </w:r>
      <w:r w:rsidR="006815E7" w:rsidRPr="000F6719">
        <w:rPr>
          <w:rFonts w:ascii="Times New Roman" w:eastAsia="Arial" w:hAnsi="Times New Roman" w:cs="Times New Roman"/>
          <w:noProof/>
          <w:vertAlign w:val="superscript"/>
        </w:rPr>
      </w:r>
      <w:r w:rsidR="006815E7" w:rsidRPr="000F6719">
        <w:rPr>
          <w:rFonts w:ascii="Times New Roman" w:eastAsia="Arial" w:hAnsi="Times New Roman" w:cs="Times New Roman"/>
        </w:rPr>
      </w:r>
      <w:r w:rsidRPr="000F6719">
        <w:rPr>
          <w:rFonts w:ascii="Times New Roman" w:eastAsia="Arial" w:hAnsi="Times New Roman" w:cs="Times New Roman"/>
        </w:rPr>
      </w:r>
      <w:r w:rsidR="00184B89" w:rsidRPr="000F6719">
        <w:rPr>
          <w:rFonts w:ascii="Times New Roman" w:eastAsia="Arial" w:hAnsi="Times New Roman" w:cs="Times New Roman"/>
        </w:rPr>
      </w:r>
      <w:r w:rsidR="009A7915" w:rsidRPr="000F6719">
        <w:rPr>
          <w:rFonts w:ascii="Times New Roman" w:eastAsia="Arial" w:hAnsi="Times New Roman" w:cs="Times New Roman"/>
        </w:rPr>
      </w:r>
      <w:r w:rsidR="00184B89" w:rsidRPr="000F6719">
        <w:rPr>
          <w:rFonts w:ascii="Times New Roman" w:eastAsia="Arial" w:hAnsi="Times New Roman" w:cs="Times New Roman"/>
        </w:rPr>
      </w:r>
      <w:r w:rsidR="009A7915" w:rsidRPr="000F6719">
        <w:rPr>
          <w:rFonts w:ascii="Times New Roman" w:eastAsia="Arial" w:hAnsi="Times New Roman" w:cs="Times New Roman"/>
          <w:noProof/>
        </w:rPr>
      </w:r>
      <w:r w:rsidR="00184B89" w:rsidRPr="000F6719">
        <w:rPr>
          <w:rFonts w:ascii="Times New Roman" w:eastAsia="Arial" w:hAnsi="Times New Roman" w:cs="Times New Roman"/>
        </w:rPr>
      </w:r>
      <w:r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noProof/>
        </w:rPr>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EC1949" w:rsidRPr="000F6719">
        <w:rPr>
          <w:rFonts w:ascii="Times New Roman" w:eastAsia="Arial" w:hAnsi="Times New Roman" w:cs="Times New Roman"/>
        </w:rPr>
      </w:r>
      <w:proofErr w:type="spellStart"/>
      <w:r w:rsidR="00EC1949" w:rsidRPr="000F6719">
        <w:rPr>
          <w:rFonts w:ascii="Times New Roman" w:eastAsia="Arial" w:hAnsi="Times New Roman" w:cs="Times New Roman"/>
        </w:rPr>
      </w:r>
      <w:proofErr w:type="spellEnd"/>
      <w:r w:rsidR="00EC1949" w:rsidRPr="000F6719">
        <w:rPr>
          <w:rFonts w:ascii="Times New Roman" w:eastAsia="Arial" w:hAnsi="Times New Roman" w:cs="Times New Roman"/>
        </w:rPr>
      </w:r>
      <w:r w:rsidR="00D413D7" w:rsidRPr="000F6719">
        <w:rPr>
          <w:rFonts w:ascii="Times New Roman" w:eastAsia="Arial" w:hAnsi="Times New Roman" w:cs="Times New Roman"/>
          <w:color w:val="000000" w:themeColor="text1"/>
        </w:rPr>
      </w:r>
      <w:r w:rsidR="00D413D7" w:rsidRPr="000F6719">
        <w:rPr>
          <w:rFonts w:ascii="Times New Roman" w:eastAsia="Arial" w:hAnsi="Times New Roman" w:cs="Times New Roman"/>
          <w:color w:val="000000" w:themeColor="text1"/>
        </w:rPr>
      </w:r>
      <w:r w:rsidR="009A7915" w:rsidRPr="000F6719">
        <w:rPr>
          <w:rFonts w:ascii="Times New Roman" w:eastAsia="Arial" w:hAnsi="Times New Roman" w:cs="Times New Roman"/>
          <w:color w:val="000000" w:themeColor="text1"/>
        </w:rPr>
      </w:r>
      <w:r w:rsidR="00D413D7" w:rsidRPr="000F6719">
        <w:rPr>
          <w:rFonts w:ascii="Times New Roman" w:eastAsia="Arial" w:hAnsi="Times New Roman" w:cs="Times New Roman"/>
          <w:color w:val="000000" w:themeColor="text1"/>
        </w:rPr>
      </w:r>
      <w:r w:rsidR="009A7915" w:rsidRPr="000F6719">
        <w:rPr>
          <w:rFonts w:ascii="Times New Roman" w:eastAsia="Arial" w:hAnsi="Times New Roman" w:cs="Times New Roman"/>
          <w:noProof/>
          <w:color w:val="000000" w:themeColor="text1"/>
        </w:rPr>
      </w:r>
      <w:r w:rsidR="00D413D7" w:rsidRPr="000F6719">
        <w:rPr>
          <w:rFonts w:ascii="Times New Roman" w:eastAsia="Arial" w:hAnsi="Times New Roman" w:cs="Times New Roman"/>
          <w:color w:val="000000" w:themeColor="text1"/>
        </w:rPr>
      </w:r>
      <w:r w:rsidR="00D413D7" w:rsidRPr="000F6719">
        <w:rPr>
          <w:rFonts w:ascii="Times New Roman" w:eastAsia="Arial" w:hAnsi="Times New Roman" w:cs="Times New Roman"/>
          <w:color w:val="000000" w:themeColor="text1"/>
        </w:rPr>
      </w:r>
      <w:r w:rsidR="00EC1949" w:rsidRPr="000F6719">
        <w:rPr>
          <w:rFonts w:ascii="Times New Roman" w:eastAsia="Arial" w:hAnsi="Times New Roman" w:cs="Times New Roman"/>
          <w:color w:val="000000" w:themeColor="text1"/>
        </w:rPr>
      </w:r>
      <w:r w:rsidR="00D413D7" w:rsidRPr="000F6719">
        <w:rPr>
          <w:rFonts w:ascii="Times New Roman" w:eastAsia="Arial" w:hAnsi="Times New Roman" w:cs="Times New Roman"/>
        </w:rPr>
      </w:r>
      <w:r w:rsidR="0016340F" w:rsidRPr="000F6719">
        <w:rPr>
          <w:rFonts w:ascii="Times New Roman" w:eastAsia="Arial" w:hAnsi="Times New Roman" w:cs="Times New Roman"/>
        </w:rPr>
      </w:r>
      <w:r w:rsidR="0016340F" w:rsidRPr="000F6719">
        <w:rPr>
          <w:rFonts w:ascii="Times New Roman" w:eastAsia="Arial" w:hAnsi="Times New Roman" w:cs="Times New Roman"/>
        </w:rPr>
      </w:r>
    </w:p>
    <w:p w14:paraId="730D4F2D"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What persists and what attenuates</w:t>
      </w:r>
    </w:p>
    <w:p w14:paraId="730D4F2E" w14:textId="1925CA6E"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In the joint model, Medicaid coverage, unemployment, renting, and the two lowest income strata retained independent associations. The Medicaid finding is consistent with cohort evidence that insurance type is associated with COVID-19 hospitalization beyond underlying health conditions,[38] and insurance likely functions as both a poverty marker and an access-barrier marker; separating those requires designs beyond what case-control data can provide.[39] The renter association is consistent with housing tenure tracking crowding, shared facilities, and reduced ability to isolate, and with the state-level increases in COVID-19 incidence observed after eviction moratoria expired.[40] Education below GED attenuated to 1.13 (0.98-1.30) once economic variables entered, matching Choi et al.'s null education finding.[11]</w:t>
      </w:r>
      <w:r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p>
    <w:p w14:paraId="730D4F30"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 xml:space="preserve">The Black-race association: what </w:t>
      </w:r>
      <w:proofErr w:type="spellStart"/>
      <w:r w:rsidRPr="000F6719">
        <w:rPr>
          <w:rFonts w:ascii="Times New Roman" w:hAnsi="Times New Roman" w:cs="Times New Roman"/>
        </w:rPr>
        <w:t>SDoH</w:t>
      </w:r>
      <w:proofErr w:type="spellEnd"/>
      <w:r w:rsidRPr="000F6719">
        <w:rPr>
          <w:rFonts w:ascii="Times New Roman" w:hAnsi="Times New Roman" w:cs="Times New Roman"/>
        </w:rPr>
        <w:t xml:space="preserve"> adjustment does and does not capture</w:t>
      </w:r>
    </w:p>
    <w:p w14:paraId="730D4F31" w14:textId="3FD391B4"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After adjustment for six individual-level social domains, Black participants retained twice the odds of hospitalization (AOR 2.00, 1.81-2.20). Interpreting a residual race coefficient requires care: the socioeconomic variables adjusted for are themselves shaped by structural disadvantage, and residual confounding from imperfectly measured socioeconomic position tends to bias such coefficients toward appearing independent.[41, 42] Because the odds ratio is non-collapsible, part of the observed change on adjustment may reflect scale properties rather than confounding or mediation, so the attenuation estimates indicate direction and approximate magnitude rather than precise explained fractions.[43]</w:t>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002C59E0" w:rsidRPr="000F6719">
        <w:rPr>
          <w:rFonts w:ascii="Times New Roman" w:hAnsi="Times New Roman" w:cs="Times New Roman"/>
        </w:rPr>
      </w:r>
      <w:r w:rsidR="00060C8F" w:rsidRPr="000F6719">
        <w:rPr>
          <w:rFonts w:ascii="Times New Roman" w:eastAsia="Arial" w:hAnsi="Times New Roman" w:cs="Times New Roman"/>
        </w:rPr>
      </w:r>
      <w:r w:rsidR="007B0CAE" w:rsidRPr="000F6719">
        <w:rPr>
          <w:rFonts w:ascii="Times New Roman" w:eastAsia="Arial" w:hAnsi="Times New Roman" w:cs="Times New Roman"/>
        </w:rPr>
      </w:r>
      <w:r w:rsidR="00300397"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300397" w:rsidRPr="000F6719">
        <w:rPr>
          <w:rFonts w:ascii="Times New Roman" w:eastAsia="Arial" w:hAnsi="Times New Roman" w:cs="Times New Roman"/>
        </w:rPr>
      </w:r>
      <w:r w:rsidR="009A7915" w:rsidRPr="000F6719">
        <w:rPr>
          <w:rFonts w:ascii="Times New Roman" w:eastAsia="Arial" w:hAnsi="Times New Roman" w:cs="Times New Roman"/>
          <w:noProof/>
        </w:rPr>
      </w:r>
      <w:r w:rsidR="00300397" w:rsidRPr="000F6719">
        <w:rPr>
          <w:rFonts w:ascii="Times New Roman" w:eastAsia="Arial" w:hAnsi="Times New Roman" w:cs="Times New Roman"/>
        </w:rPr>
      </w:r>
      <w:r w:rsidR="00060C8F" w:rsidRPr="000F6719">
        <w:rPr>
          <w:rFonts w:ascii="Times New Roman" w:eastAsia="Arial" w:hAnsi="Times New Roman" w:cs="Times New Roman"/>
        </w:rPr>
      </w:r>
      <w:r w:rsidR="002C59E0" w:rsidRPr="000F6719">
        <w:rPr>
          <w:rFonts w:ascii="Times New Roman" w:eastAsia="Arial" w:hAnsi="Times New Roman" w:cs="Times New Roman"/>
        </w:rPr>
      </w:r>
      <w:r w:rsidR="002C59E0" w:rsidRPr="000F6719">
        <w:rPr>
          <w:rFonts w:ascii="Times New Roman" w:eastAsia="Arial" w:hAnsi="Times New Roman" w:cs="Times New Roman"/>
        </w:rPr>
      </w:r>
      <w:r w:rsidR="00D92D40"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D92D40" w:rsidRPr="000F6719">
        <w:rPr>
          <w:rFonts w:ascii="Times New Roman" w:eastAsia="Arial" w:hAnsi="Times New Roman" w:cs="Times New Roman"/>
        </w:rPr>
      </w:r>
      <w:r w:rsidR="009A7915" w:rsidRPr="000F6719">
        <w:rPr>
          <w:rFonts w:ascii="Times New Roman" w:eastAsia="Arial" w:hAnsi="Times New Roman" w:cs="Times New Roman"/>
          <w:noProof/>
        </w:rPr>
      </w:r>
      <w:r w:rsidR="00D92D40" w:rsidRPr="000F6719">
        <w:rPr>
          <w:rFonts w:ascii="Times New Roman" w:eastAsia="Arial" w:hAnsi="Times New Roman" w:cs="Times New Roman"/>
        </w:rPr>
      </w:r>
    </w:p>
    <w:p w14:paraId="730D4F32" w14:textId="72E10FB4"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This overall attenuation masks a temporal shift. The Black-race AOR was unchanged from pre-Delta (3.00) to Delta (2.98) and then narrowed to 1.65 during Omicron, while attenuation by individual SDoH was 11.5%, 29.1%, and 30.1% across the three waves, rising once rather than progressively. Early in the pandemic, structural factors beyond the reach of individual surveys, such as residential segregation, essential-worker exposure, and differential testing access, may have contributed more to the racial gap. As those exposures equalized, the residual association became more sensitive to socioeconomic adjustment. The wide Delta interval and the absence of a formal test across waves make this a hypothesis rather than a demonstrated trend.</w:t>
      </w:r>
      <w:r w:rsidR="00E830A6"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AC2EEF" w:rsidRPr="000F6719">
        <w:rPr>
          <w:rFonts w:ascii="Times New Roman" w:eastAsia="Arial" w:hAnsi="Times New Roman" w:cs="Times New Roman"/>
          <w:noProof/>
          <w:vertAlign w:val="superscript"/>
        </w:rPr>
      </w:r>
      <w:r w:rsidRPr="000F6719">
        <w:rPr>
          <w:rFonts w:ascii="Times New Roman" w:eastAsia="Arial" w:hAnsi="Times New Roman" w:cs="Times New Roman"/>
        </w:rPr>
      </w:r>
      <w:r w:rsidRPr="000F6719">
        <w:rPr>
          <w:rFonts w:ascii="Times New Roman" w:eastAsia="Arial" w:hAnsi="Times New Roman" w:cs="Times New Roman"/>
        </w:rPr>
      </w:r>
      <w:r w:rsidR="00DB2FA2" w:rsidRPr="000F6719">
        <w:rPr>
          <w:rFonts w:ascii="Times New Roman" w:eastAsia="Arial" w:hAnsi="Times New Roman" w:cs="Times New Roman"/>
        </w:rPr>
      </w:r>
      <w:proofErr w:type="spellStart"/>
      <w:r w:rsidR="00DB2FA2" w:rsidRPr="000F6719">
        <w:rPr>
          <w:rFonts w:ascii="Times New Roman" w:eastAsia="Arial" w:hAnsi="Times New Roman" w:cs="Times New Roman"/>
        </w:rPr>
      </w:r>
      <w:proofErr w:type="spellEnd"/>
      <w:r w:rsidR="00DB2FA2" w:rsidRPr="000F6719">
        <w:rPr>
          <w:rFonts w:ascii="Times New Roman" w:eastAsia="Arial" w:hAnsi="Times New Roman" w:cs="Times New Roman"/>
        </w:rPr>
      </w:r>
      <w:r w:rsidR="00DB2FA2"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
    <w:p w14:paraId="730D4F33"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Income persistence through Omicron and clinical implications</w:t>
      </w:r>
    </w:p>
    <w:p w14:paraId="730D4F34" w14:textId="77BF4AA2"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During Omicron, participants with household income below $10,000 still had 1.64-fold higher hospitalization odds despite available vaccines. In an 11.2-million-person Ontario cohort, income inequalities in COVID-19 death likewise persisted, and inequality in vaccination coverage accounted for 56.9% (95% CI 22.5-91.3) of the income inequality in later-wave deaths,[30] so countermeasure availability did not translate into equitable uptake. The Medicaid association, by contrast, was not significant in the joint model in either Delta or Omicron once income and housing entered, suggesting insurance type was less of an independent predictor than the economic conditions it tracks. Barriers to testing, prescriptions, paid sick leave, and isolation space may contribute to the residual income association, though the design cannot test access mechanisms directly.</w:t>
      </w:r>
      <w:r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vertAlign w:val="superscript"/>
        </w:rPr>
      </w:r>
      <w:r w:rsidRPr="000F6719">
        <w:rPr>
          <w:rFonts w:ascii="Times New Roman" w:eastAsia="Arial" w:hAnsi="Times New Roman" w:cs="Times New Roman"/>
        </w:rPr>
      </w:r>
      <w:r w:rsidRPr="000F6719">
        <w:rPr>
          <w:rFonts w:ascii="Times New Roman" w:eastAsia="Arial" w:hAnsi="Times New Roman" w:cs="Times New Roman"/>
        </w:rPr>
      </w:r>
    </w:p>
    <w:p w14:paraId="730D4F35" w14:textId="09605246"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Insurance and income are recorded in many intake workflows, so they are among the social factors most readily available to a health system.[3] Whether recording them would improve a screening decision is a prediction question this design does not address. Because the domains overlap, their combined association is smaller than the domain-specific estimates suggest: the combined profile carried 1.78-fold higher odds against 2.79 from the domain-specific estimates.</w:t>
      </w:r>
      <w:r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00AC2EEF"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AC2EEF"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00E82085" w:rsidRPr="000F6719">
        <w:rPr>
          <w:rFonts w:ascii="Times New Roman" w:eastAsia="Arial" w:hAnsi="Times New Roman" w:cs="Times New Roman"/>
        </w:rPr>
      </w:r>
      <w:r w:rsidRPr="000F6719">
        <w:rPr>
          <w:rFonts w:ascii="Times New Roman" w:eastAsia="Arial" w:hAnsi="Times New Roman" w:cs="Times New Roman"/>
        </w:rPr>
      </w:r>
    </w:p>
    <w:p w14:paraId="730D4F36"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lastRenderedPageBreak/>
        <w:t>The measurement case: why survey-linked EHR matters</w:t>
      </w:r>
    </w:p>
    <w:p w14:paraId="730D4F37" w14:textId="565BF496" w:rsidR="00841284" w:rsidRPr="000F6719" w:rsidRDefault="006E4F17" w:rsidP="00E3018C">
      <w:pPr>
        <w:spacing w:after="120" w:line="480" w:lineRule="auto"/>
        <w:rPr>
          <w:rFonts w:ascii="Times New Roman" w:hAnsi="Times New Roman" w:cs="Times New Roman"/>
        </w:rPr>
      </w:pPr>
      <w:r w:rsidRPr="000F6719">
        <w:rPr>
          <w:rFonts w:ascii="Times New Roman" w:eastAsia="Arial" w:hAnsi="Times New Roman" w:cs="Times New Roman"/>
        </w:rPr>
        <w:t>The All of Us survey enabled analysis of socioeconomic risk at a level of detail unavailable in routine structured EHR data. Patient surveys detect socioeconomic risk in 8-41% of patients, against 0-2% in EHR-coded fields.[15] Across 2.7 billion US healthcare encounters, SDoH Z-code documentation ranged from 0.5% to 2.4%,[44] and only 24.4% of US hospitals screened for all five common social needs in 2017-2018.[45] Two results depend directly on that difference. The below-GED education association attenuates from 1.35 to 1.13 once income and employment enter the same model, and the wave-specific race attenuation requires all six domains measured in the same participants within each wave. Neither is recoverable from social risk documented in fewer than 2% of encounters.</w:t>
      </w:r>
      <w:r w:rsidR="00D413D7" w:rsidRPr="000F6719">
        <w:rPr>
          <w:rFonts w:ascii="Times New Roman" w:eastAsia="Arial" w:hAnsi="Times New Roman" w:cs="Times New Roman"/>
        </w:rPr>
      </w:r>
      <w:r w:rsidRPr="000F6719">
        <w:rPr>
          <w:rFonts w:ascii="Times New Roman" w:eastAsia="Arial" w:hAnsi="Times New Roman" w:cs="Times New Roman"/>
        </w:rPr>
      </w:r>
      <w:r w:rsidR="00D413D7" w:rsidRPr="000F6719">
        <w:rPr>
          <w:rFonts w:ascii="Times New Roman" w:eastAsia="Arial" w:hAnsi="Times New Roman" w:cs="Times New Roman"/>
        </w:rPr>
      </w:r>
      <w:r w:rsidR="007A6135" w:rsidRPr="000F6719">
        <w:rPr>
          <w:rFonts w:ascii="Times New Roman" w:eastAsia="Arial" w:hAnsi="Times New Roman" w:cs="Times New Roman"/>
        </w:rPr>
      </w:r>
      <w:r w:rsidR="00D413D7" w:rsidRPr="000F6719">
        <w:rPr>
          <w:rFonts w:ascii="Times New Roman" w:eastAsia="Arial" w:hAnsi="Times New Roman" w:cs="Times New Roman"/>
        </w:rPr>
      </w:r>
      <w:r w:rsidR="004B1EB1" w:rsidRPr="000F6719">
        <w:rPr>
          <w:rFonts w:ascii="Times New Roman" w:eastAsia="Arial" w:hAnsi="Times New Roman" w:cs="Times New Roman"/>
        </w:rPr>
      </w:r>
      <w:r w:rsidR="00D413D7" w:rsidRPr="000F6719">
        <w:rPr>
          <w:rFonts w:ascii="Times New Roman" w:eastAsia="Arial" w:hAnsi="Times New Roman" w:cs="Times New Roman"/>
        </w:rPr>
      </w:r>
      <w:r w:rsidR="002352EB" w:rsidRPr="000F6719">
        <w:rPr>
          <w:rFonts w:ascii="Times New Roman" w:eastAsia="Arial" w:hAnsi="Times New Roman" w:cs="Times New Roman"/>
        </w:rPr>
      </w:r>
      <w:r w:rsidR="00D413D7" w:rsidRPr="000F6719">
        <w:rPr>
          <w:rFonts w:ascii="Times New Roman" w:eastAsia="Arial" w:hAnsi="Times New Roman" w:cs="Times New Roman"/>
        </w:rPr>
      </w:r>
      <w:r w:rsidR="00DB5A3C" w:rsidRPr="000F6719">
        <w:rPr>
          <w:rFonts w:ascii="Times New Roman" w:eastAsia="Arial" w:hAnsi="Times New Roman" w:cs="Times New Roman"/>
        </w:rPr>
      </w:r>
      <w:r w:rsidR="00D413D7" w:rsidRPr="000F6719">
        <w:rPr>
          <w:rFonts w:ascii="Times New Roman" w:eastAsia="Arial" w:hAnsi="Times New Roman" w:cs="Times New Roman"/>
        </w:rPr>
      </w:r>
      <w:r w:rsidR="005E36A1" w:rsidRPr="000F6719">
        <w:rPr>
          <w:rFonts w:ascii="Times New Roman" w:eastAsia="Arial" w:hAnsi="Times New Roman" w:cs="Times New Roman"/>
        </w:rPr>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noProof/>
        </w:rPr>
      </w:r>
      <w:r w:rsidR="00D413D7" w:rsidRPr="000F6719">
        <w:rPr>
          <w:rFonts w:ascii="Times New Roman" w:eastAsia="Arial" w:hAnsi="Times New Roman" w:cs="Times New Roman"/>
        </w:rPr>
      </w:r>
      <w:r w:rsidR="00D413D7" w:rsidRPr="000F6719">
        <w:rPr>
          <w:rFonts w:ascii="Times New Roman" w:eastAsia="Arial" w:hAnsi="Times New Roman" w:cs="Times New Roman"/>
        </w:rPr>
      </w:r>
      <w:proofErr w:type="spellStart"/>
      <w:r w:rsidR="00D413D7" w:rsidRPr="000F6719">
        <w:rPr>
          <w:rFonts w:ascii="Times New Roman" w:eastAsia="Arial" w:hAnsi="Times New Roman" w:cs="Times New Roman"/>
        </w:rPr>
      </w:r>
      <w:proofErr w:type="spellEnd"/>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noProof/>
        </w:rPr>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noProof/>
        </w:rPr>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403B03" w:rsidRPr="000F6719">
        <w:rPr>
          <w:rFonts w:ascii="Times New Roman" w:eastAsia="Arial" w:hAnsi="Times New Roman" w:cs="Times New Roman"/>
        </w:rPr>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noProof/>
        </w:rPr>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D84DAC" w:rsidRPr="000F6719">
        <w:rPr>
          <w:rFonts w:ascii="Times New Roman" w:eastAsia="Arial" w:hAnsi="Times New Roman" w:cs="Times New Roman"/>
        </w:rPr>
      </w:r>
      <w:r w:rsidR="00867117" w:rsidRPr="00867117">
        <w:rPr>
          <w:rFonts w:ascii="Times New Roman" w:eastAsia="Arial" w:hAnsi="Times New Roman" w:cs="Times New Roman"/>
        </w:rPr>
      </w:r>
      <w:r w:rsidR="000E75F0" w:rsidRPr="000E75F0">
        <w:rPr>
          <w:rFonts w:ascii="Times New Roman" w:eastAsia="Arial" w:hAnsi="Times New Roman" w:cs="Times New Roman"/>
        </w:rPr>
      </w:r>
      <w:r w:rsidR="000E75F0">
        <w:rPr>
          <w:rFonts w:ascii="Times New Roman" w:eastAsia="Arial" w:hAnsi="Times New Roman" w:cs="Times New Roman" w:hint="eastAsia"/>
        </w:rPr>
      </w:r>
      <w:r w:rsidR="00867117" w:rsidRPr="00867117">
        <w:rPr>
          <w:rFonts w:ascii="Times New Roman" w:eastAsia="Arial" w:hAnsi="Times New Roman" w:cs="Times New Roman"/>
        </w:rPr>
      </w:r>
    </w:p>
    <w:p w14:paraId="730D4F38" w14:textId="71E04481" w:rsidR="00841284" w:rsidRPr="000F6719" w:rsidRDefault="000A696E" w:rsidP="00E3018C">
      <w:pPr>
        <w:pStyle w:val="Heading2"/>
        <w:spacing w:line="480" w:lineRule="auto"/>
        <w:rPr>
          <w:rFonts w:ascii="Times New Roman" w:hAnsi="Times New Roman" w:cs="Times New Roman"/>
        </w:rPr>
      </w:pPr>
      <w:r w:rsidRPr="000F6719">
        <w:rPr>
          <w:rFonts w:ascii="Times New Roman" w:hAnsi="Times New Roman" w:cs="Times New Roman"/>
        </w:rPr>
        <w:t>Cross-cohort comparison</w:t>
      </w:r>
    </w:p>
    <w:p w14:paraId="730D4F39" w14:textId="6C08ACCE" w:rsidR="00841284" w:rsidRPr="000F6719" w:rsidRDefault="007C163B" w:rsidP="00E3018C">
      <w:pPr>
        <w:spacing w:after="120" w:line="480" w:lineRule="auto"/>
        <w:rPr>
          <w:rFonts w:ascii="Times New Roman" w:hAnsi="Times New Roman" w:cs="Times New Roman"/>
        </w:rPr>
      </w:pPr>
      <w:r w:rsidRPr="000F6719">
        <w:rPr>
          <w:rFonts w:ascii="Times New Roman" w:eastAsia="Arial" w:hAnsi="Times New Roman" w:cs="Times New Roman"/>
        </w:rPr>
        <w:t>The MarketScan analysis is a descriptive cross-cohort comparison of clinical and demographic covariates, not external validation of the SDoH findings; formal transportability assumptions were not evaluated.[32] Sex and vaccination effects were directionally concordant, and renal and cardiac risk factors replicated in direction with larger effect sizes, likely reflecting cohort composition and the encounter-density matching strategy. Evaluating SDoH associations across populations requires individual-level social measures, which commercial claims do not provide.</w:t>
      </w:r>
      <w:r w:rsidR="00D413D7"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rPr>
      </w:r>
      <w:r w:rsidR="00D413D7" w:rsidRPr="000F6719">
        <w:rPr>
          <w:rFonts w:ascii="Times New Roman" w:eastAsia="Arial" w:hAnsi="Times New Roman" w:cs="Times New Roman"/>
        </w:rPr>
      </w:r>
      <w:r w:rsidR="009A7915" w:rsidRPr="000F6719">
        <w:rPr>
          <w:rFonts w:ascii="Times New Roman" w:eastAsia="Arial" w:hAnsi="Times New Roman" w:cs="Times New Roman"/>
          <w:noProof/>
          <w:vertAlign w:val="superscript"/>
        </w:rPr>
      </w:r>
      <w:r w:rsidR="00D413D7" w:rsidRPr="000F6719">
        <w:rPr>
          <w:rFonts w:ascii="Times New Roman" w:eastAsia="Arial" w:hAnsi="Times New Roman" w:cs="Times New Roman"/>
        </w:rPr>
      </w:r>
      <w:r w:rsidR="00D413D7" w:rsidRPr="000F6719">
        <w:rPr>
          <w:rFonts w:ascii="Times New Roman" w:eastAsia="Arial" w:hAnsi="Times New Roman" w:cs="Times New Roman"/>
        </w:rPr>
      </w:r>
      <w:proofErr w:type="spellStart"/>
      <w:r w:rsidR="00D413D7" w:rsidRPr="000F6719">
        <w:rPr>
          <w:rFonts w:ascii="Times New Roman" w:eastAsia="Arial" w:hAnsi="Times New Roman" w:cs="Times New Roman"/>
        </w:rPr>
      </w:r>
      <w:proofErr w:type="spellEnd"/>
      <w:r w:rsidR="00D413D7" w:rsidRPr="000F6719">
        <w:rPr>
          <w:rFonts w:ascii="Times New Roman" w:eastAsia="Arial" w:hAnsi="Times New Roman" w:cs="Times New Roman"/>
        </w:rPr>
      </w:r>
      <w:proofErr w:type="spellStart"/>
      <w:r w:rsidR="00D413D7" w:rsidRPr="000F6719">
        <w:rPr>
          <w:rFonts w:ascii="Times New Roman" w:eastAsia="Arial" w:hAnsi="Times New Roman" w:cs="Times New Roman"/>
        </w:rPr>
      </w:r>
      <w:proofErr w:type="spellEnd"/>
      <w:r w:rsidR="00D413D7" w:rsidRPr="000F6719">
        <w:rPr>
          <w:rFonts w:ascii="Times New Roman" w:eastAsia="Arial" w:hAnsi="Times New Roman" w:cs="Times New Roman"/>
        </w:rPr>
      </w:r>
    </w:p>
    <w:p w14:paraId="730D4F3A"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Strengths</w:t>
      </w:r>
    </w:p>
    <w:p w14:paraId="730D4F3B" w14:textId="23A98EB5"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This study combines six survey-derived individual-level domains, a propensity-matched encounter-density design, and both domain-specific and joint models in a cohort enriched for underrepresented populations.[19, 20] Wave-stratified analyses show that income associations persisted while the racial association narrowed.</w:t>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p>
    <w:p w14:paraId="730D4F3C" w14:textId="77777777" w:rsidR="00841284" w:rsidRPr="000F6719" w:rsidRDefault="00D413D7" w:rsidP="00E3018C">
      <w:pPr>
        <w:pStyle w:val="Heading2"/>
        <w:spacing w:line="480" w:lineRule="auto"/>
        <w:rPr>
          <w:rFonts w:ascii="Times New Roman" w:hAnsi="Times New Roman" w:cs="Times New Roman"/>
        </w:rPr>
      </w:pPr>
      <w:r w:rsidRPr="000F6719">
        <w:rPr>
          <w:rFonts w:ascii="Times New Roman" w:hAnsi="Times New Roman" w:cs="Times New Roman"/>
        </w:rPr>
        <w:t>Limitations</w:t>
      </w:r>
    </w:p>
    <w:p w14:paraId="730D4F3D" w14:textId="1B1F1C12"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All of Us is a volunteer cohort with higher health literacy and digital access than the general population,[46] and it oversampled populations underrepresented in biomedical research, which strengthens power for minority subgroup analyses but limits generalizability. The disability domain was least complete because the ACS-6 items were added to the survey on November 10, 2020, so earlier respondents have no response unless they later completed them. Vaccination capture was incomplete and many index dates preceded vaccine availability. SDoH were measured a median of 692 days before infection, so pandemic-era changes in income or employment are not captured, and income missingness was differential (26.7% of cases vs 19.8% of controls) with the missing category itself carrying elevated odds. Our hospitalization rate (16.2%) exceeds the 2.6% Choi et al. report in the same data source; they restricted to primary inpatient encounters in 2021-2023, so most of the gap reflects the outcome definition rather than the cohort. Matching on encounter density reduces but may not eliminate informative presence bias,[17] the inverse pulmonary and liver associations likely reflect residual confounding rather than protection, and the strict phenotype may not fully separate COVID-related admissions from admissions with incidental positivity. Because diagnosis count may lie on the SDoH-to-hospitalization causal pathway, our estimates are conservative within-stratum associations rather than total causal effects. The Omicron joint model returned a convergence warning for one covariate, although the Black-race coefficient was stable across restarts. Because matching used replacement, the effective control sample size (6,952) is smaller than the 15,856 control observations, so nominal precision overstates the information available.</w:t>
      </w:r>
      <w:r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005C48C4" w:rsidRPr="000F6719">
        <w:rPr>
          <w:rFonts w:ascii="Times New Roman" w:eastAsia="Arial" w:hAnsi="Times New Roman" w:cs="Times New Roman"/>
        </w:rPr>
      </w:r>
      <w:r w:rsidR="00B53896" w:rsidRPr="000F6719">
        <w:rPr>
          <w:rFonts w:ascii="Times New Roman" w:eastAsia="Arial" w:hAnsi="Times New Roman" w:cs="Times New Roman"/>
        </w:rPr>
      </w:r>
      <w:r w:rsidR="00DD5758" w:rsidRPr="000F6719">
        <w:rPr>
          <w:rFonts w:ascii="Times New Roman" w:eastAsia="Arial" w:hAnsi="Times New Roman" w:cs="Times New Roman"/>
        </w:rPr>
      </w:r>
      <w:r w:rsidR="00FF2D68" w:rsidRPr="000F6719">
        <w:rPr>
          <w:rFonts w:ascii="Times New Roman" w:eastAsia="Arial" w:hAnsi="Times New Roman" w:cs="Times New Roman"/>
        </w:rPr>
      </w:r>
      <w:r w:rsidR="00B36011"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C363DA" w:rsidRPr="000F6719">
        <w:rPr>
          <w:rFonts w:ascii="Times New Roman" w:eastAsia="Arial" w:hAnsi="Times New Roman" w:cs="Times New Roman"/>
        </w:rPr>
      </w:r>
      <w:r w:rsidRPr="000F6719">
        <w:rPr>
          <w:rFonts w:ascii="Times New Roman" w:eastAsia="Arial" w:hAnsi="Times New Roman" w:cs="Times New Roman"/>
        </w:rPr>
      </w:r>
      <w:r w:rsidR="00367B43" w:rsidRPr="000F6719">
        <w:rPr>
          <w:rFonts w:ascii="Times New Roman" w:eastAsia="Arial" w:hAnsi="Times New Roman" w:cs="Times New Roman"/>
        </w:rPr>
      </w:r>
      <w:r w:rsidR="00367B43" w:rsidRPr="000F6719" w:rsidDel="00367B43">
        <w:rPr>
          <w:rFonts w:ascii="Times New Roman" w:eastAsia="Arial" w:hAnsi="Times New Roman" w:cs="Times New Roman"/>
        </w:rPr>
      </w:r>
      <w:r w:rsidRPr="000F6719">
        <w:rPr>
          <w:rFonts w:ascii="Times New Roman" w:eastAsia="Arial" w:hAnsi="Times New Roman" w:cs="Times New Roman"/>
        </w:rPr>
      </w:r>
      <w:r w:rsidR="00E12C11"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008607DE" w:rsidRPr="000F6719">
        <w:rPr>
          <w:rFonts w:ascii="Times New Roman" w:eastAsia="Arial" w:hAnsi="Times New Roman" w:cs="Times New Roman"/>
        </w:rPr>
      </w:r>
      <w:proofErr w:type="spellStart"/>
      <w:r w:rsidR="008607DE" w:rsidRPr="000F6719">
        <w:rPr>
          <w:rFonts w:ascii="Times New Roman" w:eastAsia="Arial" w:hAnsi="Times New Roman" w:cs="Times New Roman"/>
        </w:rPr>
      </w:r>
      <w:proofErr w:type="spellEnd"/>
      <w:r w:rsidR="008607DE" w:rsidRPr="000F6719">
        <w:rPr>
          <w:rFonts w:ascii="Times New Roman" w:eastAsia="Arial" w:hAnsi="Times New Roman" w:cs="Times New Roman"/>
        </w:rPr>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eastAsia="Arial" w:hAnsi="Times New Roman" w:cs="Times New Roman"/>
          <w:noProof/>
        </w:rPr>
      </w:r>
      <w:r w:rsidRPr="000F6719">
        <w:rPr>
          <w:rFonts w:ascii="Times New Roman" w:eastAsia="Arial" w:hAnsi="Times New Roman" w:cs="Times New Roman"/>
        </w:rPr>
      </w:r>
      <w:r w:rsidRPr="000F6719">
        <w:rPr>
          <w:rFonts w:ascii="Times New Roman" w:eastAsia="Arial" w:hAnsi="Times New Roman" w:cs="Times New Roman"/>
        </w:rPr>
      </w:r>
      <w:r w:rsidR="008607DE" w:rsidRPr="000F6719">
        <w:rPr>
          <w:rFonts w:ascii="Times New Roman" w:eastAsia="Arial" w:hAnsi="Times New Roman" w:cs="Times New Roman"/>
        </w:rPr>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
    <w:p w14:paraId="730D4F3E" w14:textId="77777777" w:rsidR="00841284" w:rsidRPr="000F6719" w:rsidRDefault="00841284" w:rsidP="00E3018C">
      <w:pPr>
        <w:spacing w:line="480" w:lineRule="auto"/>
        <w:rPr>
          <w:rFonts w:ascii="Times New Roman" w:hAnsi="Times New Roman" w:cs="Times New Roman"/>
        </w:rPr>
      </w:pPr>
    </w:p>
    <w:p w14:paraId="730D4F3F"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CONCLUSIONS</w:t>
      </w:r>
    </w:p>
    <w:p w14:paraId="730D4F40" w14:textId="18F01D61"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In this matched All of Us cohort, Medicaid coverage, unemployment, renting, and the two lowest income strata were independently associated with COVID-19 hospitalization after clinical adjustment; two upper-middle income strata were also elevated, so the income association was not monotonic. The Black-race association narrowed by the Omicron period while SDoH-associated coefficient attenuation rose between the pre-Delta and Delta waves, although the waves were not compared formally. Income associations persisted through Omicron despite available vaccines. Interpretation of these associations depends on survey timing and on overlap among the social domains.</w:t>
      </w:r>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p>
    <w:p w14:paraId="730D4F41" w14:textId="77777777" w:rsidR="00841284" w:rsidRPr="000F6719" w:rsidRDefault="00841284" w:rsidP="00E3018C">
      <w:pPr>
        <w:spacing w:line="480" w:lineRule="auto"/>
        <w:rPr>
          <w:rFonts w:ascii="Times New Roman" w:hAnsi="Times New Roman" w:cs="Times New Roman"/>
        </w:rPr>
      </w:pPr>
    </w:p>
    <w:p w14:paraId="730D4F42"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ACKNOWLEDGMENTS</w:t>
      </w:r>
    </w:p>
    <w:p w14:paraId="730D4F43"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The All of Us Research Program was supported by the National Institutes of Health, Office of the Director: Regional Medical Centers: 1 OT2 OD026549; 1 OT2 OD026554; 1 OT2 OD026557; 1 OT2 OD026556; 1 OT2 OD026550; 1 OT2 OD026552; 1 OT2 OD026553; 1 OT2 OD026548; 1 OT2 OD026551; 1 OT2 OD026555; IAA #: AOD 16037; Federally Qualified Health Centers: HHSN 263201600085U; Data and Research Center: 5 U2C OD023196; Biobank: 1 U24 OD023121; The Participant Center: U24 OD023176; Participant Technology Systems Center: 1 U24 OD023163; Communications and Engagement: 3 OT2 OD023205; 3 OT2 OD023206; and Community Partners: 1 OT2 OD025277; 3 OT2 OD025315; 1 OT2 OD025337; 1 OT2 OD025276. The All of Us Research Program would not be possible without the partnership of its participants.</w:t>
      </w:r>
    </w:p>
    <w:p w14:paraId="730D4F44" w14:textId="77777777" w:rsidR="00841284" w:rsidRPr="000F6719" w:rsidRDefault="00841284" w:rsidP="00E3018C">
      <w:pPr>
        <w:spacing w:line="480" w:lineRule="auto"/>
        <w:rPr>
          <w:rFonts w:ascii="Times New Roman" w:hAnsi="Times New Roman" w:cs="Times New Roman"/>
        </w:rPr>
      </w:pPr>
    </w:p>
    <w:p w14:paraId="730D4F45"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AUTHOR CONTRIBUTIONS</w:t>
      </w:r>
    </w:p>
    <w:p w14:paraId="730D4F46"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 xml:space="preserve">Haining Wang: conceptualization, methodology, formal analysis, investigation, data curation, software, validation, visualization, writing – original draft, writing – review and editing. Yihan Zhang: data curation, writing – review and editing. Chenxi Xiong: data curation, writing – review and editing. Zhao Zhang: writing – review and editing. </w:t>
      </w:r>
      <w:proofErr w:type="spellStart"/>
      <w:r w:rsidRPr="000F6719">
        <w:rPr>
          <w:rFonts w:ascii="Times New Roman" w:eastAsia="Arial" w:hAnsi="Times New Roman" w:cs="Times New Roman"/>
        </w:rPr>
        <w:t>Jiangqiong</w:t>
      </w:r>
      <w:proofErr w:type="spellEnd"/>
      <w:r w:rsidRPr="000F6719">
        <w:rPr>
          <w:rFonts w:ascii="Times New Roman" w:eastAsia="Arial" w:hAnsi="Times New Roman" w:cs="Times New Roman"/>
        </w:rPr>
        <w:t xml:space="preserve"> Li: writing – review and editing. Hengyi Fu: conceptualization, writing – review and editing. Xiaojun Yuan: conceptualization, writing – review and editing. </w:t>
      </w:r>
      <w:proofErr w:type="spellStart"/>
      <w:r w:rsidRPr="000F6719">
        <w:rPr>
          <w:rFonts w:ascii="Times New Roman" w:eastAsia="Arial" w:hAnsi="Times New Roman" w:cs="Times New Roman"/>
        </w:rPr>
        <w:t>Xiaochun</w:t>
      </w:r>
      <w:proofErr w:type="spellEnd"/>
      <w:r w:rsidRPr="000F6719">
        <w:rPr>
          <w:rFonts w:ascii="Times New Roman" w:eastAsia="Arial" w:hAnsi="Times New Roman" w:cs="Times New Roman"/>
        </w:rPr>
        <w:t xml:space="preserve"> Li: methodology, writing – review and editing. Jing Su: conceptualization, methodology, supervision, funding acquisition, validation, writing – review and editing.</w:t>
      </w:r>
    </w:p>
    <w:p w14:paraId="730D4F47" w14:textId="77777777" w:rsidR="00841284" w:rsidRPr="000F6719" w:rsidRDefault="00841284" w:rsidP="00E3018C">
      <w:pPr>
        <w:spacing w:line="480" w:lineRule="auto"/>
        <w:rPr>
          <w:rFonts w:ascii="Times New Roman" w:hAnsi="Times New Roman" w:cs="Times New Roman"/>
        </w:rPr>
      </w:pPr>
    </w:p>
    <w:p w14:paraId="730D4F48"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FUNDING</w:t>
      </w:r>
    </w:p>
    <w:p w14:paraId="730D4F49"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This work was supported partially by the National Library of Medicine of the National Institutes of Health (R01LM013771). It was also supported by the Indiana University Precision Health Initiative and the Indiana University Melvin and Bren Simon Comprehensive Cancer Center Support Grant from the National Cancer Institute (P30CA082709). The content is solely the responsibility of the authors and does not necessarily represent the official views of the sponsors.</w:t>
      </w:r>
    </w:p>
    <w:p w14:paraId="730D4F4A" w14:textId="77777777" w:rsidR="00841284" w:rsidRPr="000F6719" w:rsidRDefault="00841284" w:rsidP="00E3018C">
      <w:pPr>
        <w:spacing w:line="480" w:lineRule="auto"/>
        <w:rPr>
          <w:rFonts w:ascii="Times New Roman" w:hAnsi="Times New Roman" w:cs="Times New Roman"/>
        </w:rPr>
      </w:pPr>
    </w:p>
    <w:p w14:paraId="730D4F4B"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CONFLICTS OF INTEREST</w:t>
      </w:r>
    </w:p>
    <w:p w14:paraId="730D4F4C" w14:textId="77777777"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rPr>
        <w:t>The authors have no conflict of interest to disclose.</w:t>
      </w:r>
    </w:p>
    <w:p w14:paraId="730D4F4D" w14:textId="77777777" w:rsidR="00841284" w:rsidRPr="000F6719" w:rsidRDefault="00841284" w:rsidP="00E3018C">
      <w:pPr>
        <w:spacing w:line="480" w:lineRule="auto"/>
        <w:rPr>
          <w:rFonts w:ascii="Times New Roman" w:hAnsi="Times New Roman" w:cs="Times New Roman"/>
        </w:rPr>
      </w:pPr>
    </w:p>
    <w:p w14:paraId="730D4F4B"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ETHICS AND DATA USE</w:t>
      </w:r>
    </w:p>
    <w:p w14:paraId="730D4F4F" w14:textId="45F69CA3" w:rsidR="00841284" w:rsidRPr="000F6719" w:rsidRDefault="00D413D7"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The All of Us Research Program holds Institutional Review Board approval for its protocol, and all participants gave written informed consent for the collection and sharing of their data. This analysis used de-identified Controlled Tier data (Curated Data Repository version 7) inside the All of Us Researcher Workbench. Every author who accessed the data holds current Controlled Tier authorization and completed the required training, and the work was done in a registered workspace under the All of Us Data Use and Registration Agreement and the Data User Code of Conduct. MarketScan data were analyzed in de-identified form under licence from Merative.</w:t>
      </w:r>
      <w:proofErr w:type="spellStart"/>
      <w:r w:rsidRPr="000F6719">
        <w:rPr>
          <w:rFonts w:ascii="Times New Roman" w:eastAsia="Arial" w:hAnsi="Times New Roman" w:cs="Times New Roman"/>
        </w:rPr>
      </w:r>
      <w:proofErr w:type="spellEnd"/>
      <w:r w:rsidRPr="000F6719">
        <w:rPr>
          <w:rFonts w:ascii="Times New Roman" w:eastAsia="Arial" w:hAnsi="Times New Roman" w:cs="Times New Roman"/>
        </w:rPr>
      </w:r>
      <w:r w:rsidRPr="000F6719">
        <w:rPr>
          <w:rFonts w:ascii="Times New Roman" w:eastAsia="Arial" w:hAnsi="Times New Roman" w:cs="Times New Roman"/>
        </w:rPr>
      </w:r>
    </w:p>
    <w:p w14:paraId="730D4F4E" w14:textId="77777777" w:rsidR="00841284" w:rsidRPr="000F6719" w:rsidRDefault="00D413D7" w:rsidP="00E3018C">
      <w:pPr>
        <w:pStyle w:val="Heading1"/>
        <w:spacing w:line="480" w:lineRule="auto"/>
        <w:rPr>
          <w:rFonts w:ascii="Times New Roman" w:hAnsi="Times New Roman" w:cs="Times New Roman"/>
        </w:rPr>
      </w:pPr>
      <w:r w:rsidRPr="000F6719">
        <w:rPr>
          <w:rFonts w:ascii="Times New Roman" w:hAnsi="Times New Roman" w:cs="Times New Roman"/>
        </w:rPr>
        <w:t>DATA AVAILABILITY</w:t>
      </w:r>
    </w:p>
    <w:p w14:paraId="730D4F4F" w14:textId="45F69CA3" w:rsidR="00841284" w:rsidRPr="000F6719" w:rsidRDefault="00D413D7"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t xml:space="preserve">All data and codes are available at All of Us Research Workbench for users authorized to access All of Us Controlled Tier Data v7. MarketScan data are available under license from </w:t>
      </w:r>
      <w:proofErr w:type="spellStart"/>
      <w:r w:rsidRPr="000F6719">
        <w:rPr>
          <w:rFonts w:ascii="Times New Roman" w:eastAsia="Arial" w:hAnsi="Times New Roman" w:cs="Times New Roman"/>
        </w:rPr>
        <w:t>Merative</w:t>
      </w:r>
      <w:proofErr w:type="spellEnd"/>
      <w:r w:rsidRPr="000F6719">
        <w:rPr>
          <w:rFonts w:ascii="Times New Roman" w:eastAsia="Arial" w:hAnsi="Times New Roman" w:cs="Times New Roman"/>
        </w:rPr>
        <w:t xml:space="preserve">. Codes for reproducing the analysis are available at </w:t>
      </w:r>
      <w:hyperlink r:id="rId13" w:history="1">
        <w:r w:rsidRPr="000F6719">
          <w:rPr>
            <w:rStyle w:val="Hyperlink"/>
            <w:rFonts w:ascii="Times New Roman" w:eastAsia="Arial" w:hAnsi="Times New Roman" w:cs="Times New Roman"/>
          </w:rPr>
          <w:t>https://github.com/Su-informatics-lab/aou_covid</w:t>
        </w:r>
      </w:hyperlink>
      <w:r w:rsidRPr="000F6719">
        <w:rPr>
          <w:rFonts w:ascii="Times New Roman" w:eastAsia="Arial" w:hAnsi="Times New Roman" w:cs="Times New Roman"/>
        </w:rPr>
        <w:t>.</w:t>
      </w:r>
    </w:p>
    <w:p w14:paraId="53839B95" w14:textId="44E131A1" w:rsidR="00C4769D" w:rsidRPr="000F6719" w:rsidRDefault="00C4769D" w:rsidP="00E3018C">
      <w:pPr>
        <w:spacing w:after="120" w:line="480" w:lineRule="auto"/>
        <w:rPr>
          <w:rFonts w:ascii="Times New Roman" w:hAnsi="Times New Roman" w:cs="Times New Roman"/>
        </w:rPr>
      </w:pPr>
    </w:p>
    <w:p w14:paraId="0E39C04A" w14:textId="77777777" w:rsidR="00C4769D" w:rsidRPr="000F6719" w:rsidRDefault="00C4769D" w:rsidP="00E3018C">
      <w:pPr>
        <w:spacing w:line="480" w:lineRule="auto"/>
        <w:rPr>
          <w:rFonts w:ascii="Times New Roman" w:hAnsi="Times New Roman" w:cs="Times New Roman"/>
        </w:rPr>
      </w:pPr>
      <w:r w:rsidRPr="000F6719">
        <w:rPr>
          <w:rFonts w:ascii="Times New Roman" w:hAnsi="Times New Roman" w:cs="Times New Roman"/>
        </w:rPr>
        <w:br w:type="page"/>
      </w:r>
    </w:p>
    <w:p w14:paraId="2834D353" w14:textId="77777777" w:rsidR="00C4769D" w:rsidRPr="000F6719" w:rsidRDefault="00C4769D" w:rsidP="00E3018C">
      <w:pPr>
        <w:pStyle w:val="Heading1"/>
        <w:spacing w:line="480" w:lineRule="auto"/>
        <w:rPr>
          <w:rFonts w:ascii="Times New Roman" w:hAnsi="Times New Roman" w:cs="Times New Roman"/>
        </w:rPr>
      </w:pPr>
      <w:r w:rsidRPr="000F6719">
        <w:rPr>
          <w:rFonts w:ascii="Times New Roman" w:hAnsi="Times New Roman" w:cs="Times New Roman"/>
        </w:rPr>
        <w:lastRenderedPageBreak/>
        <w:t>REFERENCES</w:t>
      </w:r>
    </w:p>
    <w:p w14:paraId="5B77304C" w14:textId="77777777" w:rsidR="009A7915" w:rsidRPr="000F6719" w:rsidRDefault="00D6314F" w:rsidP="009A7915">
      <w:pPr>
        <w:pStyle w:val="EndNoteBibliography"/>
        <w:spacing w:line="480" w:lineRule="auto"/>
        <w:ind w:left="720" w:hanging="720"/>
        <w:rPr>
          <w:rFonts w:ascii="Times New Roman" w:hAnsi="Times New Roman" w:cs="Times New Roman"/>
          <w:noProof/>
        </w:rPr>
      </w:pPr>
      <w:r w:rsidRPr="000F6719">
        <w:rPr>
          <w:rFonts w:ascii="Times New Roman" w:eastAsia="Arial" w:hAnsi="Times New Roman" w:cs="Times New Roman"/>
        </w:rPr>
        <w:t>1. World Health Organization. Social determinants of health: progress of the World report on social determinants of health equity. Report by the Director-General. Document EB154/21. Geneva: World Health Organization, 2023.</w:t>
      </w:r>
      <w:r w:rsidRPr="000F6719">
        <w:rPr>
          <w:rFonts w:ascii="Times New Roman" w:eastAsia="Arial" w:hAnsi="Times New Roman" w:cs="Times New Roman"/>
        </w:rPr>
      </w:r>
      <w:r w:rsidRPr="000F6719">
        <w:rPr>
          <w:rFonts w:ascii="Times New Roman" w:eastAsia="Arial" w:hAnsi="Times New Roman" w:cs="Times New Roman"/>
        </w:rPr>
      </w:r>
      <w:r w:rsidR="009A7915" w:rsidRPr="000F6719">
        <w:rPr>
          <w:rFonts w:ascii="Times New Roman" w:hAnsi="Times New Roman" w:cs="Times New Roman"/>
          <w:noProof/>
        </w:rPr>
      </w:r>
    </w:p>
    <w:p w14:paraId="057F631A"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 Global Preparedness Monitoring Board. A Fragile State of Preparedness: 2023 Report on the State of the World's Preparedness. Geneva: World Health Organization, 2023.</w:t>
      </w:r>
    </w:p>
    <w:p w14:paraId="3294DBBF"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 Hoven H, Dragano N, Angerer P, et al. Striving for Health Equity: The Importance of Social Determinants of Health and Ethical Considerations in Pandemic Preparedness Planning. Int J Public Health 2022;</w:t>
      </w:r>
      <w:r w:rsidRPr="000F6719">
        <w:rPr>
          <w:rFonts w:ascii="Times New Roman" w:hAnsi="Times New Roman" w:cs="Times New Roman"/>
          <w:b/>
          <w:noProof/>
        </w:rPr>
        <w:t>67</w:t>
      </w:r>
      <w:r w:rsidRPr="000F6719">
        <w:rPr>
          <w:rFonts w:ascii="Times New Roman" w:hAnsi="Times New Roman" w:cs="Times New Roman"/>
          <w:noProof/>
        </w:rPr>
        <w:t>:1604542 doi: 10.3389/ijph.2022.1604542 [published Online First: 20220405].</w:t>
      </w:r>
    </w:p>
    <w:p w14:paraId="1E0BB896"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 Acosta AM, Garg S, Pham H, et al. Racial and Ethnic Disparities in Rates of COVID-19-Associated Hospitalization, Intensive Care Unit Admission, and In-Hospital Death in the United States From March 2020 to February 2021. JAMA Netw Open 2021;</w:t>
      </w:r>
      <w:r w:rsidRPr="000F6719">
        <w:rPr>
          <w:rFonts w:ascii="Times New Roman" w:hAnsi="Times New Roman" w:cs="Times New Roman"/>
          <w:b/>
          <w:noProof/>
        </w:rPr>
        <w:t>4</w:t>
      </w:r>
      <w:r w:rsidRPr="000F6719">
        <w:rPr>
          <w:rFonts w:ascii="Times New Roman" w:hAnsi="Times New Roman" w:cs="Times New Roman"/>
          <w:noProof/>
        </w:rPr>
        <w:t>(10):e2130479 doi: 10.1001/jamanetworkopen.2021.30479 [published Online First: 20211001].</w:t>
      </w:r>
    </w:p>
    <w:p w14:paraId="7F4B947F"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5. Romano SD, Blackstock AJ, Taylor EV, et al. Trends in Racial and Ethnic Disparities in COVID-19 Hospitalizations, by Region - United States, March-December 2020. MMWR Morb Mortal Wkly Rep 2021;</w:t>
      </w:r>
      <w:r w:rsidRPr="000F6719">
        <w:rPr>
          <w:rFonts w:ascii="Times New Roman" w:hAnsi="Times New Roman" w:cs="Times New Roman"/>
          <w:b/>
          <w:noProof/>
        </w:rPr>
        <w:t>70</w:t>
      </w:r>
      <w:r w:rsidRPr="000F6719">
        <w:rPr>
          <w:rFonts w:ascii="Times New Roman" w:hAnsi="Times New Roman" w:cs="Times New Roman"/>
          <w:noProof/>
        </w:rPr>
        <w:t>(15):560–65 doi: 10.15585/mmwr.mm7015e2 [published Online First: 20210416].</w:t>
      </w:r>
    </w:p>
    <w:p w14:paraId="77B21A72"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6. Mude W, Oguoma VM, Nyanhanda T, et al. Racial disparities in COVID-19 pandemic cases, hospitalisations, and deaths: A systematic review and meta-analysis. J Glob Health 2021;11:05015 doi: 10.7189/jogh.11.05015 [published Online First: 20210626].</w:t>
      </w:r>
      <w:r w:rsidRPr="000F6719">
        <w:rPr>
          <w:rFonts w:ascii="Times New Roman" w:hAnsi="Times New Roman" w:cs="Times New Roman"/>
          <w:b/>
          <w:noProof/>
        </w:rPr>
      </w:r>
      <w:r w:rsidRPr="000F6719">
        <w:rPr>
          <w:rFonts w:ascii="Times New Roman" w:hAnsi="Times New Roman" w:cs="Times New Roman"/>
          <w:noProof/>
        </w:rPr>
      </w:r>
    </w:p>
    <w:p w14:paraId="647E14CB"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7. Karmakar M, Lantz PM, Tipirneni R. Association of Social and Demographic Factors With COVID-19 Incidence and Death Rates in the US. JAMA Netw Open 2021;</w:t>
      </w:r>
      <w:r w:rsidRPr="000F6719">
        <w:rPr>
          <w:rFonts w:ascii="Times New Roman" w:hAnsi="Times New Roman" w:cs="Times New Roman"/>
          <w:b/>
          <w:noProof/>
        </w:rPr>
        <w:t>4</w:t>
      </w:r>
      <w:r w:rsidRPr="000F6719">
        <w:rPr>
          <w:rFonts w:ascii="Times New Roman" w:hAnsi="Times New Roman" w:cs="Times New Roman"/>
          <w:noProof/>
        </w:rPr>
        <w:t>(1):e2036462 doi: 10.1001/jamanetworkopen.2020.36462 [published Online First: 20210104].</w:t>
      </w:r>
    </w:p>
    <w:p w14:paraId="340EA7A3"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8. Goyal P, Schenck E, Wu Y, et al. Influence of social deprivation index on in-hospital outcomes of COVID-19. Sci Rep 2023;</w:t>
      </w:r>
      <w:r w:rsidRPr="000F6719">
        <w:rPr>
          <w:rFonts w:ascii="Times New Roman" w:hAnsi="Times New Roman" w:cs="Times New Roman"/>
          <w:b/>
          <w:noProof/>
        </w:rPr>
        <w:t>13</w:t>
      </w:r>
      <w:r w:rsidRPr="000F6719">
        <w:rPr>
          <w:rFonts w:ascii="Times New Roman" w:hAnsi="Times New Roman" w:cs="Times New Roman"/>
          <w:noProof/>
        </w:rPr>
        <w:t>(1):1746 doi: 10.1038/s41598-023-28362-0 [published Online First: 20230131].</w:t>
      </w:r>
    </w:p>
    <w:p w14:paraId="075E98A8"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9. Brown EM, Franklin SM, Ryan JL, et al. Assessing Area-Level Deprivation as a Proxy for Individual-Level Social Risks. Am J Prev Med 2023;</w:t>
      </w:r>
      <w:r w:rsidRPr="000F6719">
        <w:rPr>
          <w:rFonts w:ascii="Times New Roman" w:hAnsi="Times New Roman" w:cs="Times New Roman"/>
          <w:b/>
          <w:noProof/>
        </w:rPr>
        <w:t>65</w:t>
      </w:r>
      <w:r w:rsidRPr="000F6719">
        <w:rPr>
          <w:rFonts w:ascii="Times New Roman" w:hAnsi="Times New Roman" w:cs="Times New Roman"/>
          <w:noProof/>
        </w:rPr>
        <w:t>(6):1163–71 doi: 10.1016/j.amepre.2023.06.006 [published Online First: 20230610].</w:t>
      </w:r>
    </w:p>
    <w:p w14:paraId="2ED14BE4"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10. Bensken WP, McGrath BM, Gold R, et al. Area-level social determinants of health and individual-level social risks: Assessing predictive ability and biases in social risk screening. J Clin Transl Sci 2023;7(1):e257 doi: 10.1017/cts.2023.680 [published Online First: 20231110].</w:t>
      </w:r>
      <w:r w:rsidRPr="000F6719">
        <w:rPr>
          <w:rFonts w:ascii="Times New Roman" w:hAnsi="Times New Roman" w:cs="Times New Roman"/>
          <w:b/>
          <w:noProof/>
        </w:rPr>
      </w:r>
      <w:r w:rsidRPr="000F6719">
        <w:rPr>
          <w:rFonts w:ascii="Times New Roman" w:hAnsi="Times New Roman" w:cs="Times New Roman"/>
          <w:noProof/>
        </w:rPr>
      </w:r>
    </w:p>
    <w:p w14:paraId="14B5E2C4"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11. Choi A, Craver A, Luo J, et al. Socioeconomic status and risk of COVID-19 hospitalization in the All of Us Research Program. Front Public Health 2025;13:1690430 doi: 10.3389/fpubh.2025.1690430 [published Online First: 20251210].</w:t>
      </w:r>
      <w:r w:rsidRPr="000F6719">
        <w:rPr>
          <w:rFonts w:ascii="Times New Roman" w:hAnsi="Times New Roman" w:cs="Times New Roman"/>
          <w:b/>
          <w:noProof/>
        </w:rPr>
      </w:r>
      <w:r w:rsidRPr="000F6719">
        <w:rPr>
          <w:rFonts w:ascii="Times New Roman" w:hAnsi="Times New Roman" w:cs="Times New Roman"/>
          <w:noProof/>
        </w:rPr>
      </w:r>
    </w:p>
    <w:p w14:paraId="6588E6A4"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12. Sharafeldin N, Bates B, Song Q, et al. Outcomes of COVID-19 in Patients With Cancer: Report From the National COVID Cohort Collaborative (N3C). J Clin Oncol 2021;</w:t>
      </w:r>
      <w:r w:rsidRPr="000F6719">
        <w:rPr>
          <w:rFonts w:ascii="Times New Roman" w:hAnsi="Times New Roman" w:cs="Times New Roman"/>
          <w:b/>
          <w:noProof/>
        </w:rPr>
        <w:t>39</w:t>
      </w:r>
      <w:r w:rsidRPr="000F6719">
        <w:rPr>
          <w:rFonts w:ascii="Times New Roman" w:hAnsi="Times New Roman" w:cs="Times New Roman"/>
          <w:noProof/>
        </w:rPr>
        <w:t>(20):2232–46 doi: 10.1200/jco.21.01074 [published Online First: 20210604].</w:t>
      </w:r>
    </w:p>
    <w:p w14:paraId="27EF71A3"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 xml:space="preserve">13. Song Q, Bates B, Shao YR, et al. Risk and Outcome of Breakthrough COVID-19 Infections in Vaccinated Patients With Cancer: Real-World Evidence From the National COVID </w:t>
      </w:r>
      <w:r w:rsidRPr="000F6719">
        <w:rPr>
          <w:rFonts w:ascii="Times New Roman" w:hAnsi="Times New Roman" w:cs="Times New Roman"/>
          <w:noProof/>
        </w:rPr>
        <w:lastRenderedPageBreak/>
        <w:t>Cohort Collaborative. J Clin Oncol 2022;</w:t>
      </w:r>
      <w:r w:rsidRPr="000F6719">
        <w:rPr>
          <w:rFonts w:ascii="Times New Roman" w:hAnsi="Times New Roman" w:cs="Times New Roman"/>
          <w:b/>
          <w:noProof/>
        </w:rPr>
        <w:t>40</w:t>
      </w:r>
      <w:r w:rsidRPr="000F6719">
        <w:rPr>
          <w:rFonts w:ascii="Times New Roman" w:hAnsi="Times New Roman" w:cs="Times New Roman"/>
          <w:noProof/>
        </w:rPr>
        <w:t>(13):1414–27 doi: 10.1200/jco.21.02419 [published Online First: 20220314].</w:t>
      </w:r>
    </w:p>
    <w:p w14:paraId="2FBD1E7A"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14. Aswani MS, Do LA, Shafer PR. Use Of Social Determinants Of Health Z Codes Was Sparse, 2016-22. Health Aff (Millwood) 2025;</w:t>
      </w:r>
      <w:r w:rsidRPr="000F6719">
        <w:rPr>
          <w:rFonts w:ascii="Times New Roman" w:hAnsi="Times New Roman" w:cs="Times New Roman"/>
          <w:b/>
          <w:noProof/>
        </w:rPr>
        <w:t>44</w:t>
      </w:r>
      <w:r w:rsidRPr="000F6719">
        <w:rPr>
          <w:rFonts w:ascii="Times New Roman" w:hAnsi="Times New Roman" w:cs="Times New Roman"/>
          <w:noProof/>
        </w:rPr>
        <w:t>(5):631–35 doi: 10.1377/hlthaff.2024.01033.</w:t>
      </w:r>
    </w:p>
    <w:p w14:paraId="6B0ED607"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15. Iott BE, Rivas S, Gottlieb LM, et al. Structured and unstructured social risk factor documentation in the electronic health record underestimates patients' self-reported risks. J Am Med Inform Assoc 2024;31(3):714–19 doi: 10.1093/jamia/ocad261.</w:t>
      </w:r>
      <w:r w:rsidRPr="000F6719">
        <w:rPr>
          <w:rFonts w:ascii="Times New Roman" w:hAnsi="Times New Roman" w:cs="Times New Roman"/>
          <w:b/>
          <w:noProof/>
        </w:rPr>
      </w:r>
      <w:r w:rsidRPr="000F6719">
        <w:rPr>
          <w:rFonts w:ascii="Times New Roman" w:hAnsi="Times New Roman" w:cs="Times New Roman"/>
          <w:noProof/>
        </w:rPr>
      </w:r>
    </w:p>
    <w:p w14:paraId="1DDB8DB3"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16. Vaidya D, Wilkins KJ, Hurwitz E, et al. Assessing associations between individual-level social determinants of health and COVID-19 hospitalizations: Investigating racial/ethnic disparities among people living with human immunodeficiency virus (HIV) in the U.S. National COVID Cohort Collaborative (N3C). J Clin Transl Sci 2024;</w:t>
      </w:r>
      <w:r w:rsidRPr="000F6719">
        <w:rPr>
          <w:rFonts w:ascii="Times New Roman" w:hAnsi="Times New Roman" w:cs="Times New Roman"/>
          <w:b/>
          <w:noProof/>
        </w:rPr>
        <w:t>8</w:t>
      </w:r>
      <w:r w:rsidRPr="000F6719">
        <w:rPr>
          <w:rFonts w:ascii="Times New Roman" w:hAnsi="Times New Roman" w:cs="Times New Roman"/>
          <w:noProof/>
        </w:rPr>
        <w:t>(1):e107 doi: 10.1017/cts.2024.550 [published Online First: 20240521].</w:t>
      </w:r>
    </w:p>
    <w:p w14:paraId="16DF6FBB"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17. McGee G, Haneuse S, Coull BA, et al. On the Nature of Informative Presence Bias in Analyses of Electronic Health Records. Epidemiology 2022;33(1):105–13 doi: 10.1097/ede.0000000000001432.</w:t>
      </w:r>
      <w:r w:rsidRPr="000F6719">
        <w:rPr>
          <w:rFonts w:ascii="Times New Roman" w:hAnsi="Times New Roman" w:cs="Times New Roman"/>
          <w:b/>
          <w:noProof/>
        </w:rPr>
      </w:r>
      <w:r w:rsidRPr="000F6719">
        <w:rPr>
          <w:rFonts w:ascii="Times New Roman" w:hAnsi="Times New Roman" w:cs="Times New Roman"/>
          <w:noProof/>
        </w:rPr>
      </w:r>
    </w:p>
    <w:p w14:paraId="23FC9BF5"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18. Gatz AE, Xiong C, Chen Y, et al. Health disparities in the risk of severe acidosis: real-world evidence from the All of Us cohort. J Am Med Inform Assoc 2024;</w:t>
      </w:r>
      <w:r w:rsidRPr="000F6719">
        <w:rPr>
          <w:rFonts w:ascii="Times New Roman" w:hAnsi="Times New Roman" w:cs="Times New Roman"/>
          <w:b/>
          <w:noProof/>
        </w:rPr>
        <w:t>31</w:t>
      </w:r>
      <w:r w:rsidRPr="000F6719">
        <w:rPr>
          <w:rFonts w:ascii="Times New Roman" w:hAnsi="Times New Roman" w:cs="Times New Roman"/>
          <w:noProof/>
        </w:rPr>
        <w:t>(12):2932–39 doi: 10.1093/jamia/ocae256.</w:t>
      </w:r>
    </w:p>
    <w:p w14:paraId="4B9AA29D"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19. Denny JC, Rutter JL, Goldstein DB, et al. The "All of Us" Research Program. N Engl J Med 2019;</w:t>
      </w:r>
      <w:r w:rsidRPr="000F6719">
        <w:rPr>
          <w:rFonts w:ascii="Times New Roman" w:hAnsi="Times New Roman" w:cs="Times New Roman"/>
          <w:b/>
          <w:noProof/>
        </w:rPr>
        <w:t>381</w:t>
      </w:r>
      <w:r w:rsidRPr="000F6719">
        <w:rPr>
          <w:rFonts w:ascii="Times New Roman" w:hAnsi="Times New Roman" w:cs="Times New Roman"/>
          <w:noProof/>
        </w:rPr>
        <w:t>(7):668–76 doi: 10.1056/NEJMsr1809937.</w:t>
      </w:r>
    </w:p>
    <w:p w14:paraId="7828B37D"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20. Mapes BM, Foster CS, Kusnoor SV, et al. Diversity and inclusion for the All of Us research program: A scoping review. PLoS One 2020;</w:t>
      </w:r>
      <w:r w:rsidRPr="000F6719">
        <w:rPr>
          <w:rFonts w:ascii="Times New Roman" w:hAnsi="Times New Roman" w:cs="Times New Roman"/>
          <w:b/>
          <w:noProof/>
        </w:rPr>
        <w:t>15</w:t>
      </w:r>
      <w:r w:rsidRPr="000F6719">
        <w:rPr>
          <w:rFonts w:ascii="Times New Roman" w:hAnsi="Times New Roman" w:cs="Times New Roman"/>
          <w:noProof/>
        </w:rPr>
        <w:t>(7):e0234962 doi: 10.1371/journal.pone.0234962 [published Online First: 20200701].</w:t>
      </w:r>
    </w:p>
    <w:p w14:paraId="717135A3"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21. Tesfaye S, Cronin RM, Lopez-Class M, et al. Measuring social determinants of health in the All of Us Research Program. Sci Rep 2024;</w:t>
      </w:r>
      <w:r w:rsidRPr="000F6719">
        <w:rPr>
          <w:rFonts w:ascii="Times New Roman" w:hAnsi="Times New Roman" w:cs="Times New Roman"/>
          <w:b/>
          <w:noProof/>
        </w:rPr>
        <w:t>14</w:t>
      </w:r>
      <w:r w:rsidRPr="000F6719">
        <w:rPr>
          <w:rFonts w:ascii="Times New Roman" w:hAnsi="Times New Roman" w:cs="Times New Roman"/>
          <w:noProof/>
        </w:rPr>
        <w:t>(1):8815 doi: 10.1038/s41598-024-57410-6 [published Online First: 20240416].</w:t>
      </w:r>
    </w:p>
    <w:p w14:paraId="33327B4C"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22. Ho D, Imai K, King G, et al. MatchIt: Nonparametric Preprocessing for Parametric Causal Inference. Journal of Statistical Software 2011;42(8):1 – 28 doi: 10.18637/jss.v042.i08.</w:t>
      </w:r>
      <w:r w:rsidRPr="000F6719">
        <w:rPr>
          <w:rFonts w:ascii="Times New Roman" w:hAnsi="Times New Roman" w:cs="Times New Roman"/>
          <w:b/>
          <w:noProof/>
        </w:rPr>
      </w:r>
      <w:r w:rsidRPr="000F6719">
        <w:rPr>
          <w:rFonts w:ascii="Times New Roman" w:hAnsi="Times New Roman" w:cs="Times New Roman"/>
          <w:noProof/>
        </w:rPr>
      </w:r>
    </w:p>
    <w:p w14:paraId="33327B4C"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23. Austin PC. Optimal caliper widths for propensity-score matching when estimating differences in means and differences in proportions in observational studies. Pharm Stat 2011;10(2):150–61 doi: 10.1002/pst.433.</w:t>
      </w:r>
      <w:r w:rsidRPr="000F6719">
        <w:rPr>
          <w:rFonts w:ascii="Times New Roman" w:hAnsi="Times New Roman" w:cs="Times New Roman"/>
          <w:b/>
          <w:noProof/>
        </w:rPr>
      </w:r>
      <w:r w:rsidRPr="000F6719">
        <w:rPr>
          <w:rFonts w:ascii="Times New Roman" w:hAnsi="Times New Roman" w:cs="Times New Roman"/>
          <w:noProof/>
        </w:rPr>
      </w:r>
    </w:p>
    <w:p w14:paraId="6A79717C"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24. Goldstein BA, Bhavsar NA, Phelan M, et al. Controlling for Informed Presence Bias Due to the Number of Health Encounters in an Electronic Health Record. Am J Epidemiol 2016;184(11):847–55 doi: 10.1093/aje/kww112 [published Online First: 20161116].</w:t>
      </w:r>
      <w:r w:rsidRPr="000F6719">
        <w:rPr>
          <w:rFonts w:ascii="Times New Roman" w:hAnsi="Times New Roman" w:cs="Times New Roman"/>
          <w:b/>
          <w:noProof/>
        </w:rPr>
      </w:r>
      <w:r w:rsidRPr="000F6719">
        <w:rPr>
          <w:rFonts w:ascii="Times New Roman" w:hAnsi="Times New Roman" w:cs="Times New Roman"/>
          <w:noProof/>
        </w:rPr>
      </w:r>
    </w:p>
    <w:p w14:paraId="7C1058B6"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25. Harton J, Mitra N, Hubbard RA. Informative presence bias in analyses of electronic health records-derived data: a cautionary note. J Am Med Inform Assoc 2022;</w:t>
      </w:r>
      <w:r w:rsidRPr="000F6719">
        <w:rPr>
          <w:rFonts w:ascii="Times New Roman" w:hAnsi="Times New Roman" w:cs="Times New Roman"/>
          <w:b/>
          <w:noProof/>
        </w:rPr>
        <w:t>29</w:t>
      </w:r>
      <w:r w:rsidRPr="000F6719">
        <w:rPr>
          <w:rFonts w:ascii="Times New Roman" w:hAnsi="Times New Roman" w:cs="Times New Roman"/>
          <w:noProof/>
        </w:rPr>
        <w:t>(7):1191–99 doi: 10.1093/jamia/ocac050.</w:t>
      </w:r>
    </w:p>
    <w:p w14:paraId="12FA57D6"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26. Centers for Disease Control and Prevention. COVID-19-Associated Hospitalization Surveillance Network (COVID-NET). Atlanta, GA: CDC. https://www.cdc.gov/covid/php/covid-net/index.html (accessed 1 Sep 2026).</w:t>
      </w:r>
    </w:p>
    <w:p w14:paraId="54D0A2CE"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27. Glasheen WP, Cordier T, Gumpina R, et al. Charlson Comorbidity Index: ICD-9 Update and ICD-10 Translation. Am Health Drug Benefits 2019;12(4):188–97.</w:t>
      </w:r>
      <w:r w:rsidRPr="000F6719">
        <w:rPr>
          <w:rFonts w:ascii="Times New Roman" w:hAnsi="Times New Roman" w:cs="Times New Roman"/>
          <w:b/>
          <w:noProof/>
        </w:rPr>
      </w:r>
      <w:r w:rsidRPr="000F6719">
        <w:rPr>
          <w:rFonts w:ascii="Times New Roman" w:hAnsi="Times New Roman" w:cs="Times New Roman"/>
          <w:noProof/>
        </w:rPr>
      </w:r>
    </w:p>
    <w:p w14:paraId="7BE0BC6F"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28. Austin PC, Cafri G. Variance estimation when using propensity-score matching with replacement with survival or time-to-event outcomes. Stat Med 2020;</w:t>
      </w:r>
      <w:r w:rsidRPr="000F6719">
        <w:rPr>
          <w:rFonts w:ascii="Times New Roman" w:hAnsi="Times New Roman" w:cs="Times New Roman"/>
          <w:b/>
          <w:noProof/>
        </w:rPr>
        <w:t>39</w:t>
      </w:r>
      <w:r w:rsidRPr="000F6719">
        <w:rPr>
          <w:rFonts w:ascii="Times New Roman" w:hAnsi="Times New Roman" w:cs="Times New Roman"/>
          <w:noProof/>
        </w:rPr>
        <w:t>(11):1623–40 doi: 10.1002/sim.8502 [published Online First: 20200228].</w:t>
      </w:r>
    </w:p>
    <w:p w14:paraId="5992D43E"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29. Harrigan SP, Fibke CD, Velásquez García HA, et al. The mediating role of SARS-CoV-2 variants between income and hospitalization due to COVID-19: a period-based mediation analysis. Am J Epidemiol 2025;</w:t>
      </w:r>
      <w:r w:rsidRPr="000F6719">
        <w:rPr>
          <w:rFonts w:ascii="Times New Roman" w:hAnsi="Times New Roman" w:cs="Times New Roman"/>
          <w:b/>
          <w:noProof/>
        </w:rPr>
        <w:t>194</w:t>
      </w:r>
      <w:r w:rsidRPr="000F6719">
        <w:rPr>
          <w:rFonts w:ascii="Times New Roman" w:hAnsi="Times New Roman" w:cs="Times New Roman"/>
          <w:noProof/>
        </w:rPr>
        <w:t>(5):1352–61 doi: 10.1093/aje/kwae266.</w:t>
      </w:r>
    </w:p>
    <w:p w14:paraId="59AC1FF5"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30. Wang L, Swayze S, Bodner K, et al. Social inequalities in COVID-19 death by area-level income in 11.2 million people in Ontario, Canada: patterns over time and the mediating role of vaccination. American Journal of Epidemiology 2026;</w:t>
      </w:r>
      <w:r w:rsidRPr="000F6719">
        <w:rPr>
          <w:rFonts w:ascii="Times New Roman" w:hAnsi="Times New Roman" w:cs="Times New Roman"/>
          <w:b/>
          <w:noProof/>
        </w:rPr>
        <w:t>195</w:t>
      </w:r>
      <w:r w:rsidRPr="000F6719">
        <w:rPr>
          <w:rFonts w:ascii="Times New Roman" w:hAnsi="Times New Roman" w:cs="Times New Roman"/>
          <w:noProof/>
        </w:rPr>
        <w:t>(2):379–90 doi: 10.1093/aje/kwaf051.</w:t>
      </w:r>
    </w:p>
    <w:p w14:paraId="6232092B"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31. Maldonado G, Greenland S. Simulation study of confounder-selection strategies. Am J Epidemiol 1993;</w:t>
      </w:r>
      <w:r w:rsidRPr="000F6719">
        <w:rPr>
          <w:rFonts w:ascii="Times New Roman" w:hAnsi="Times New Roman" w:cs="Times New Roman"/>
          <w:b/>
          <w:noProof/>
        </w:rPr>
        <w:t>138</w:t>
      </w:r>
      <w:r w:rsidRPr="000F6719">
        <w:rPr>
          <w:rFonts w:ascii="Times New Roman" w:hAnsi="Times New Roman" w:cs="Times New Roman"/>
          <w:noProof/>
        </w:rPr>
        <w:t>(11):923–36 doi: 10.1093/oxfordjournals.aje.a116813.</w:t>
      </w:r>
    </w:p>
    <w:p w14:paraId="1460D4CB"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32. Degtiar I, Rose S. A Review of Generalizability and Transportability. Annual Review of Statistics and Its Application 2023;</w:t>
      </w:r>
      <w:r w:rsidRPr="000F6719">
        <w:rPr>
          <w:rFonts w:ascii="Times New Roman" w:hAnsi="Times New Roman" w:cs="Times New Roman"/>
          <w:b/>
          <w:noProof/>
        </w:rPr>
        <w:t>10</w:t>
      </w:r>
      <w:r w:rsidRPr="000F6719">
        <w:rPr>
          <w:rFonts w:ascii="Times New Roman" w:hAnsi="Times New Roman" w:cs="Times New Roman"/>
          <w:noProof/>
        </w:rPr>
        <w:t>:501–24 doi: 10.1146/annurev-statistics-042522-103837.</w:t>
      </w:r>
    </w:p>
    <w:p w14:paraId="73646582"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33. Patel AP, Paranjpe MD, Kathiresan NP, et al. Race, socioeconomic deprivation, and hospitalization for COVID-19 in English participants of a national biobank. Int J Equity Health 2020;19(1):114 doi: 10.1186/s12939-020-01227-y [published Online First: 20200706].</w:t>
      </w:r>
      <w:r w:rsidRPr="000F6719">
        <w:rPr>
          <w:rFonts w:ascii="Times New Roman" w:hAnsi="Times New Roman" w:cs="Times New Roman"/>
          <w:b/>
          <w:noProof/>
        </w:rPr>
      </w:r>
      <w:r w:rsidRPr="000F6719">
        <w:rPr>
          <w:rFonts w:ascii="Times New Roman" w:hAnsi="Times New Roman" w:cs="Times New Roman"/>
          <w:noProof/>
        </w:rPr>
      </w:r>
    </w:p>
    <w:p w14:paraId="054EC51B"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34. Harding JL, Doucet N, Patel SA, et al. The Association Between Black vs. White Race and 30-Day Hospitalization Among People Diagnosed with COVID-19 Within an Integrated Care Setting: a Cohort Study. J Racial Ethn Health Disparities 2025;</w:t>
      </w:r>
      <w:r w:rsidRPr="000F6719">
        <w:rPr>
          <w:rFonts w:ascii="Times New Roman" w:hAnsi="Times New Roman" w:cs="Times New Roman"/>
          <w:b/>
          <w:noProof/>
        </w:rPr>
        <w:t>12</w:t>
      </w:r>
      <w:r w:rsidRPr="000F6719">
        <w:rPr>
          <w:rFonts w:ascii="Times New Roman" w:hAnsi="Times New Roman" w:cs="Times New Roman"/>
          <w:noProof/>
        </w:rPr>
        <w:t>(1):543–53 doi: 10.1007/s40615-023-01894-x [published Online First: 20231218].</w:t>
      </w:r>
    </w:p>
    <w:p w14:paraId="71782E5A"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35. Bennett TD, Moffitt RA, Hajagos JG, et al. Clinical Characterization and Prediction of Clinical Severity of SARS-CoV-2 Infection Among US Adults Using Data From the US National COVID Cohort Collaborative. JAMA Netw Open 2021;</w:t>
      </w:r>
      <w:r w:rsidRPr="000F6719">
        <w:rPr>
          <w:rFonts w:ascii="Times New Roman" w:hAnsi="Times New Roman" w:cs="Times New Roman"/>
          <w:b/>
          <w:noProof/>
        </w:rPr>
        <w:t>4</w:t>
      </w:r>
      <w:r w:rsidRPr="000F6719">
        <w:rPr>
          <w:rFonts w:ascii="Times New Roman" w:hAnsi="Times New Roman" w:cs="Times New Roman"/>
          <w:noProof/>
        </w:rPr>
        <w:t>(7):e2116901 doi: 10.1001/jamanetworkopen.2021.16901 [published Online First: 20210701].</w:t>
      </w:r>
    </w:p>
    <w:p w14:paraId="303A242E"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36. Gupta S, Lam V, Jordan IK, et al. A composite socioeconomic deprivation index from All of Us survey data: associations with health outcomes and disparities. Preprint. medRxiv 2024 doi: 10.1101/2024.10.04.24314904.</w:t>
      </w:r>
    </w:p>
    <w:p w14:paraId="29635363"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37. Ardekani A, Fereidooni R, Heydari ST, et al. The association of patient-reported social determinants of health and hospitalization rate: A scoping review. Health Sci Rep 2023;6(2):e1124 doi: 10.1002/hsr2.1124 [published Online First: 20230222].</w:t>
      </w:r>
      <w:r w:rsidRPr="000F6719">
        <w:rPr>
          <w:rFonts w:ascii="Times New Roman" w:hAnsi="Times New Roman" w:cs="Times New Roman"/>
          <w:b/>
          <w:noProof/>
        </w:rPr>
      </w:r>
      <w:r w:rsidRPr="000F6719">
        <w:rPr>
          <w:rFonts w:ascii="Times New Roman" w:hAnsi="Times New Roman" w:cs="Times New Roman"/>
          <w:noProof/>
        </w:rPr>
      </w:r>
    </w:p>
    <w:p w14:paraId="24B5FF01"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38. McConnell KH, Hajat A, Sack C, et al. Associations Between Insurance, Race and Ethnicity, and COVID-19 Hospitalization, Beyond Underlying Health Conditions: A Retrospective Cohort Study. AJPM Focus 2023;2(3):100120 doi: 10.1016/j.focus.2023.100120 [published Online First: 20230612].</w:t>
      </w:r>
      <w:r w:rsidRPr="000F6719">
        <w:rPr>
          <w:rFonts w:ascii="Times New Roman" w:hAnsi="Times New Roman" w:cs="Times New Roman"/>
          <w:b/>
          <w:noProof/>
        </w:rPr>
      </w:r>
      <w:r w:rsidRPr="000F6719">
        <w:rPr>
          <w:rFonts w:ascii="Times New Roman" w:hAnsi="Times New Roman" w:cs="Times New Roman"/>
          <w:noProof/>
        </w:rPr>
      </w:r>
    </w:p>
    <w:p w14:paraId="164D459B"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39. Figueroa JF, Khorrami P, Bhanja A, et al. COVID-19-Related Insurance Coverage Changes and Disparities in Access to Care Among Low-Income US Adults in 4 Southern States. JAMA Health Forum 2021;2(8):e212007 doi: 10.1001/jamahealthforum.2021.2007 [published Online First: 20210813].</w:t>
      </w:r>
      <w:r w:rsidRPr="000F6719">
        <w:rPr>
          <w:rFonts w:ascii="Times New Roman" w:hAnsi="Times New Roman" w:cs="Times New Roman"/>
          <w:b/>
          <w:noProof/>
        </w:rPr>
      </w:r>
      <w:r w:rsidRPr="000F6719">
        <w:rPr>
          <w:rFonts w:ascii="Times New Roman" w:hAnsi="Times New Roman" w:cs="Times New Roman"/>
          <w:noProof/>
        </w:rPr>
      </w:r>
    </w:p>
    <w:p w14:paraId="5CB6652F"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40. Leifheit KM, Linton SL, Raifman J, et al. Expiring Eviction Moratoriums and COVID-19 Incidence and Mortality. Am J Epidemiol 2021;</w:t>
      </w:r>
      <w:r w:rsidRPr="000F6719">
        <w:rPr>
          <w:rFonts w:ascii="Times New Roman" w:hAnsi="Times New Roman" w:cs="Times New Roman"/>
          <w:b/>
          <w:noProof/>
        </w:rPr>
        <w:t>190</w:t>
      </w:r>
      <w:r w:rsidRPr="000F6719">
        <w:rPr>
          <w:rFonts w:ascii="Times New Roman" w:hAnsi="Times New Roman" w:cs="Times New Roman"/>
          <w:noProof/>
        </w:rPr>
        <w:t>(12):2503–10 doi: 10.1093/aje/kwab196.</w:t>
      </w:r>
    </w:p>
    <w:p w14:paraId="3DEB5BFC"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41. VanderWeele TJ, Robinson WR. On the causal interpretation of race in regressions adjusting for confounding and mediating variables. Epidemiology 2014;</w:t>
      </w:r>
      <w:r w:rsidRPr="000F6719">
        <w:rPr>
          <w:rFonts w:ascii="Times New Roman" w:hAnsi="Times New Roman" w:cs="Times New Roman"/>
          <w:b/>
          <w:noProof/>
        </w:rPr>
        <w:t>25</w:t>
      </w:r>
      <w:r w:rsidRPr="000F6719">
        <w:rPr>
          <w:rFonts w:ascii="Times New Roman" w:hAnsi="Times New Roman" w:cs="Times New Roman"/>
          <w:noProof/>
        </w:rPr>
        <w:t>(4):473–84 doi: 10.1097/ede.0000000000000105.</w:t>
      </w:r>
    </w:p>
    <w:p w14:paraId="5B170A6D"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42. Kaufman JS, Cooper RS, McGee DL. Socioeconomic status and health in blacks and whites: the problem of residual confounding and the resiliency of race. Epidemiology 1997;</w:t>
      </w:r>
      <w:r w:rsidRPr="000F6719">
        <w:rPr>
          <w:rFonts w:ascii="Times New Roman" w:hAnsi="Times New Roman" w:cs="Times New Roman"/>
          <w:b/>
          <w:noProof/>
        </w:rPr>
        <w:t>8</w:t>
      </w:r>
      <w:r w:rsidRPr="000F6719">
        <w:rPr>
          <w:rFonts w:ascii="Times New Roman" w:hAnsi="Times New Roman" w:cs="Times New Roman"/>
          <w:noProof/>
        </w:rPr>
        <w:t>(6):621–8.</w:t>
      </w:r>
    </w:p>
    <w:p w14:paraId="4B5D96FE"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43. Pang M, Kaufman JS, Platt RW. Studying noncollapsibility of the odds ratio with marginal structural and logistic regression models. Stat Methods Med Res 2016;25(5):1925–37 doi: 10.1177/0962280213505804.</w:t>
      </w:r>
      <w:r w:rsidRPr="000F6719">
        <w:rPr>
          <w:rFonts w:ascii="Times New Roman" w:hAnsi="Times New Roman" w:cs="Times New Roman"/>
          <w:b/>
          <w:noProof/>
        </w:rPr>
      </w:r>
      <w:r w:rsidRPr="000F6719">
        <w:rPr>
          <w:rFonts w:ascii="Times New Roman" w:hAnsi="Times New Roman" w:cs="Times New Roman"/>
          <w:noProof/>
        </w:rPr>
      </w:r>
    </w:p>
    <w:p w14:paraId="61E4FF23"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44. Hendricks-Sturrup RM, Yankah SE, Lu CY. Social determinants of health Z-code documentation practices in mental health settings: a scoping review. Health Aff Sch 2024;</w:t>
      </w:r>
      <w:r w:rsidRPr="000F6719">
        <w:rPr>
          <w:rFonts w:ascii="Times New Roman" w:hAnsi="Times New Roman" w:cs="Times New Roman"/>
          <w:b/>
          <w:noProof/>
        </w:rPr>
        <w:t>2</w:t>
      </w:r>
      <w:r w:rsidRPr="000F6719">
        <w:rPr>
          <w:rFonts w:ascii="Times New Roman" w:hAnsi="Times New Roman" w:cs="Times New Roman"/>
          <w:noProof/>
        </w:rPr>
        <w:t>(4):qxae046 doi: 10.1093/haschl/qxae046 [published Online First: 20240412].</w:t>
      </w:r>
    </w:p>
    <w:p w14:paraId="5743B440"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45. Fraze TK, Brewster AL, Lewis VA, et al. Prevalence of Screening for Food Insecurity, Housing Instability, Utility Needs, Transportation Needs, and Interpersonal Violence by US Physician Practices and Hospitals. JAMA Netw Open 2019;2(9):e1911514 doi: 10.1001/jamanetworkopen.2019.11514 [published Online First: 20190904].</w:t>
      </w:r>
      <w:r w:rsidRPr="000F6719">
        <w:rPr>
          <w:rFonts w:ascii="Times New Roman" w:hAnsi="Times New Roman" w:cs="Times New Roman"/>
          <w:b/>
          <w:noProof/>
        </w:rPr>
      </w:r>
      <w:r w:rsidRPr="000F6719">
        <w:rPr>
          <w:rFonts w:ascii="Times New Roman" w:hAnsi="Times New Roman" w:cs="Times New Roman"/>
          <w:noProof/>
        </w:rPr>
      </w:r>
    </w:p>
    <w:p w14:paraId="2752B533" w14:textId="77777777" w:rsidR="009A7915" w:rsidRPr="000F6719" w:rsidRDefault="009A7915" w:rsidP="009A7915">
      <w:pPr>
        <w:pStyle w:val="EndNoteBibliography"/>
        <w:spacing w:line="480" w:lineRule="auto"/>
        <w:ind w:left="720" w:hanging="720"/>
        <w:rPr>
          <w:rFonts w:ascii="Times New Roman" w:hAnsi="Times New Roman" w:cs="Times New Roman"/>
          <w:noProof/>
        </w:rPr>
      </w:pPr>
      <w:r w:rsidRPr="000F6719">
        <w:rPr>
          <w:rFonts w:ascii="Times New Roman" w:hAnsi="Times New Roman" w:cs="Times New Roman"/>
          <w:noProof/>
        </w:rPr>
        <w:t>46. Kambara MS, Sharma S, Spouge JL, et al. Increasing Representativeness in the All of Us Cohort Using Inverse Probability Weighting. Preprint. medRxiv 2024 doi: 10.1101/2024.10.02.24314774 [revised 18 April 2025].</w:t>
      </w:r>
    </w:p>
    <w:p w14:paraId="730D4F75" w14:textId="12998A13" w:rsidR="00320D14" w:rsidRPr="000F6719" w:rsidRDefault="00D6314F" w:rsidP="00E3018C">
      <w:pPr>
        <w:spacing w:after="120" w:line="480" w:lineRule="auto"/>
        <w:rPr>
          <w:rFonts w:ascii="Times New Roman" w:eastAsia="Arial" w:hAnsi="Times New Roman" w:cs="Times New Roman"/>
        </w:rPr>
      </w:pPr>
      <w:r w:rsidRPr="000F6719">
        <w:rPr>
          <w:rFonts w:ascii="Times New Roman" w:eastAsia="Arial" w:hAnsi="Times New Roman" w:cs="Times New Roman"/>
        </w:rPr>
        <w:fldChar w:fldCharType="end"/>
      </w:r>
    </w:p>
    <w:p w14:paraId="4615BB75" w14:textId="77777777" w:rsidR="00320D14" w:rsidRPr="000F6719" w:rsidRDefault="00320D14" w:rsidP="00E3018C">
      <w:pPr>
        <w:spacing w:line="480" w:lineRule="auto"/>
        <w:rPr>
          <w:rFonts w:ascii="Times New Roman" w:eastAsia="Arial" w:hAnsi="Times New Roman" w:cs="Times New Roman"/>
        </w:rPr>
      </w:pPr>
      <w:r w:rsidRPr="000F6719">
        <w:rPr>
          <w:rFonts w:ascii="Times New Roman" w:eastAsia="Arial" w:hAnsi="Times New Roman" w:cs="Times New Roman"/>
        </w:rPr>
        <w:br w:type="page"/>
      </w:r>
    </w:p>
    <w:p w14:paraId="10E7F676" w14:textId="77777777" w:rsidR="00320D14" w:rsidRPr="000F6719" w:rsidRDefault="00320D14" w:rsidP="00E3018C">
      <w:pPr>
        <w:pStyle w:val="Heading1"/>
        <w:spacing w:line="480" w:lineRule="auto"/>
        <w:rPr>
          <w:rFonts w:ascii="Times New Roman" w:hAnsi="Times New Roman" w:cs="Times New Roman"/>
        </w:rPr>
      </w:pPr>
      <w:r w:rsidRPr="000F6719">
        <w:rPr>
          <w:rFonts w:ascii="Times New Roman" w:hAnsi="Times New Roman" w:cs="Times New Roman"/>
        </w:rPr>
        <w:t>FIGURE LEGENDS</w:t>
      </w:r>
    </w:p>
    <w:p w14:paraId="730D4F04" w14:textId="57FA62CF"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Figure 1.</w:t>
      </w:r>
      <w:r w:rsidRPr="000F6719">
        <w:rPr>
          <w:rFonts w:ascii="Times New Roman" w:eastAsia="Arial" w:hAnsi="Times New Roman" w:cs="Times New Roman"/>
        </w:rPr>
        <w:t xml:space="preserve"> Study participant flowchart. (a) All of Us: 413,457 participants narrowing to 25,160 COVID-positive, then to 4,064 hospitalized cases and 21,096 outpatient controls, matched up to four controls per case (19,920 observations in 4,064 strata; 15,856 control observations from 9,691 unique individuals, after 388 control observations were removed for incomplete follow-up near the data cutoff). (b) MarketScan: 4,423,200 COVID-positive narrowing to 139,472 hospitalized, matched 1:4 (693,682 observations in 139,468 strata; 554,214 control observations from 465,670 unique individuals).</w:t>
      </w:r>
      <w:r w:rsidR="00023685" w:rsidRPr="000F6719">
        <w:rPr>
          <w:rFonts w:ascii="Times New Roman" w:eastAsia="Arial" w:hAnsi="Times New Roman" w:cs="Times New Roman"/>
        </w:rPr>
        <w:t xml:space="preserve"> </w:t>
      </w:r>
    </w:p>
    <w:p w14:paraId="2DE6BC86" w14:textId="77777777" w:rsidR="00320D14" w:rsidRPr="000F6719" w:rsidRDefault="00320D14" w:rsidP="00E3018C">
      <w:pPr>
        <w:spacing w:after="120" w:line="480" w:lineRule="auto"/>
        <w:rPr>
          <w:rFonts w:ascii="Times New Roman" w:hAnsi="Times New Roman" w:cs="Times New Roman"/>
        </w:rPr>
      </w:pPr>
      <w:r w:rsidRPr="000F6719">
        <w:rPr>
          <w:rFonts w:ascii="Times New Roman" w:eastAsia="Arial" w:hAnsi="Times New Roman" w:cs="Times New Roman"/>
          <w:b/>
          <w:bCs/>
        </w:rPr>
        <w:t>Alt text: Two-panel CONSORT-style flowchart. Each panel reads top to bottom: the full cohort, then the COVID-positive subset, then a split into hospitalized cases and outpatient controls, then a propensity score matching box, then the matched analytic set. Panel (a) is All of Us; panel (b) is MarketScan. Every count is given in the legend above.</w:t>
      </w:r>
      <w:r w:rsidRPr="000F6719">
        <w:rPr>
          <w:rFonts w:ascii="Times New Roman" w:eastAsia="Arial" w:hAnsi="Times New Roman" w:cs="Times New Roman"/>
        </w:rPr>
      </w:r>
    </w:p>
    <w:p w14:paraId="730D4F0A" w14:textId="2924752B"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Figure 2.</w:t>
      </w:r>
      <w:r w:rsidRPr="000F6719">
        <w:rPr>
          <w:rFonts w:ascii="Times New Roman" w:eastAsia="Arial" w:hAnsi="Times New Roman" w:cs="Times New Roman"/>
        </w:rPr>
        <w:t xml:space="preserve"> Hospitalization phenotype decision tree. The strict 14-day phenotype counts inpatient visits (OMOP concepts 9201, 32037), emergency-to-inpatient visits (262, 8717), and emergency visits with recorded stay duration ≥1 day (9203). Same-day emergency visits without subsequent admission are excluded from the strict outcome but included in the broad 30-day sensitivity outcome. Component counts are reported in </w:t>
      </w:r>
      <w:proofErr w:type="spellStart"/>
      <w:r w:rsidRPr="000F6719">
        <w:rPr>
          <w:rFonts w:ascii="Times New Roman" w:eastAsia="Arial" w:hAnsi="Times New Roman" w:cs="Times New Roman"/>
        </w:rPr>
        <w:t>eTable</w:t>
      </w:r>
      <w:proofErr w:type="spellEnd"/>
      <w:r w:rsidRPr="000F6719">
        <w:rPr>
          <w:rFonts w:ascii="Times New Roman" w:eastAsia="Arial" w:hAnsi="Times New Roman" w:cs="Times New Roman"/>
        </w:rPr>
        <w:t xml:space="preserve"> 2b.</w:t>
      </w:r>
      <w:r w:rsidR="00023685" w:rsidRPr="000F6719">
        <w:rPr>
          <w:rFonts w:ascii="Times New Roman" w:eastAsia="Arial" w:hAnsi="Times New Roman" w:cs="Times New Roman"/>
        </w:rPr>
        <w:t xml:space="preserve"> </w:t>
      </w:r>
    </w:p>
    <w:p w14:paraId="07DB283D" w14:textId="77777777" w:rsidR="00320D14" w:rsidRPr="000F6719" w:rsidRDefault="00320D14" w:rsidP="00E3018C">
      <w:pPr>
        <w:spacing w:after="120" w:line="480" w:lineRule="auto"/>
        <w:rPr>
          <w:rFonts w:ascii="Times New Roman" w:hAnsi="Times New Roman" w:cs="Times New Roman"/>
        </w:rPr>
      </w:pPr>
      <w:r w:rsidRPr="000F6719">
        <w:rPr>
          <w:rFonts w:ascii="Times New Roman" w:eastAsia="Arial" w:hAnsi="Times New Roman" w:cs="Times New Roman"/>
          <w:b/>
          <w:bCs/>
        </w:rPr>
        <w:t>Alt text: Decision tree for the hospitalization phenotype. Branches separate inpatient visits, emergency-to-inpatient visits, and emergency visits by recorded stay duration, and each branch ends in a strict 14-day or broad 30-day classification. Same-day emergency visits are excluded from the strict phenotype.</w:t>
      </w:r>
      <w:r w:rsidRPr="000F6719">
        <w:rPr>
          <w:rFonts w:ascii="Times New Roman" w:eastAsia="Arial" w:hAnsi="Times New Roman" w:cs="Times New Roman"/>
        </w:rPr>
      </w:r>
    </w:p>
    <w:p w14:paraId="730D4F19" w14:textId="53EE34E5" w:rsidR="00841284" w:rsidRPr="000F6719" w:rsidRDefault="00D413D7" w:rsidP="00E3018C">
      <w:pPr>
        <w:spacing w:after="120" w:line="480" w:lineRule="auto"/>
        <w:rPr>
          <w:rFonts w:ascii="Times New Roman" w:hAnsi="Times New Roman" w:cs="Times New Roman"/>
        </w:rPr>
      </w:pPr>
      <w:r w:rsidRPr="000F6719">
        <w:rPr>
          <w:rFonts w:ascii="Times New Roman" w:eastAsia="Arial" w:hAnsi="Times New Roman" w:cs="Times New Roman"/>
          <w:b/>
          <w:bCs/>
        </w:rPr>
        <w:t>Figure 3. Base-model adjusted odds ratios for demographics, vaccination, pandemic wave, and comorbidities, compared between the two cohorts. Navy circles: All of Us (n = 19,920). Teal squares: MarketScan (n = 693,682). Filled markers are statistically significant (P &lt; 0.05); open markers are not. Error bars: 95% confidence intervals. Race and ethnicity are not captured in MarketScan. The panel shows Black race only; Asian and Other race estimates are given in the text and eTable 10. Seventeen of the 19 Charlson conditions are plotted; myocardial infarction and peripheral vascular disease are omitted for space and appear in eTable 10.</w:t>
      </w:r>
      <w:r w:rsidRPr="000F6719">
        <w:rPr>
          <w:rFonts w:ascii="Times New Roman" w:eastAsia="Arial" w:hAnsi="Times New Roman" w:cs="Times New Roman"/>
        </w:rPr>
      </w:r>
      <w:r w:rsidR="00895A13" w:rsidRPr="000F6719">
        <w:rPr>
          <w:rFonts w:ascii="Times New Roman" w:eastAsia="Arial" w:hAnsi="Times New Roman" w:cs="Times New Roman"/>
        </w:rPr>
        <w:t xml:space="preserve"> Abbreviations: AOR, adjusted odds ratio; CI, confidence interval; DM, diabetes mellitus.</w:t>
      </w:r>
    </w:p>
    <w:p w14:paraId="7DA3718A" w14:textId="77777777" w:rsidR="00320D14" w:rsidRPr="000F6719" w:rsidRDefault="00320D14" w:rsidP="00E3018C">
      <w:pPr>
        <w:spacing w:after="120" w:line="480" w:lineRule="auto"/>
        <w:rPr>
          <w:rFonts w:ascii="Times New Roman" w:hAnsi="Times New Roman" w:cs="Times New Roman"/>
        </w:rPr>
      </w:pPr>
      <w:r w:rsidRPr="000F6719">
        <w:rPr>
          <w:rFonts w:ascii="Times New Roman" w:eastAsia="Arial" w:hAnsi="Times New Roman" w:cs="Times New Roman"/>
          <w:b/>
          <w:bCs/>
        </w:rPr>
        <w:t>Alt text: Horizontal forest plot on a log scale with a reference line at an odds ratio of 1.0. Rows run down the left margin: demographics, vaccination, pandemic wave, and 17 Charlson comorbidities. Each row carries a navy circle for All of Us and a teal square for MarketScan, with horizontal error bars for the 95% confidence interval. Filled markers are statistically significant; open markers are not. The Black race row is marked not available for MarketScan.</w:t>
      </w:r>
      <w:r w:rsidRPr="000F6719">
        <w:rPr>
          <w:rFonts w:ascii="Times New Roman" w:eastAsia="Arial" w:hAnsi="Times New Roman" w:cs="Times New Roman"/>
        </w:rPr>
      </w:r>
      <w:proofErr w:type="gramStart"/>
      <w:r w:rsidRPr="000F6719">
        <w:rPr>
          <w:rFonts w:ascii="Times New Roman" w:eastAsia="Arial" w:hAnsi="Times New Roman" w:cs="Times New Roman"/>
        </w:rPr>
      </w:r>
      <w:proofErr w:type="gramEnd"/>
      <w:r w:rsidRPr="000F6719">
        <w:rPr>
          <w:rFonts w:ascii="Times New Roman" w:eastAsia="Arial" w:hAnsi="Times New Roman" w:cs="Times New Roman"/>
        </w:rPr>
      </w:r>
    </w:p>
    <w:p w14:paraId="730D4F1C" w14:textId="0225AF48" w:rsidR="00841284" w:rsidRPr="000F6719" w:rsidRDefault="00D413D7" w:rsidP="00895A13">
      <w:pPr>
        <w:spacing w:after="120" w:line="480" w:lineRule="auto"/>
        <w:rPr>
          <w:rFonts w:ascii="Times New Roman" w:eastAsia="Arial" w:hAnsi="Times New Roman" w:cs="Times New Roman"/>
        </w:rPr>
      </w:pPr>
      <w:r w:rsidRPr="000F6719">
        <w:rPr>
          <w:rFonts w:ascii="Times New Roman" w:eastAsia="Arial" w:hAnsi="Times New Roman" w:cs="Times New Roman"/>
          <w:b/>
          <w:bCs/>
        </w:rPr>
        <w:t>Figure 4.</w:t>
      </w:r>
      <w:r w:rsidRPr="000F6719">
        <w:rPr>
          <w:rFonts w:ascii="Times New Roman" w:eastAsia="Arial" w:hAnsi="Times New Roman" w:cs="Times New Roman"/>
        </w:rPr>
        <w:t xml:space="preserve"> </w:t>
      </w:r>
      <w:r w:rsidR="00576472" w:rsidRPr="000F6719">
        <w:rPr>
          <w:rFonts w:ascii="Times New Roman" w:eastAsia="Arial" w:hAnsi="Times New Roman" w:cs="Times New Roman"/>
        </w:rPr>
        <w:t xml:space="preserve">Domain-specific versus joint associations of six survey-derived </w:t>
      </w:r>
      <w:proofErr w:type="spellStart"/>
      <w:r w:rsidR="00576472" w:rsidRPr="000F6719">
        <w:rPr>
          <w:rFonts w:ascii="Times New Roman" w:eastAsia="Arial" w:hAnsi="Times New Roman" w:cs="Times New Roman"/>
        </w:rPr>
        <w:t>SDoH</w:t>
      </w:r>
      <w:proofErr w:type="spellEnd"/>
      <w:r w:rsidR="00576472" w:rsidRPr="000F6719">
        <w:rPr>
          <w:rFonts w:ascii="Times New Roman" w:eastAsia="Arial" w:hAnsi="Times New Roman" w:cs="Times New Roman"/>
        </w:rPr>
        <w:t xml:space="preserve"> domains with COVID-19 hospitalization. For each level, the coral circle is the domain-specific estimate (base model plus that one domain) and the navy square is the joint estimate (base model plus all six domains simultaneously); the grey bar connecting them marks the change in the coefficient after mutual adjustment</w:t>
      </w:r>
      <w:proofErr w:type="gramStart"/>
      <w:r w:rsidR="00576472" w:rsidRPr="000F6719">
        <w:rPr>
          <w:rFonts w:ascii="Times New Roman" w:eastAsia="Arial" w:hAnsi="Times New Roman" w:cs="Times New Roman"/>
        </w:rPr>
      </w:r>
      <w:proofErr w:type="gramEnd"/>
      <w:r w:rsidR="00576472" w:rsidRPr="000F6719">
        <w:rPr>
          <w:rFonts w:ascii="Times New Roman" w:eastAsia="Arial" w:hAnsi="Times New Roman" w:cs="Times New Roman"/>
        </w:rPr>
        <w:t xml:space="preserve">. Filled markers are statistically significant (P &lt; 0.05); open markers are not. All models adjust for demographics, vaccination, pandemic wave, and 19 Charlson comorbidities. Domain-specific and joint models are complementary rather than ranked: the one-domain estimate is the association a domain carries when modelled alone, whereas the mutually adjusted estimate is what remains once the other measured social domains are included. Estimates and 95% CIs are listed at right and in Table 3; missing-indicator categories are modeled but omitted for clarity, and the “never attended school” education stratum (fewer than 20 participants; domain-specific 3.35, joint 2.85) falls outside the plotted range. Abbreviations: AOR, adjusted odds ratio; CI, confidence interval; </w:t>
      </w:r>
      <w:proofErr w:type="spellStart"/>
      <w:r w:rsidR="00576472" w:rsidRPr="000F6719">
        <w:rPr>
          <w:rFonts w:ascii="Times New Roman" w:eastAsia="Arial" w:hAnsi="Times New Roman" w:cs="Times New Roman"/>
        </w:rPr>
        <w:t>SDoH</w:t>
      </w:r>
      <w:proofErr w:type="spellEnd"/>
      <w:r w:rsidR="00576472" w:rsidRPr="000F6719">
        <w:rPr>
          <w:rFonts w:ascii="Times New Roman" w:eastAsia="Arial" w:hAnsi="Times New Roman" w:cs="Times New Roman"/>
        </w:rPr>
        <w:t>, social determinants of health; GED, General Educational Development.</w:t>
      </w:r>
    </w:p>
    <w:p w14:paraId="0247C2FB" w14:textId="7939B50B" w:rsidR="00320D14" w:rsidRPr="000F6719" w:rsidRDefault="00320D14" w:rsidP="00E3018C">
      <w:pPr>
        <w:spacing w:after="120" w:line="480" w:lineRule="auto"/>
        <w:rPr>
          <w:rFonts w:ascii="Times New Roman" w:hAnsi="Times New Roman" w:cs="Times New Roman"/>
        </w:rPr>
      </w:pPr>
      <w:r w:rsidRPr="000F6719">
        <w:rPr>
          <w:rFonts w:ascii="Times New Roman" w:eastAsia="Arial" w:hAnsi="Times New Roman" w:cs="Times New Roman"/>
          <w:b/>
          <w:bCs/>
        </w:rPr>
        <w:t>Alt text: Paired dumbbell forest plot on a log scale with a reference line at an odds ratio of 1.0, grouped into six social domains. Each level carries two markers joined by a grey bar: a coral circle for the domain-specific model and a navy square for the joint model. The length of the bar shows how far the estimate moves under mutual adjustment. Filled markers are statistically significant; open markers are not. Values are printed at the right of each row and in Table 3.</w:t>
      </w:r>
      <w:r w:rsidRPr="000F6719">
        <w:rPr>
          <w:rFonts w:ascii="Times New Roman" w:eastAsia="Arial" w:hAnsi="Times New Roman" w:cs="Times New Roman"/>
        </w:rPr>
      </w:r>
      <w:r w:rsidR="009D1DF8" w:rsidRPr="000F6719">
        <w:rPr>
          <w:rFonts w:ascii="Times New Roman" w:eastAsia="Arial" w:hAnsi="Times New Roman" w:cs="Times New Roman"/>
        </w:rPr>
      </w:r>
      <w:proofErr w:type="spellStart"/>
      <w:r w:rsidR="009D1DF8" w:rsidRPr="000F6719">
        <w:rPr>
          <w:rFonts w:ascii="Times New Roman" w:eastAsia="Arial" w:hAnsi="Times New Roman" w:cs="Times New Roman"/>
        </w:rPr>
      </w:r>
      <w:proofErr w:type="spellEnd"/>
      <w:r w:rsidR="009D1DF8" w:rsidRPr="000F6719">
        <w:rPr>
          <w:rFonts w:ascii="Times New Roman" w:eastAsia="Arial" w:hAnsi="Times New Roman" w:cs="Times New Roman"/>
        </w:rPr>
      </w:r>
      <w:proofErr w:type="gramStart"/>
      <w:r w:rsidR="009D1DF8" w:rsidRPr="000F6719">
        <w:rPr>
          <w:rFonts w:ascii="Times New Roman" w:eastAsia="Arial" w:hAnsi="Times New Roman" w:cs="Times New Roman"/>
        </w:rPr>
      </w:r>
      <w:proofErr w:type="gramEnd"/>
      <w:r w:rsidR="009D1DF8" w:rsidRPr="000F6719">
        <w:rPr>
          <w:rFonts w:ascii="Times New Roman" w:eastAsia="Arial" w:hAnsi="Times New Roman" w:cs="Times New Roman"/>
        </w:rPr>
      </w:r>
    </w:p>
    <w:p w14:paraId="730D4F24" w14:textId="0CE8520C" w:rsidR="00841284" w:rsidRPr="000F6719" w:rsidRDefault="00D413D7" w:rsidP="00D141BE">
      <w:pPr>
        <w:spacing w:after="120" w:line="480" w:lineRule="auto"/>
        <w:rPr>
          <w:rFonts w:ascii="Times New Roman" w:eastAsia="Arial" w:hAnsi="Times New Roman" w:cs="Times New Roman"/>
        </w:rPr>
      </w:pPr>
      <w:r w:rsidRPr="000F6719">
        <w:rPr>
          <w:rFonts w:ascii="Times New Roman" w:eastAsia="Arial" w:hAnsi="Times New Roman" w:cs="Times New Roman"/>
          <w:b/>
          <w:bCs/>
        </w:rPr>
        <w:t>Figure 5.</w:t>
      </w:r>
      <w:r w:rsidRPr="000F6719">
        <w:rPr>
          <w:rFonts w:ascii="Times New Roman" w:eastAsia="Arial" w:hAnsi="Times New Roman" w:cs="Times New Roman"/>
        </w:rPr>
        <w:t xml:space="preserve"> </w:t>
      </w:r>
      <w:r w:rsidR="006B7B0D" w:rsidRPr="000F6719">
        <w:rPr>
          <w:rFonts w:ascii="Times New Roman" w:eastAsia="Arial" w:hAnsi="Times New Roman" w:cs="Times New Roman"/>
        </w:rPr>
        <w:t xml:space="preserve">Temporal shifts in social determinant contributions to COVID-19 hospitalization across pandemic waves. </w:t>
      </w:r>
      <w:r w:rsidR="0048705F" w:rsidRPr="0048705F">
        <w:rPr>
          <w:rFonts w:ascii="Times New Roman" w:eastAsia="Arial" w:hAnsi="Times New Roman" w:cs="Times New Roman"/>
        </w:rPr>
        <w:t>(a) Income association with hospitalization within each pandemic wave, grouped by income stratum so that the three waves for a given stratum appear together. The panel shows the three lowest income strata only; the remaining four strata, including the missing-income category, are in eTable 13. The two lowest strata were elevated in every wave, and significantly so in every wave except the $10,000–24,999 stratum during Delta. Reference group: $35,000 to $99,999. Filled markers are statistically significant (P &lt; 0.05); open markers are not. Error bars and bracketed values are 95% confidence intervals.</w:t>
      </w:r>
      <w:r w:rsidR="006B7B0D" w:rsidRPr="000F6719">
        <w:rPr>
          <w:rFonts w:ascii="Times New Roman" w:eastAsia="Arial" w:hAnsi="Times New Roman" w:cs="Times New Roman"/>
        </w:rPr>
        <w:t xml:space="preserve"> </w:t>
      </w:r>
      <w:r w:rsidR="00D141BE" w:rsidRPr="000F6719">
        <w:rPr>
          <w:rFonts w:ascii="Times New Roman" w:eastAsia="Arial" w:hAnsi="Times New Roman" w:cs="Times New Roman"/>
        </w:rPr>
        <w:t>(b) Black-race adjusted odds ratio before (coral circles) and after (navy squares) adjustment for six survey-derived SDoH domains. In panel (a) the three waves are coded light to dark blue.</w:t>
      </w:r>
      <w:r w:rsidR="00FE1937" w:rsidRPr="000F6719">
        <w:rPr>
          <w:rFonts w:ascii="Times New Roman" w:eastAsia="Arial" w:hAnsi="Times New Roman" w:cs="Times New Roman"/>
        </w:rPr>
      </w:r>
      <w:proofErr w:type="spellStart"/>
      <w:r w:rsidR="00FE1937" w:rsidRPr="000F6719">
        <w:rPr>
          <w:rFonts w:ascii="Times New Roman" w:eastAsia="Arial" w:hAnsi="Times New Roman" w:cs="Times New Roman"/>
        </w:rPr>
      </w:r>
      <w:proofErr w:type="spellEnd"/>
      <w:r w:rsidR="00FE1937" w:rsidRPr="000F6719">
        <w:rPr>
          <w:rFonts w:ascii="Times New Roman" w:eastAsia="Arial" w:hAnsi="Times New Roman" w:cs="Times New Roman"/>
        </w:rPr>
        <w:t xml:space="preserve"> The overall Black-race association was unchanged from pre-Delta to Delta and narrowed by Omicron, while coefficient attenuation by SDoH was 11.5%, 29.1%, and 30.1% across the three waves (grey bars: attenuation gap).</w:t>
      </w:r>
      <w:r w:rsidR="00341923" w:rsidRPr="000F6719">
        <w:rPr>
          <w:rFonts w:ascii="Times New Roman" w:eastAsia="Arial" w:hAnsi="Times New Roman" w:cs="Times New Roman"/>
        </w:rPr>
      </w:r>
      <w:proofErr w:type="spellStart"/>
      <w:r w:rsidR="00341923" w:rsidRPr="000F6719">
        <w:rPr>
          <w:rFonts w:ascii="Times New Roman" w:eastAsia="Arial" w:hAnsi="Times New Roman" w:cs="Times New Roman"/>
        </w:rPr>
      </w:r>
      <w:proofErr w:type="spellEnd"/>
      <w:r w:rsidR="00341923" w:rsidRPr="000F6719">
        <w:rPr>
          <w:rFonts w:ascii="Times New Roman" w:eastAsia="Arial" w:hAnsi="Times New Roman" w:cs="Times New Roman"/>
        </w:rPr>
      </w:r>
      <w:r w:rsidR="00341923" w:rsidRPr="000F6719">
        <w:rPr>
          <w:rFonts w:ascii="Times New Roman" w:eastAsia="Arial" w:hAnsi="Times New Roman" w:cs="Times New Roman"/>
        </w:rPr>
        <w:t xml:space="preserve"> </w:t>
      </w:r>
    </w:p>
    <w:p w14:paraId="1D956DCC" w14:textId="48ABCDC1" w:rsidR="00841284" w:rsidRPr="000F6719" w:rsidRDefault="00320D14" w:rsidP="00E3018C">
      <w:pPr>
        <w:spacing w:after="120" w:line="480" w:lineRule="auto"/>
        <w:rPr>
          <w:rFonts w:ascii="Times New Roman" w:eastAsia="Arial" w:hAnsi="Times New Roman" w:cs="Times New Roman"/>
        </w:rPr>
      </w:pPr>
      <w:r w:rsidRPr="000F6719">
        <w:rPr>
          <w:rFonts w:ascii="Times New Roman" w:eastAsia="Arial" w:hAnsi="Times New Roman" w:cs="Times New Roman"/>
          <w:b/>
          <w:bCs/>
        </w:rPr>
        <w:t>Alt text: Two-panel figure. Panel (a) is a grouped forest plot on a log scale: three income strata, and within each stratum the three pandemic waves in time order, coded light to dark blue, with horizontal error bars. Panel (b) is a slope plot with one x-axis position per wave; at each position a coral circle for the unadjusted Black-race estimate sits above a navy square for the SDoH-adjusted estimate, joined by a grey bar whose length is the attenuation. Filled markers are statistically significant; open markers are not.</w:t>
      </w:r>
      <w:r w:rsidRPr="000F6719">
        <w:rPr>
          <w:rFonts w:ascii="Times New Roman" w:eastAsia="Arial" w:hAnsi="Times New Roman" w:cs="Times New Roman"/>
        </w:rPr>
      </w:r>
      <w:r w:rsidR="00DA4746" w:rsidRPr="00DA4746">
        <w:rPr>
          <w:rFonts w:ascii="Times New Roman" w:eastAsia="Arial" w:hAnsi="Times New Roman" w:cs="Times New Roman"/>
        </w:rPr>
      </w:r>
      <w:r w:rsidR="00750D28" w:rsidRPr="000F6719">
        <w:rPr>
          <w:rFonts w:ascii="Times New Roman" w:eastAsia="Arial" w:hAnsi="Times New Roman" w:cs="Times New Roman"/>
        </w:rPr>
      </w:r>
      <w:proofErr w:type="spellStart"/>
      <w:proofErr w:type="gramStart"/>
      <w:r w:rsidR="00750D28" w:rsidRPr="000F6719">
        <w:rPr>
          <w:rFonts w:ascii="Times New Roman" w:eastAsia="Arial" w:hAnsi="Times New Roman" w:cs="Times New Roman"/>
        </w:rPr>
      </w:r>
      <w:r w:rsidR="00A831FB" w:rsidRPr="000F6719">
        <w:rPr>
          <w:rFonts w:ascii="Times New Roman" w:eastAsia="Arial" w:hAnsi="Times New Roman" w:cs="Times New Roman"/>
        </w:rPr>
      </w:r>
      <w:proofErr w:type="spellEnd"/>
      <w:proofErr w:type="gramEnd"/>
      <w:r w:rsidR="00A831FB" w:rsidRPr="000F6719">
        <w:rPr>
          <w:rFonts w:ascii="Times New Roman" w:eastAsia="Arial" w:hAnsi="Times New Roman" w:cs="Times New Roman"/>
        </w:rPr>
      </w:r>
      <w:proofErr w:type="spellStart"/>
      <w:r w:rsidR="00A831FB" w:rsidRPr="000F6719">
        <w:rPr>
          <w:rFonts w:ascii="Times New Roman" w:eastAsia="Arial" w:hAnsi="Times New Roman" w:cs="Times New Roman"/>
        </w:rPr>
      </w:r>
      <w:proofErr w:type="spellEnd"/>
      <w:r w:rsidR="00A831FB" w:rsidRPr="000F6719">
        <w:rPr>
          <w:rFonts w:ascii="Times New Roman" w:eastAsia="Arial" w:hAnsi="Times New Roman" w:cs="Times New Roman"/>
        </w:rPr>
      </w:r>
      <w:proofErr w:type="spellStart"/>
      <w:r w:rsidR="00A831FB" w:rsidRPr="000F6719">
        <w:rPr>
          <w:rFonts w:ascii="Times New Roman" w:eastAsia="Arial" w:hAnsi="Times New Roman" w:cs="Times New Roman"/>
        </w:rPr>
      </w:r>
      <w:proofErr w:type="spellEnd"/>
      <w:r w:rsidR="00A831FB" w:rsidRPr="000F6719">
        <w:rPr>
          <w:rFonts w:ascii="Times New Roman" w:eastAsia="Arial" w:hAnsi="Times New Roman" w:cs="Times New Roman"/>
        </w:rPr>
      </w:r>
      <w:r w:rsidR="00505BFF" w:rsidRPr="000F6719">
        <w:rPr>
          <w:rFonts w:ascii="Times New Roman" w:eastAsia="Arial" w:hAnsi="Times New Roman" w:cs="Times New Roman"/>
        </w:rPr>
      </w:r>
      <w:r w:rsidR="00A831FB" w:rsidRPr="000F6719">
        <w:rPr>
          <w:rFonts w:ascii="Times New Roman" w:eastAsia="Arial" w:hAnsi="Times New Roman" w:cs="Times New Roman"/>
        </w:rPr>
      </w:r>
      <w:r w:rsidR="00505BFF" w:rsidRPr="000F6719">
        <w:rPr>
          <w:rFonts w:ascii="Times New Roman" w:eastAsia="Arial" w:hAnsi="Times New Roman" w:cs="Times New Roman"/>
        </w:rPr>
      </w:r>
      <w:r w:rsidR="00A831FB" w:rsidRPr="000F6719">
        <w:rPr>
          <w:rFonts w:ascii="Times New Roman" w:eastAsia="Arial" w:hAnsi="Times New Roman" w:cs="Times New Roman"/>
        </w:rPr>
      </w:r>
    </w:p>
    <w:sectPr w:rsidR="00841284" w:rsidRPr="000F67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98024E"/>
    <w:multiLevelType w:val="hybridMultilevel"/>
    <w:tmpl w:val="1D92C290"/>
    <w:lvl w:ilvl="0" w:tplc="A1E8CCDA">
      <w:start w:val="1"/>
      <w:numFmt w:val="bullet"/>
      <w:lvlText w:val="●"/>
      <w:lvlJc w:val="left"/>
      <w:pPr>
        <w:ind w:left="720" w:hanging="360"/>
      </w:pPr>
    </w:lvl>
    <w:lvl w:ilvl="1" w:tplc="59ACB316">
      <w:start w:val="1"/>
      <w:numFmt w:val="bullet"/>
      <w:lvlText w:val="○"/>
      <w:lvlJc w:val="left"/>
      <w:pPr>
        <w:ind w:left="1440" w:hanging="360"/>
      </w:pPr>
    </w:lvl>
    <w:lvl w:ilvl="2" w:tplc="FC3AE46C">
      <w:start w:val="1"/>
      <w:numFmt w:val="bullet"/>
      <w:lvlText w:val="■"/>
      <w:lvlJc w:val="left"/>
      <w:pPr>
        <w:ind w:left="2160" w:hanging="360"/>
      </w:pPr>
    </w:lvl>
    <w:lvl w:ilvl="3" w:tplc="8B9697E2">
      <w:start w:val="1"/>
      <w:numFmt w:val="bullet"/>
      <w:lvlText w:val="●"/>
      <w:lvlJc w:val="left"/>
      <w:pPr>
        <w:ind w:left="2880" w:hanging="360"/>
      </w:pPr>
    </w:lvl>
    <w:lvl w:ilvl="4" w:tplc="27DA218C">
      <w:start w:val="1"/>
      <w:numFmt w:val="bullet"/>
      <w:lvlText w:val="○"/>
      <w:lvlJc w:val="left"/>
      <w:pPr>
        <w:ind w:left="3600" w:hanging="360"/>
      </w:pPr>
    </w:lvl>
    <w:lvl w:ilvl="5" w:tplc="6CB244B0">
      <w:start w:val="1"/>
      <w:numFmt w:val="bullet"/>
      <w:lvlText w:val="■"/>
      <w:lvlJc w:val="left"/>
      <w:pPr>
        <w:ind w:left="4320" w:hanging="360"/>
      </w:pPr>
    </w:lvl>
    <w:lvl w:ilvl="6" w:tplc="7B5043D4">
      <w:start w:val="1"/>
      <w:numFmt w:val="bullet"/>
      <w:lvlText w:val="●"/>
      <w:lvlJc w:val="left"/>
      <w:pPr>
        <w:ind w:left="5040" w:hanging="360"/>
      </w:pPr>
    </w:lvl>
    <w:lvl w:ilvl="7" w:tplc="9A1A4CEA">
      <w:start w:val="1"/>
      <w:numFmt w:val="bullet"/>
      <w:lvlText w:val="●"/>
      <w:lvlJc w:val="left"/>
      <w:pPr>
        <w:ind w:left="5760" w:hanging="360"/>
      </w:pPr>
    </w:lvl>
    <w:lvl w:ilvl="8" w:tplc="2F2C0F68">
      <w:start w:val="1"/>
      <w:numFmt w:val="bullet"/>
      <w:lvlText w:val="●"/>
      <w:lvlJc w:val="left"/>
      <w:pPr>
        <w:ind w:left="6480" w:hanging="360"/>
      </w:pPr>
    </w:lvl>
  </w:abstractNum>
  <w:num w:numId="1" w16cid:durableId="127154718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Amer Med Info Assoc&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tdrxpwpgztfvdetvw3pvweb259ww5wes0p2&quot;&gt;My EndNote Library&lt;record-ids&gt;&lt;item&gt;3&lt;/item&gt;&lt;item&gt;4&lt;/item&gt;&lt;item&gt;5&lt;/item&gt;&lt;item&gt;110&lt;/item&gt;&lt;item&gt;113&lt;/item&gt;&lt;item&gt;114&lt;/item&gt;&lt;item&gt;115&lt;/item&gt;&lt;item&gt;116&lt;/item&gt;&lt;item&gt;121&lt;/item&gt;&lt;item&gt;122&lt;/item&gt;&lt;item&gt;125&lt;/item&gt;&lt;item&gt;129&lt;/item&gt;&lt;item&gt;130&lt;/item&gt;&lt;item&gt;131&lt;/item&gt;&lt;item&gt;134&lt;/item&gt;&lt;item&gt;135&lt;/item&gt;&lt;item&gt;136&lt;/item&gt;&lt;item&gt;137&lt;/item&gt;&lt;item&gt;138&lt;/item&gt;&lt;item&gt;139&lt;/item&gt;&lt;item&gt;140&lt;/item&gt;&lt;item&gt;142&lt;/item&gt;&lt;item&gt;143&lt;/item&gt;&lt;item&gt;144&lt;/item&gt;&lt;item&gt;145&lt;/item&gt;&lt;item&gt;146&lt;/item&gt;&lt;item&gt;148&lt;/item&gt;&lt;item&gt;149&lt;/item&gt;&lt;item&gt;150&lt;/item&gt;&lt;item&gt;151&lt;/item&gt;&lt;item&gt;152&lt;/item&gt;&lt;item&gt;153&lt;/item&gt;&lt;item&gt;154&lt;/item&gt;&lt;item&gt;184&lt;/item&gt;&lt;item&gt;188&lt;/item&gt;&lt;item&gt;189&lt;/item&gt;&lt;item&gt;190&lt;/item&gt;&lt;item&gt;191&lt;/item&gt;&lt;item&gt;193&lt;/item&gt;&lt;item&gt;194&lt;/item&gt;&lt;item&gt;196&lt;/item&gt;&lt;item&gt;198&lt;/item&gt;&lt;item&gt;199&lt;/item&gt;&lt;item&gt;201&lt;/item&gt;&lt;item&gt;202&lt;/item&gt;&lt;/record-ids&gt;&lt;/item&gt;&lt;/Libraries&gt;"/>
  </w:docVars>
  <w:rsids>
    <w:rsidRoot w:val="00841284"/>
    <w:rsid w:val="00017562"/>
    <w:rsid w:val="00020FD3"/>
    <w:rsid w:val="00023685"/>
    <w:rsid w:val="000244A5"/>
    <w:rsid w:val="000337E5"/>
    <w:rsid w:val="00046375"/>
    <w:rsid w:val="000539DD"/>
    <w:rsid w:val="00060C8F"/>
    <w:rsid w:val="0006220C"/>
    <w:rsid w:val="00062D84"/>
    <w:rsid w:val="00064E6D"/>
    <w:rsid w:val="0006630A"/>
    <w:rsid w:val="000709F1"/>
    <w:rsid w:val="0007498D"/>
    <w:rsid w:val="000802B9"/>
    <w:rsid w:val="00081219"/>
    <w:rsid w:val="000812D3"/>
    <w:rsid w:val="00086720"/>
    <w:rsid w:val="00086915"/>
    <w:rsid w:val="00092A5A"/>
    <w:rsid w:val="000976F5"/>
    <w:rsid w:val="000A29E9"/>
    <w:rsid w:val="000A5395"/>
    <w:rsid w:val="000A5D01"/>
    <w:rsid w:val="000A696E"/>
    <w:rsid w:val="000B4E19"/>
    <w:rsid w:val="000B52B6"/>
    <w:rsid w:val="000C18BB"/>
    <w:rsid w:val="000C7E8A"/>
    <w:rsid w:val="000D76D6"/>
    <w:rsid w:val="000E1E58"/>
    <w:rsid w:val="000E2605"/>
    <w:rsid w:val="000E4F3D"/>
    <w:rsid w:val="000E73E4"/>
    <w:rsid w:val="000E75F0"/>
    <w:rsid w:val="000F08ED"/>
    <w:rsid w:val="000F1AAC"/>
    <w:rsid w:val="000F1D7E"/>
    <w:rsid w:val="000F6719"/>
    <w:rsid w:val="000F7F30"/>
    <w:rsid w:val="00100C43"/>
    <w:rsid w:val="00100EE1"/>
    <w:rsid w:val="00105B31"/>
    <w:rsid w:val="001060FE"/>
    <w:rsid w:val="001206BE"/>
    <w:rsid w:val="0012378A"/>
    <w:rsid w:val="00126B11"/>
    <w:rsid w:val="00131340"/>
    <w:rsid w:val="00133D5E"/>
    <w:rsid w:val="0013592A"/>
    <w:rsid w:val="00140DE8"/>
    <w:rsid w:val="0016340F"/>
    <w:rsid w:val="0016542D"/>
    <w:rsid w:val="0016798C"/>
    <w:rsid w:val="00173951"/>
    <w:rsid w:val="00175F28"/>
    <w:rsid w:val="001814E1"/>
    <w:rsid w:val="00184555"/>
    <w:rsid w:val="00184702"/>
    <w:rsid w:val="00184B89"/>
    <w:rsid w:val="00186716"/>
    <w:rsid w:val="001910D7"/>
    <w:rsid w:val="001B33B2"/>
    <w:rsid w:val="001B6229"/>
    <w:rsid w:val="001B6660"/>
    <w:rsid w:val="001C7CB4"/>
    <w:rsid w:val="001D22D4"/>
    <w:rsid w:val="001D67F7"/>
    <w:rsid w:val="001E4E6E"/>
    <w:rsid w:val="001E7B0C"/>
    <w:rsid w:val="002115FC"/>
    <w:rsid w:val="00214DEF"/>
    <w:rsid w:val="00220A60"/>
    <w:rsid w:val="0022337E"/>
    <w:rsid w:val="00225AD6"/>
    <w:rsid w:val="00231C97"/>
    <w:rsid w:val="002352EB"/>
    <w:rsid w:val="00237A21"/>
    <w:rsid w:val="00245AE5"/>
    <w:rsid w:val="00255D99"/>
    <w:rsid w:val="00270509"/>
    <w:rsid w:val="00274476"/>
    <w:rsid w:val="002778DC"/>
    <w:rsid w:val="0028060A"/>
    <w:rsid w:val="0028415F"/>
    <w:rsid w:val="00285242"/>
    <w:rsid w:val="00286C1D"/>
    <w:rsid w:val="00292D91"/>
    <w:rsid w:val="002934A5"/>
    <w:rsid w:val="002A29C6"/>
    <w:rsid w:val="002A3EFC"/>
    <w:rsid w:val="002A4EB0"/>
    <w:rsid w:val="002B4D01"/>
    <w:rsid w:val="002C07BC"/>
    <w:rsid w:val="002C2952"/>
    <w:rsid w:val="002C3941"/>
    <w:rsid w:val="002C59E0"/>
    <w:rsid w:val="002D0BDD"/>
    <w:rsid w:val="002D36C7"/>
    <w:rsid w:val="002D3E7A"/>
    <w:rsid w:val="002E4522"/>
    <w:rsid w:val="002E6165"/>
    <w:rsid w:val="002F15BA"/>
    <w:rsid w:val="002F2D2F"/>
    <w:rsid w:val="002F3C78"/>
    <w:rsid w:val="002F3EFA"/>
    <w:rsid w:val="002F4F0C"/>
    <w:rsid w:val="002F7839"/>
    <w:rsid w:val="00300397"/>
    <w:rsid w:val="00303343"/>
    <w:rsid w:val="0030399E"/>
    <w:rsid w:val="003140A6"/>
    <w:rsid w:val="00314FB5"/>
    <w:rsid w:val="00320D14"/>
    <w:rsid w:val="0032173F"/>
    <w:rsid w:val="003222B0"/>
    <w:rsid w:val="00322BA2"/>
    <w:rsid w:val="00325A14"/>
    <w:rsid w:val="00334888"/>
    <w:rsid w:val="00337683"/>
    <w:rsid w:val="00341923"/>
    <w:rsid w:val="00344958"/>
    <w:rsid w:val="00347D11"/>
    <w:rsid w:val="003502E7"/>
    <w:rsid w:val="003542D3"/>
    <w:rsid w:val="00360943"/>
    <w:rsid w:val="00360A1F"/>
    <w:rsid w:val="00365E9F"/>
    <w:rsid w:val="00366FD7"/>
    <w:rsid w:val="00367B43"/>
    <w:rsid w:val="003745F9"/>
    <w:rsid w:val="003869F1"/>
    <w:rsid w:val="003914BD"/>
    <w:rsid w:val="003A0961"/>
    <w:rsid w:val="003A226D"/>
    <w:rsid w:val="003B1F19"/>
    <w:rsid w:val="003B5A82"/>
    <w:rsid w:val="003C306C"/>
    <w:rsid w:val="003C31BD"/>
    <w:rsid w:val="003E1F94"/>
    <w:rsid w:val="003E37C0"/>
    <w:rsid w:val="003F1B8C"/>
    <w:rsid w:val="003F27C8"/>
    <w:rsid w:val="00403B03"/>
    <w:rsid w:val="00416C85"/>
    <w:rsid w:val="004221CA"/>
    <w:rsid w:val="00427919"/>
    <w:rsid w:val="0043132F"/>
    <w:rsid w:val="00432E89"/>
    <w:rsid w:val="00435CCD"/>
    <w:rsid w:val="00437618"/>
    <w:rsid w:val="004454DC"/>
    <w:rsid w:val="004457C1"/>
    <w:rsid w:val="00452027"/>
    <w:rsid w:val="004546F4"/>
    <w:rsid w:val="00470B76"/>
    <w:rsid w:val="00475C9E"/>
    <w:rsid w:val="004774AE"/>
    <w:rsid w:val="00480197"/>
    <w:rsid w:val="00480F47"/>
    <w:rsid w:val="00482F10"/>
    <w:rsid w:val="00483DB8"/>
    <w:rsid w:val="0048705F"/>
    <w:rsid w:val="004900AC"/>
    <w:rsid w:val="004964F1"/>
    <w:rsid w:val="004A1B9A"/>
    <w:rsid w:val="004A44DE"/>
    <w:rsid w:val="004A699A"/>
    <w:rsid w:val="004A6AD3"/>
    <w:rsid w:val="004B1EB1"/>
    <w:rsid w:val="004B2F9A"/>
    <w:rsid w:val="004B3FB3"/>
    <w:rsid w:val="004B5639"/>
    <w:rsid w:val="004B64E4"/>
    <w:rsid w:val="004D253F"/>
    <w:rsid w:val="004D6DF4"/>
    <w:rsid w:val="004D7D3D"/>
    <w:rsid w:val="004E13CF"/>
    <w:rsid w:val="004E1572"/>
    <w:rsid w:val="004E2C7F"/>
    <w:rsid w:val="004F2D87"/>
    <w:rsid w:val="004F311C"/>
    <w:rsid w:val="004F361A"/>
    <w:rsid w:val="004F42BE"/>
    <w:rsid w:val="00505BFF"/>
    <w:rsid w:val="00505CBE"/>
    <w:rsid w:val="00513C51"/>
    <w:rsid w:val="00520084"/>
    <w:rsid w:val="0052015B"/>
    <w:rsid w:val="00521894"/>
    <w:rsid w:val="005239FC"/>
    <w:rsid w:val="0052429A"/>
    <w:rsid w:val="005248FD"/>
    <w:rsid w:val="00524AF0"/>
    <w:rsid w:val="005263EB"/>
    <w:rsid w:val="005302F6"/>
    <w:rsid w:val="0053094D"/>
    <w:rsid w:val="005311ED"/>
    <w:rsid w:val="0053543B"/>
    <w:rsid w:val="005478E8"/>
    <w:rsid w:val="005510F4"/>
    <w:rsid w:val="00555E61"/>
    <w:rsid w:val="005567FA"/>
    <w:rsid w:val="005569B2"/>
    <w:rsid w:val="00557F68"/>
    <w:rsid w:val="005706EF"/>
    <w:rsid w:val="00572261"/>
    <w:rsid w:val="00576472"/>
    <w:rsid w:val="005823BA"/>
    <w:rsid w:val="00582763"/>
    <w:rsid w:val="00584712"/>
    <w:rsid w:val="00585117"/>
    <w:rsid w:val="005A04B5"/>
    <w:rsid w:val="005B3C29"/>
    <w:rsid w:val="005C36DE"/>
    <w:rsid w:val="005C48C4"/>
    <w:rsid w:val="005C71F5"/>
    <w:rsid w:val="005D0A9D"/>
    <w:rsid w:val="005D5F45"/>
    <w:rsid w:val="005E217D"/>
    <w:rsid w:val="005E24F5"/>
    <w:rsid w:val="005E2BFF"/>
    <w:rsid w:val="005E36A1"/>
    <w:rsid w:val="005E4C0B"/>
    <w:rsid w:val="005F1FB3"/>
    <w:rsid w:val="00601442"/>
    <w:rsid w:val="006028B0"/>
    <w:rsid w:val="00605F73"/>
    <w:rsid w:val="00607AFD"/>
    <w:rsid w:val="0061268F"/>
    <w:rsid w:val="00620432"/>
    <w:rsid w:val="00623D51"/>
    <w:rsid w:val="0062526A"/>
    <w:rsid w:val="006263F7"/>
    <w:rsid w:val="00627C22"/>
    <w:rsid w:val="0063529F"/>
    <w:rsid w:val="00635551"/>
    <w:rsid w:val="00640052"/>
    <w:rsid w:val="0064570A"/>
    <w:rsid w:val="006644BC"/>
    <w:rsid w:val="006661FA"/>
    <w:rsid w:val="0066634E"/>
    <w:rsid w:val="00666C2B"/>
    <w:rsid w:val="00673B68"/>
    <w:rsid w:val="006815E7"/>
    <w:rsid w:val="00682517"/>
    <w:rsid w:val="00687EDB"/>
    <w:rsid w:val="00691DC1"/>
    <w:rsid w:val="006963B7"/>
    <w:rsid w:val="00696C8A"/>
    <w:rsid w:val="00697FE7"/>
    <w:rsid w:val="006A02F1"/>
    <w:rsid w:val="006A2F9B"/>
    <w:rsid w:val="006A3C7A"/>
    <w:rsid w:val="006B4D72"/>
    <w:rsid w:val="006B588A"/>
    <w:rsid w:val="006B69E0"/>
    <w:rsid w:val="006B78AD"/>
    <w:rsid w:val="006B7B0D"/>
    <w:rsid w:val="006C14B0"/>
    <w:rsid w:val="006D39CC"/>
    <w:rsid w:val="006D5E30"/>
    <w:rsid w:val="006E0A9F"/>
    <w:rsid w:val="006E23AF"/>
    <w:rsid w:val="006E4F17"/>
    <w:rsid w:val="006E4FB5"/>
    <w:rsid w:val="006E6028"/>
    <w:rsid w:val="006F0828"/>
    <w:rsid w:val="00700AAB"/>
    <w:rsid w:val="00707C9A"/>
    <w:rsid w:val="00707D84"/>
    <w:rsid w:val="00710231"/>
    <w:rsid w:val="007117E0"/>
    <w:rsid w:val="007128D1"/>
    <w:rsid w:val="00714D44"/>
    <w:rsid w:val="00732CCA"/>
    <w:rsid w:val="0073467C"/>
    <w:rsid w:val="00750649"/>
    <w:rsid w:val="00750D28"/>
    <w:rsid w:val="00751072"/>
    <w:rsid w:val="007522E2"/>
    <w:rsid w:val="007542A6"/>
    <w:rsid w:val="00757107"/>
    <w:rsid w:val="007576DA"/>
    <w:rsid w:val="0076114B"/>
    <w:rsid w:val="00765A90"/>
    <w:rsid w:val="00774D85"/>
    <w:rsid w:val="00776223"/>
    <w:rsid w:val="00780024"/>
    <w:rsid w:val="00782BE1"/>
    <w:rsid w:val="00783E4B"/>
    <w:rsid w:val="00785D6E"/>
    <w:rsid w:val="00786A88"/>
    <w:rsid w:val="007A23D2"/>
    <w:rsid w:val="007A2D35"/>
    <w:rsid w:val="007A6135"/>
    <w:rsid w:val="007B0CAE"/>
    <w:rsid w:val="007B3195"/>
    <w:rsid w:val="007C163B"/>
    <w:rsid w:val="007C16D3"/>
    <w:rsid w:val="007C1E00"/>
    <w:rsid w:val="007C5338"/>
    <w:rsid w:val="007D10FB"/>
    <w:rsid w:val="007D17A8"/>
    <w:rsid w:val="007D5187"/>
    <w:rsid w:val="007D6F16"/>
    <w:rsid w:val="007D6F72"/>
    <w:rsid w:val="007D706D"/>
    <w:rsid w:val="007E175C"/>
    <w:rsid w:val="007E35A2"/>
    <w:rsid w:val="007E6F37"/>
    <w:rsid w:val="007F0DE7"/>
    <w:rsid w:val="007F5693"/>
    <w:rsid w:val="0080020B"/>
    <w:rsid w:val="00800EA3"/>
    <w:rsid w:val="00814F6E"/>
    <w:rsid w:val="00821EF5"/>
    <w:rsid w:val="008331E8"/>
    <w:rsid w:val="008341B3"/>
    <w:rsid w:val="00834531"/>
    <w:rsid w:val="00836999"/>
    <w:rsid w:val="0083759B"/>
    <w:rsid w:val="00840028"/>
    <w:rsid w:val="00841284"/>
    <w:rsid w:val="00844E7F"/>
    <w:rsid w:val="008515B6"/>
    <w:rsid w:val="008607DE"/>
    <w:rsid w:val="008617FE"/>
    <w:rsid w:val="008629E0"/>
    <w:rsid w:val="00863866"/>
    <w:rsid w:val="00867117"/>
    <w:rsid w:val="00870A71"/>
    <w:rsid w:val="00871189"/>
    <w:rsid w:val="00872392"/>
    <w:rsid w:val="0088134B"/>
    <w:rsid w:val="00882DC7"/>
    <w:rsid w:val="0088350E"/>
    <w:rsid w:val="00884054"/>
    <w:rsid w:val="00886CB5"/>
    <w:rsid w:val="00887ED5"/>
    <w:rsid w:val="00891C33"/>
    <w:rsid w:val="00893DF2"/>
    <w:rsid w:val="00895A13"/>
    <w:rsid w:val="008A2FA1"/>
    <w:rsid w:val="008A435F"/>
    <w:rsid w:val="008B3FC7"/>
    <w:rsid w:val="008B5AF6"/>
    <w:rsid w:val="008C3280"/>
    <w:rsid w:val="00901A06"/>
    <w:rsid w:val="00906E17"/>
    <w:rsid w:val="00910554"/>
    <w:rsid w:val="00917959"/>
    <w:rsid w:val="00922757"/>
    <w:rsid w:val="0092451C"/>
    <w:rsid w:val="00933495"/>
    <w:rsid w:val="00942C9C"/>
    <w:rsid w:val="00973B65"/>
    <w:rsid w:val="009771BF"/>
    <w:rsid w:val="009772B5"/>
    <w:rsid w:val="00980B95"/>
    <w:rsid w:val="00980C72"/>
    <w:rsid w:val="00981794"/>
    <w:rsid w:val="0099631B"/>
    <w:rsid w:val="009A1900"/>
    <w:rsid w:val="009A1F40"/>
    <w:rsid w:val="009A7915"/>
    <w:rsid w:val="009B5553"/>
    <w:rsid w:val="009B7EC4"/>
    <w:rsid w:val="009C2A29"/>
    <w:rsid w:val="009C44A4"/>
    <w:rsid w:val="009D0D22"/>
    <w:rsid w:val="009D1DF8"/>
    <w:rsid w:val="009E0F12"/>
    <w:rsid w:val="009E3919"/>
    <w:rsid w:val="009E3F3D"/>
    <w:rsid w:val="009F079D"/>
    <w:rsid w:val="009F24E2"/>
    <w:rsid w:val="009F5291"/>
    <w:rsid w:val="00A033DE"/>
    <w:rsid w:val="00A12D08"/>
    <w:rsid w:val="00A17ACA"/>
    <w:rsid w:val="00A22582"/>
    <w:rsid w:val="00A31DB8"/>
    <w:rsid w:val="00A354BD"/>
    <w:rsid w:val="00A365CC"/>
    <w:rsid w:val="00A41BD6"/>
    <w:rsid w:val="00A424E7"/>
    <w:rsid w:val="00A454A2"/>
    <w:rsid w:val="00A479FF"/>
    <w:rsid w:val="00A50678"/>
    <w:rsid w:val="00A51077"/>
    <w:rsid w:val="00A60EC5"/>
    <w:rsid w:val="00A62C42"/>
    <w:rsid w:val="00A74AD2"/>
    <w:rsid w:val="00A80826"/>
    <w:rsid w:val="00A80FDD"/>
    <w:rsid w:val="00A81EEC"/>
    <w:rsid w:val="00A831FB"/>
    <w:rsid w:val="00A865D0"/>
    <w:rsid w:val="00A90C25"/>
    <w:rsid w:val="00A90E27"/>
    <w:rsid w:val="00AA09AC"/>
    <w:rsid w:val="00AA0E87"/>
    <w:rsid w:val="00AA37A0"/>
    <w:rsid w:val="00AA596D"/>
    <w:rsid w:val="00AB5576"/>
    <w:rsid w:val="00AC0733"/>
    <w:rsid w:val="00AC247F"/>
    <w:rsid w:val="00AC2EEF"/>
    <w:rsid w:val="00AC47C1"/>
    <w:rsid w:val="00AE00FF"/>
    <w:rsid w:val="00AE079F"/>
    <w:rsid w:val="00AE3F2E"/>
    <w:rsid w:val="00AF04D0"/>
    <w:rsid w:val="00B00182"/>
    <w:rsid w:val="00B01772"/>
    <w:rsid w:val="00B04A86"/>
    <w:rsid w:val="00B04C03"/>
    <w:rsid w:val="00B0664E"/>
    <w:rsid w:val="00B06BA7"/>
    <w:rsid w:val="00B07B8D"/>
    <w:rsid w:val="00B272F5"/>
    <w:rsid w:val="00B33CB0"/>
    <w:rsid w:val="00B36011"/>
    <w:rsid w:val="00B427E2"/>
    <w:rsid w:val="00B43686"/>
    <w:rsid w:val="00B43A39"/>
    <w:rsid w:val="00B50F0C"/>
    <w:rsid w:val="00B522D1"/>
    <w:rsid w:val="00B53896"/>
    <w:rsid w:val="00B60077"/>
    <w:rsid w:val="00B60DCD"/>
    <w:rsid w:val="00B7458A"/>
    <w:rsid w:val="00B77437"/>
    <w:rsid w:val="00B819E1"/>
    <w:rsid w:val="00B83BA0"/>
    <w:rsid w:val="00B96FCD"/>
    <w:rsid w:val="00BA06F0"/>
    <w:rsid w:val="00BA288E"/>
    <w:rsid w:val="00BA525C"/>
    <w:rsid w:val="00BA5759"/>
    <w:rsid w:val="00BB6EEF"/>
    <w:rsid w:val="00BC23E1"/>
    <w:rsid w:val="00BC5BD7"/>
    <w:rsid w:val="00BC6A31"/>
    <w:rsid w:val="00BD5DF4"/>
    <w:rsid w:val="00BD6BD1"/>
    <w:rsid w:val="00BE10EC"/>
    <w:rsid w:val="00BE36F2"/>
    <w:rsid w:val="00BE615A"/>
    <w:rsid w:val="00BE7F4D"/>
    <w:rsid w:val="00C06AB3"/>
    <w:rsid w:val="00C06BCF"/>
    <w:rsid w:val="00C1009F"/>
    <w:rsid w:val="00C164E7"/>
    <w:rsid w:val="00C23D78"/>
    <w:rsid w:val="00C34DC2"/>
    <w:rsid w:val="00C363DA"/>
    <w:rsid w:val="00C42886"/>
    <w:rsid w:val="00C4769D"/>
    <w:rsid w:val="00C504BD"/>
    <w:rsid w:val="00C52699"/>
    <w:rsid w:val="00C56F76"/>
    <w:rsid w:val="00C60048"/>
    <w:rsid w:val="00C6233F"/>
    <w:rsid w:val="00C7701E"/>
    <w:rsid w:val="00C77A53"/>
    <w:rsid w:val="00C80B54"/>
    <w:rsid w:val="00C84033"/>
    <w:rsid w:val="00C955BE"/>
    <w:rsid w:val="00CA10EF"/>
    <w:rsid w:val="00CB2846"/>
    <w:rsid w:val="00CB4672"/>
    <w:rsid w:val="00CB6826"/>
    <w:rsid w:val="00CC227A"/>
    <w:rsid w:val="00CC7934"/>
    <w:rsid w:val="00CC7E2A"/>
    <w:rsid w:val="00CD0876"/>
    <w:rsid w:val="00CD0D72"/>
    <w:rsid w:val="00CD4A14"/>
    <w:rsid w:val="00CE1CF9"/>
    <w:rsid w:val="00CE6DBB"/>
    <w:rsid w:val="00D00197"/>
    <w:rsid w:val="00D01653"/>
    <w:rsid w:val="00D02962"/>
    <w:rsid w:val="00D10CEA"/>
    <w:rsid w:val="00D12EE0"/>
    <w:rsid w:val="00D141BE"/>
    <w:rsid w:val="00D15156"/>
    <w:rsid w:val="00D16765"/>
    <w:rsid w:val="00D1760E"/>
    <w:rsid w:val="00D202F9"/>
    <w:rsid w:val="00D22272"/>
    <w:rsid w:val="00D31F5B"/>
    <w:rsid w:val="00D413D7"/>
    <w:rsid w:val="00D43B31"/>
    <w:rsid w:val="00D443EB"/>
    <w:rsid w:val="00D457FF"/>
    <w:rsid w:val="00D604D2"/>
    <w:rsid w:val="00D6314F"/>
    <w:rsid w:val="00D84DAC"/>
    <w:rsid w:val="00D912CF"/>
    <w:rsid w:val="00D924D2"/>
    <w:rsid w:val="00D92D40"/>
    <w:rsid w:val="00D96219"/>
    <w:rsid w:val="00DA106E"/>
    <w:rsid w:val="00DA45E8"/>
    <w:rsid w:val="00DA4746"/>
    <w:rsid w:val="00DB2FA2"/>
    <w:rsid w:val="00DB38E0"/>
    <w:rsid w:val="00DB5A3C"/>
    <w:rsid w:val="00DC21CC"/>
    <w:rsid w:val="00DC30F1"/>
    <w:rsid w:val="00DD120B"/>
    <w:rsid w:val="00DD1630"/>
    <w:rsid w:val="00DD3174"/>
    <w:rsid w:val="00DD480A"/>
    <w:rsid w:val="00DD5758"/>
    <w:rsid w:val="00DD6885"/>
    <w:rsid w:val="00DD7628"/>
    <w:rsid w:val="00DE2856"/>
    <w:rsid w:val="00DE3BD6"/>
    <w:rsid w:val="00DE7297"/>
    <w:rsid w:val="00DF26EC"/>
    <w:rsid w:val="00E00CFA"/>
    <w:rsid w:val="00E02E7A"/>
    <w:rsid w:val="00E07153"/>
    <w:rsid w:val="00E073C6"/>
    <w:rsid w:val="00E10180"/>
    <w:rsid w:val="00E1290C"/>
    <w:rsid w:val="00E12C11"/>
    <w:rsid w:val="00E142B9"/>
    <w:rsid w:val="00E17DFC"/>
    <w:rsid w:val="00E27BCB"/>
    <w:rsid w:val="00E3018C"/>
    <w:rsid w:val="00E30B38"/>
    <w:rsid w:val="00E355DD"/>
    <w:rsid w:val="00E41D4C"/>
    <w:rsid w:val="00E42FB3"/>
    <w:rsid w:val="00E50A40"/>
    <w:rsid w:val="00E50C69"/>
    <w:rsid w:val="00E5411B"/>
    <w:rsid w:val="00E64D6F"/>
    <w:rsid w:val="00E72B26"/>
    <w:rsid w:val="00E74E0C"/>
    <w:rsid w:val="00E82085"/>
    <w:rsid w:val="00E830A6"/>
    <w:rsid w:val="00E90B25"/>
    <w:rsid w:val="00E959D2"/>
    <w:rsid w:val="00EB06E6"/>
    <w:rsid w:val="00EC090E"/>
    <w:rsid w:val="00EC1949"/>
    <w:rsid w:val="00EC321A"/>
    <w:rsid w:val="00ED01FF"/>
    <w:rsid w:val="00ED42D9"/>
    <w:rsid w:val="00EE464F"/>
    <w:rsid w:val="00EE5929"/>
    <w:rsid w:val="00EF0208"/>
    <w:rsid w:val="00EF2069"/>
    <w:rsid w:val="00EF430C"/>
    <w:rsid w:val="00EF4324"/>
    <w:rsid w:val="00F12F27"/>
    <w:rsid w:val="00F16D56"/>
    <w:rsid w:val="00F23BF9"/>
    <w:rsid w:val="00F46E2D"/>
    <w:rsid w:val="00F53DBB"/>
    <w:rsid w:val="00F54121"/>
    <w:rsid w:val="00F65BDA"/>
    <w:rsid w:val="00F812F9"/>
    <w:rsid w:val="00F8203C"/>
    <w:rsid w:val="00F87C71"/>
    <w:rsid w:val="00F9075C"/>
    <w:rsid w:val="00F92FF1"/>
    <w:rsid w:val="00F9376A"/>
    <w:rsid w:val="00F943D4"/>
    <w:rsid w:val="00F9697B"/>
    <w:rsid w:val="00FA18FB"/>
    <w:rsid w:val="00FA1941"/>
    <w:rsid w:val="00FC24DC"/>
    <w:rsid w:val="00FC3116"/>
    <w:rsid w:val="00FC3FB8"/>
    <w:rsid w:val="00FC63EA"/>
    <w:rsid w:val="00FE0C00"/>
    <w:rsid w:val="00FE1937"/>
    <w:rsid w:val="00FF0248"/>
    <w:rsid w:val="00FF041B"/>
    <w:rsid w:val="00FF2D68"/>
    <w:rsid w:val="00FF3A51"/>
    <w:rsid w:val="00FF4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D4EEC"/>
  <w15:docId w15:val="{BBEB50EC-6118-864A-9FE9-7A243C80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SimSun"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line="480" w:lineRule="auto"/>
      <w:outlineLvl w:val="0"/>
    </w:pPr>
    <w:rPr>
      <w:rFonts w:eastAsia="Arial"/>
      <w:b/>
      <w:bCs/>
      <w:caps/>
    </w:rPr>
  </w:style>
  <w:style w:type="paragraph" w:styleId="Heading2">
    <w:name w:val="heading 2"/>
    <w:uiPriority w:val="9"/>
    <w:unhideWhenUsed/>
    <w:qFormat/>
    <w:pPr>
      <w:spacing w:before="240" w:after="120" w:line="480" w:lineRule="auto"/>
      <w:outlineLvl w:val="1"/>
    </w:pPr>
    <w:rPr>
      <w:rFonts w:eastAsia="Arial"/>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ndNoteBibliographyTitle">
    <w:name w:val="EndNote Bibliography Title"/>
    <w:basedOn w:val="Normal"/>
    <w:link w:val="EndNoteBibliographyTitleChar"/>
    <w:rsid w:val="00D6314F"/>
    <w:pPr>
      <w:jc w:val="center"/>
    </w:pPr>
  </w:style>
  <w:style w:type="character" w:customStyle="1" w:styleId="EndNoteBibliographyTitleChar">
    <w:name w:val="EndNote Bibliography Title Char"/>
    <w:basedOn w:val="DefaultParagraphFont"/>
    <w:link w:val="EndNoteBibliographyTitle"/>
    <w:rsid w:val="00D6314F"/>
  </w:style>
  <w:style w:type="paragraph" w:customStyle="1" w:styleId="EndNoteBibliography">
    <w:name w:val="EndNote Bibliography"/>
    <w:basedOn w:val="Normal"/>
    <w:link w:val="EndNoteBibliographyChar"/>
    <w:rsid w:val="00D6314F"/>
  </w:style>
  <w:style w:type="character" w:customStyle="1" w:styleId="EndNoteBibliographyChar">
    <w:name w:val="EndNote Bibliography Char"/>
    <w:basedOn w:val="DefaultParagraphFont"/>
    <w:link w:val="EndNoteBibliography"/>
    <w:rsid w:val="00D6314F"/>
  </w:style>
  <w:style w:type="character" w:styleId="UnresolvedMention">
    <w:name w:val="Unresolved Mention"/>
    <w:basedOn w:val="DefaultParagraphFont"/>
    <w:uiPriority w:val="99"/>
    <w:semiHidden/>
    <w:unhideWhenUsed/>
    <w:rsid w:val="00BC5BD7"/>
    <w:rPr>
      <w:color w:val="605E5C"/>
      <w:shd w:val="clear" w:color="auto" w:fill="E1DFDD"/>
    </w:rPr>
  </w:style>
  <w:style w:type="paragraph" w:styleId="Revision">
    <w:name w:val="Revision"/>
    <w:hidden/>
    <w:uiPriority w:val="99"/>
    <w:semiHidden/>
    <w:rsid w:val="00140DE8"/>
  </w:style>
  <w:style w:type="character" w:styleId="CommentReference">
    <w:name w:val="annotation reference"/>
    <w:basedOn w:val="DefaultParagraphFont"/>
    <w:uiPriority w:val="99"/>
    <w:semiHidden/>
    <w:unhideWhenUsed/>
    <w:rsid w:val="0032173F"/>
    <w:rPr>
      <w:sz w:val="16"/>
      <w:szCs w:val="16"/>
    </w:rPr>
  </w:style>
  <w:style w:type="paragraph" w:styleId="CommentText">
    <w:name w:val="annotation text"/>
    <w:basedOn w:val="Normal"/>
    <w:link w:val="CommentTextChar"/>
    <w:uiPriority w:val="99"/>
    <w:unhideWhenUsed/>
    <w:rsid w:val="0032173F"/>
    <w:rPr>
      <w:sz w:val="20"/>
      <w:szCs w:val="20"/>
    </w:rPr>
  </w:style>
  <w:style w:type="character" w:customStyle="1" w:styleId="CommentTextChar">
    <w:name w:val="Comment Text Char"/>
    <w:basedOn w:val="DefaultParagraphFont"/>
    <w:link w:val="CommentText"/>
    <w:uiPriority w:val="99"/>
    <w:rsid w:val="0032173F"/>
    <w:rPr>
      <w:sz w:val="20"/>
      <w:szCs w:val="20"/>
    </w:rPr>
  </w:style>
  <w:style w:type="paragraph" w:styleId="CommentSubject">
    <w:name w:val="annotation subject"/>
    <w:basedOn w:val="CommentText"/>
    <w:next w:val="CommentText"/>
    <w:link w:val="CommentSubjectChar"/>
    <w:uiPriority w:val="99"/>
    <w:semiHidden/>
    <w:unhideWhenUsed/>
    <w:rsid w:val="0032173F"/>
    <w:rPr>
      <w:b/>
      <w:bCs/>
    </w:rPr>
  </w:style>
  <w:style w:type="character" w:customStyle="1" w:styleId="CommentSubjectChar">
    <w:name w:val="Comment Subject Char"/>
    <w:basedOn w:val="CommentTextChar"/>
    <w:link w:val="CommentSubject"/>
    <w:uiPriority w:val="99"/>
    <w:semiHidden/>
    <w:rsid w:val="0032173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u-informatics-lab/aou_covid"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0a8bd55-d538-4219-a108-4714e45030f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6BAE3096FB2E845818A78E07D04B957" ma:contentTypeVersion="10" ma:contentTypeDescription="Create a new document." ma:contentTypeScope="" ma:versionID="a5fdd70ba73768c693a1d91c7bd6a301">
  <xsd:schema xmlns:xsd="http://www.w3.org/2001/XMLSchema" xmlns:xs="http://www.w3.org/2001/XMLSchema" xmlns:p="http://schemas.microsoft.com/office/2006/metadata/properties" xmlns:ns2="00a8bd55-d538-4219-a108-4714e45030fa" targetNamespace="http://schemas.microsoft.com/office/2006/metadata/properties" ma:root="true" ma:fieldsID="3d31e7d98e2598239ad23962336ebb55" ns2:_="">
    <xsd:import namespace="00a8bd55-d538-4219-a108-4714e45030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a8bd55-d538-4219-a108-4714e4503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719CC6-3555-4B3F-BD97-798EF5850291}">
  <ds:schemaRefs>
    <ds:schemaRef ds:uri="http://schemas.microsoft.com/sharepoint/v3/contenttype/forms"/>
  </ds:schemaRefs>
</ds:datastoreItem>
</file>

<file path=customXml/itemProps2.xml><?xml version="1.0" encoding="utf-8"?>
<ds:datastoreItem xmlns:ds="http://schemas.openxmlformats.org/officeDocument/2006/customXml" ds:itemID="{40F27F2A-4596-4812-9716-529BB3EC6E88}">
  <ds:schemaRefs>
    <ds:schemaRef ds:uri="http://schemas.microsoft.com/office/2006/metadata/properties"/>
    <ds:schemaRef ds:uri="http://schemas.microsoft.com/office/infopath/2007/PartnerControls"/>
    <ds:schemaRef ds:uri="00a8bd55-d538-4219-a108-4714e45030fa"/>
  </ds:schemaRefs>
</ds:datastoreItem>
</file>

<file path=customXml/itemProps3.xml><?xml version="1.0" encoding="utf-8"?>
<ds:datastoreItem xmlns:ds="http://schemas.openxmlformats.org/officeDocument/2006/customXml" ds:itemID="{74E8846A-9CF2-4A74-B823-344F463230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a8bd55-d538-4219-a108-4714e45030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1898</TotalTime>
  <Pages>32</Pages>
  <Words>13974</Words>
  <Characters>79657</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 Haining</cp:lastModifiedBy>
  <cp:revision>616</cp:revision>
  <dcterms:created xsi:type="dcterms:W3CDTF">2026-07-06T20:17:00Z</dcterms:created>
  <dcterms:modified xsi:type="dcterms:W3CDTF">2026-07-26T20:24:00Z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0x01010006BAE3096FB2E845818A78E07D04B957</vt:lpwstr>
  </property>
  <property fmtid="{D5CDD505-2E9C-101B-9397-08002B2CF9AE}" pid="3" name="MediaServiceImageTags">
    <vt:lpwstr/>
  </property>
  <property fmtid="{D5CDD505-2E9C-101B-9397-08002B2CF9AE}" pid="4" name="GrammarlyDocumentId">
    <vt:lpwstr>4ffc7536-067a-4bd5-9587-aa0c35b95cce</vt:lpwstr>
  </property>
</Properties>
</file>