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line="480" w:lineRule="auto"/>
      </w:pPr>
      <w:r>
        <w:rPr>
          <w:rFonts w:ascii="Times New Roman" w:hAnsi="Times New Roman"/>
          <w:b/>
        </w:rPr>
        <w:t>v19.0 — 2026-09-02. Built on both re-runs of the pre-index matching-variable fix: All of Us (Researcher Workbench, gs://rw-migration-aou-rw-46c7ae9e/data/covid_sdoh/aou_v7/; Tables 1-2 regenerated by 04_tables.py and the five sensitivity models refit by 03_sensitivity.R, both against the frozen 08_regression_base.csv) and MarketScan (Quartz, Slurm job 10186336). Every coefficient was read twice in different print formats and checked for log-scale interval symmetry, which caught four screen-reading errors among the coefficients printed here; every table block was checked to sum to its column total. Two supplementary tables and one supplementary figure that no sentence cited were removed and the rest renumbered, with every citation verified to resolve. Figures 3-5 were redrawn from the re-run coefficients and the copies embedded here were replaced. No [STALE] markers remain in the main text. In the supplement, eTables 6, 7(a), 10b Panel A, 11a, 11b and 11c were completed from the platform on 2026-09-02; the only item still marked is eTable 10b Panel B, the MarketScan variance comparison, which has to be refit on the cluster. Outstanding: the two draw.io flowchart panels (Figures 1 and 2) and a manual read-through.</w:t>
      </w:r>
    </w:p>
    <w:p w14:paraId="1F85ECFA" w14:textId="7284E487" w:rsidR="00334888" w:rsidRPr="000F6719" w:rsidRDefault="00334888" w:rsidP="00E3018C">
      <w:pPr>
        <w:spacing w:after="240" w:line="480" w:lineRule="auto"/>
        <w:jc w:val="center"/>
        <w:rPr>
          <w:rFonts w:ascii="Times New Roman" w:hAnsi="Times New Roman" w:cs="Times New Roman"/>
        </w:rPr>
      </w:pPr>
      <w:r w:rsidRPr="000F6719">
        <w:rPr>
          <w:rFonts w:ascii="Times New Roman" w:eastAsia="Arial" w:hAnsi="Times New Roman" w:cs="Times New Roman"/>
          <w:b/>
          <w:bCs/>
          <w:sz w:val="28"/>
          <w:szCs w:val="28"/>
        </w:rPr>
        <w:t>Survey-linked EHR measurement of social factors associated with COVID-19 hospitalization in the All of Us Research Program</w:t>
      </w:r>
    </w:p>
    <w:p w14:paraId="730D4EED"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 BSc(c)</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rPr>
        <w:t>* Corresponding author: Jing Su, PhD, Associate Professor, Department of Biostatistics and Health Data Science, Indiana University School of Medicine, 410 W. 10th Street, HITS 3000, Indianapolis, IN 46202, United States. Telephone: +1 317-278-2950. Email: su1@iu.edu</w:t>
      </w:r>
    </w:p>
    <w:p>
      <w:pPr>
        <w:spacing w:line="480" w:lineRule="auto"/>
      </w:pPr>
      <w:r>
        <w:rPr>
          <w:rFonts w:ascii="Times New Roman" w:hAnsi="Times New Roman"/>
        </w:rPr>
        <w:t>Word count: 3,951 excluding title page, abstract, references, tables, figure legends, and end matter (acknowledgments, contributions, funding, conflicts, ethics, data availability) (JAMIA Research and Applications allows 4,000). Abstract: 250 words (limit 250). Tables: 3 (limit 4). Figures: 5 (limit 6). Supplement: 13 eTables, 2 eFigures, 1 eMethod. Limits verified 2026-09-02 against academic.oup.com/jamia/pages/General_Instructions.</w:t>
      </w:r>
    </w:p>
    <w:p w14:paraId="730D4EF5" w14:textId="21DDA583"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Status Disparities; Social Determinants of Health; Electronic Health Records; COVID-19; Hospitalization.</w:t>
      </w:r>
    </w:p>
    <w:p w14:paraId="730D4EF6"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(SDoH) are associated with COVID-19 hospitalization beyond demographic and clinical factors.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623D51" w:rsidRPr="00623D51">
        <w:rPr>
          <w:rFonts w:ascii="Times New Roman" w:eastAsia="Arial" w:hAnsi="Times New Roman" w:cs="Times New Roman"/>
        </w:rPr>
      </w:r>
      <w:r w:rsidRPr="000F6719">
        <w:rPr>
          <w:rFonts w:ascii="Times New Roman" w:eastAsia="Arial" w:hAnsi="Times New Roman" w:cs="Times New Roman"/>
        </w:rPr>
      </w:r>
    </w:p>
    <w:p w14:paraId="730D4EF8" w14:textId="6949C010"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Materials and Methods: Propensity score-matched case-control study in All of Us (n = 25,160 COVID-positive). 3,997 cases hospitalized within 14 days of diagnosis were matched on encounter-density proxies. Conditional logistic models estimated adjusted odds ratios (AORs) for 19 Charlson comorbidities and six SDoH domains, separately, jointly, and with exposure-by-wave interactions.</w:t>
      </w:r>
      <w:r w:rsidRPr="000F6719">
        <w:rPr>
          <w:rFonts w:ascii="Times New Roman" w:eastAsia="Arial" w:hAnsi="Times New Roman" w:cs="Times New Roman"/>
        </w:rPr>
      </w:r>
      <w:r w:rsidR="00FC63EA" w:rsidRPr="00FC63EA">
        <w:rPr>
          <w:rFonts w:ascii="Times New Roman" w:eastAsia="Arial" w:hAnsi="Times New Roman" w:cs="Times New Roman"/>
        </w:rPr>
      </w:r>
      <w:proofErr w:type="spellStart"/>
      <w:r w:rsidR="00FC63EA" w:rsidRPr="00FC63EA">
        <w:rPr>
          <w:rFonts w:ascii="Times New Roman" w:eastAsia="Arial" w:hAnsi="Times New Roman" w:cs="Times New Roman"/>
        </w:rPr>
      </w:r>
      <w:proofErr w:type="spellEnd"/>
      <w:r w:rsidR="00FC63EA" w:rsidRPr="00FC63EA">
        <w:rPr>
          <w:rFonts w:ascii="Times New Roman" w:eastAsia="Arial" w:hAnsi="Times New Roman" w:cs="Times New Roman"/>
        </w:rPr>
      </w:r>
      <w:r w:rsidRPr="000F6719">
        <w:rPr>
          <w:rFonts w:ascii="Times New Roman" w:eastAsia="Arial" w:hAnsi="Times New Roman" w:cs="Times New Roman"/>
        </w:rPr>
      </w:r>
      <w:r w:rsidR="00344958" w:rsidRPr="000F6719">
        <w:rPr>
          <w:rFonts w:ascii="Times New Roman" w:eastAsia="Arial" w:hAnsi="Times New Roman" w:cs="Times New Roman"/>
        </w:rPr>
      </w:r>
      <w:r w:rsidRPr="000F6719">
        <w:rPr>
          <w:rFonts w:ascii="Times New Roman" w:eastAsia="Arial" w:hAnsi="Times New Roman" w:cs="Times New Roman"/>
        </w:rPr>
      </w:r>
    </w:p>
    <w:p w14:paraId="730D4EF9" w14:textId="044757C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Results: Jointly, unemployment (AOR 1.35, 95% CI 1.20-1.52), the two lowest income strata (both 1.21), Medicaid (1.19, 1.05-1.36), and renting (1.16, 1.05-1.28) remained associated; education below GED did not (1.06, 0.92-1.22). Their combined profile carried 1.67-fold odds (1.40-1.99). Six-domain adjustment moved the Black-race AOR from 2.39 (2.18-2.62) to 2.09 (1.89-2.31); income alone accounted for 11.7 of those 15.1 percentage points. Wave interaction was significant for insurance (P = 0.003), not race (P = 0.07) or income (P = 0.22); the pre-specified Black-race contrast, pre-Delta 2.30 against Omicron 1.78, was significant (P = 0.017).</w:t>
      </w:r>
      <w:r w:rsidRPr="000F6719">
        <w:rPr>
          <w:rFonts w:ascii="Times New Roman" w:eastAsia="Arial" w:hAnsi="Times New Roman" w:cs="Times New Roman"/>
        </w:rPr>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r>
    </w:p>
    <w:p w14:paraId="730D4EFA"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Discussion: Four social domains remained associated after clinical adjustment, and employment rather than insurance carried the largest. The survey supplied social detail absent from structured EHR fields, which document 0-2% of encounters. Whether recording it would improve a screening decision is a question this design does not address.</w:t>
      </w:r>
      <w:r w:rsidRPr="000F6719">
        <w:rPr>
          <w:rFonts w:ascii="Times New Roman" w:eastAsia="Arial" w:hAnsi="Times New Roman" w:cs="Times New Roman"/>
        </w:rPr>
      </w:r>
    </w:p>
    <w:p w14:paraId="730D4EFB"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Conclusion: Employment, income, insurance, and housing were independently associated with COVID-19 hospitalization after clinical adjustment. Measured socioeconomic position accounted for about a sixth of the Black-race association, almost all through income. Interpretation depends on survey timing and domain overlap.</w:t>
      </w:r>
      <w:r w:rsidRPr="000F6719">
        <w:rPr>
          <w:rFonts w:ascii="Times New Roman" w:eastAsia="Arial" w:hAnsi="Times New Roman" w:cs="Times New Roman"/>
        </w:rPr>
      </w:r>
    </w:p>
    <w:p w14:paraId="730D4EFC" w14:textId="77777777" w:rsidR="00841284" w:rsidRPr="000F6719" w:rsidRDefault="00841284" w:rsidP="00E3018C">
      <w:pPr>
        <w:spacing w:line="480" w:lineRule="auto"/>
        <w:rPr>
          <w:rFonts w:ascii="Times New Roman" w:hAnsi="Times New Roman" w:cs="Times New Roman"/>
        </w:rPr>
      </w:pP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the health disparities observed during COVID-19 unless preparedness planning incorporates social risk factors alongside clinical ones.[1-3] COVID-19 provided a natural experiment: hospitalization fell disproportionately on Black, Hispanic, and lower-income populations throughout the pandemic,[4, 5] and meta-analytic evidence places the pooled standardised hospitalisation ratio for Black populations near 1.9 (1.87, 95% CI 1.69-2.04) against 0.74 for White populations.[6] What remains contested is how much of that excess reflects specific, measurable individual social conditions, and how much reflects structural factors that individual-level data cannot capture.</w:t>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noProof/>
        </w:rPr>
      </w:r>
      <w:r w:rsidR="00AC2EEF"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C77A53"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BE10EC"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noProof/>
        </w:rPr>
      </w:r>
      <w:r w:rsidR="000E4F3D" w:rsidRPr="000F6719">
        <w:rPr>
          <w:rFonts w:ascii="Times New Roman" w:eastAsia="Arial" w:hAnsi="Times New Roman" w:cs="Times New Roman"/>
        </w:rPr>
      </w:r>
      <w:r w:rsidR="00BE10EC" w:rsidRPr="000F6719">
        <w:rPr>
          <w:rFonts w:ascii="Times New Roman" w:eastAsia="Arial" w:hAnsi="Times New Roman" w:cs="Times New Roman"/>
        </w:rPr>
      </w:r>
      <w:r w:rsidR="00F8203C" w:rsidRPr="000F6719">
        <w:rPr>
          <w:rFonts w:ascii="Times New Roman" w:eastAsia="Arial" w:hAnsi="Times New Roman" w:cs="Times New Roman"/>
        </w:rPr>
      </w:r>
      <w:r w:rsidR="00BE10EC" w:rsidRPr="000F6719">
        <w:rPr>
          <w:rFonts w:ascii="Times New Roman" w:eastAsia="Arial" w:hAnsi="Times New Roman" w:cs="Times New Roman"/>
        </w:rPr>
      </w: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BACKGROUND AND SIGNIFICANCE</w:t>
      </w:r>
    </w:p>
    <w:p w14:paraId="730D4EFE" w14:textId="140C35A1" w:rsidR="00841284" w:rsidRPr="000F6719" w:rsidRDefault="00D413D7"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The exposure most often used to answer that question is an area-level deprivation index, and it is a poor proxy for the circumstances of an individual patient. County-level analyses have linked composite indices to higher incidence and mortality,[7] and the Social Deprivation Index predicted COVID-19 case rates but did not improve prediction of in-hospital outcome once demographics, comorbidities, and vitals were included.[8] In a national Medicare sample, area deprivation indices had low sensitivity for identifying patients with self-reported needs,[9] and in over 1.3 million community health center patients, none of the tested indices predicted individual social risk better than chance.[10]</w:t>
      </w:r>
      <w:r w:rsidR="005263EB"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906E17"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4D253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Microsoft YaHei" w:hAnsi="Times New Roman" w:cs="Times New Roman"/>
        </w:rPr>
      </w:r>
      <w:r w:rsidRPr="000F6719">
        <w:rPr>
          <w:rFonts w:ascii="Times New Roman" w:eastAsia="Arial" w:hAnsi="Times New Roman" w:cs="Times New Roman"/>
        </w:rPr>
      </w:r>
    </w:p>
    <w:p w14:paraId="730D4EFF" w14:textId="1C84096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individual-level alternative, social risk coded in the electronic health record (EHR), is documented in fewer than 2% of encounters.[14-16] Two recent analyses worked around this. In All of Us, Choi et al. entered income, education, and an area-level index simultaneously, and found an income gradient and no association with education.[11] Within the National COVID Cohort Collaborative,[12, 13] Vaidya et al. evaluated three Healthy People 2030 domains and found all three associated with hospitalization, but drew exposures from those same sparsely coded EHR fields.[16] Neither modelled multiple survey-derived domains jointly to assess mutual confounding, and neither matched on encounter density to address informative presence bias, the tendency for sicker and more socially complex patients to generate more EHR data and so to confound associations derived from those records.[17]</w:t>
      </w:r>
      <w:r w:rsidR="000802B9" w:rsidRPr="000F6719">
        <w:rPr>
          <w:rFonts w:ascii="Times New Roman" w:eastAsia="Arial" w:hAnsi="Times New Roman" w:cs="Times New Roman"/>
        </w:rPr>
      </w:r>
      <w:r w:rsidR="00584712" w:rsidRPr="000F6719">
        <w:rPr>
          <w:rFonts w:ascii="Times New Roman" w:eastAsia="Arial" w:hAnsi="Times New Roman" w:cs="Times New Roman"/>
        </w:rPr>
      </w:r>
      <w:r w:rsidRPr="000F6719">
        <w:rPr>
          <w:rFonts w:ascii="Times New Roman" w:eastAsia="Arial" w:hAnsi="Times New Roman" w:cs="Times New Roman"/>
        </w:rPr>
      </w:r>
      <w:r w:rsidR="00DD7628"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0066634E"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noProof/>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proofErr w:type="spellStart"/>
      <w:r w:rsidR="009A7915"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00" w14:textId="4EAB699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Two or three individual-level variables plus an area-level index cannot show which of the wider set of social domains carry independent signal, nor which share it. Here we evaluate six survey-derived social domains (insurance, income, education, employment, housing tenure and stability, and disability) in 25,160 COVID-positive All of Us participants, using a matched case-control design that balances encounter-density proxies rather than clinical severity.[18] We ask which domains remain associated after mutual adjustment and control for 19 Charlson comorbidities, vaccination, and pandemic wave; how much of the Black-race association they account for; and whether either changed from pre-Delta through Omicron. MarketScan Commercial Claims (n = 4.4 million) serves as a cross-cohort check on the clinical model.</w:t>
      </w:r>
      <w:r w:rsidR="00922757" w:rsidRPr="000F6719">
        <w:rPr>
          <w:rFonts w:ascii="Times New Roman" w:eastAsia="Arial" w:hAnsi="Times New Roman" w:cs="Times New Roman"/>
        </w:rPr>
      </w:r>
      <w:r w:rsidRPr="000F6719">
        <w:rPr>
          <w:rFonts w:ascii="Times New Roman" w:eastAsia="Arial" w:hAnsi="Times New Roman" w:cs="Times New Roman"/>
        </w:rPr>
      </w:r>
      <w:r w:rsidR="00E50C69" w:rsidRPr="000F6719">
        <w:rPr>
          <w:rFonts w:ascii="Times New Roman" w:eastAsia="Arial" w:hAnsi="Times New Roman" w:cs="Times New Roman"/>
        </w:rPr>
      </w:r>
      <w:r w:rsidRPr="000F6719">
        <w:rPr>
          <w:rFonts w:ascii="Times New Roman" w:eastAsia="Arial" w:hAnsi="Times New Roman" w:cs="Times New Roman"/>
        </w:rPr>
      </w:r>
      <w:r w:rsidR="001B33B2" w:rsidRPr="000F6719">
        <w:rPr>
          <w:rFonts w:ascii="Times New Roman" w:eastAsia="Arial" w:hAnsi="Times New Roman" w:cs="Times New Roman"/>
        </w:rPr>
      </w:r>
      <w:r w:rsidR="001B33B2"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757107" w:rsidRPr="000F6719">
        <w:rPr>
          <w:rFonts w:ascii="Times New Roman" w:eastAsia="Arial" w:hAnsi="Times New Roman" w:cs="Times New Roman"/>
        </w:rPr>
      </w:r>
    </w:p>
    <w:p w14:paraId="730D4F01" w14:textId="77777777" w:rsidR="00841284" w:rsidRPr="000F6719" w:rsidRDefault="00841284" w:rsidP="00E3018C">
      <w:pPr>
        <w:spacing w:line="480" w:lineRule="auto"/>
        <w:rPr>
          <w:rFonts w:ascii="Times New Roman" w:hAnsi="Times New Roman" w:cs="Times New Roman"/>
        </w:rPr>
      </w:pPr>
    </w:p>
    <w:p w14:paraId="730D4F0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705792"/>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05792"/>
                    </a:xfrm>
                    <a:prstGeom prst="rect">
                      <a:avLst/>
                    </a:prstGeom>
                  </pic:spPr>
                </pic:pic>
              </a:graphicData>
            </a:graphic>
          </wp:inline>
        </w:drawing>
      </w:r>
    </w:p>
    <w:p w14:paraId="730D4F05"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conducted a retrospective case-control study in All of Us Controlled Tier Data, Curated Data Repository version 7 C2022Q4R13, cutoff July 1, 2022. Conditions, drug exposures, visits, the Basics Survey, and vaccination records were extracted using the OMOP Common Data Model version 5.3.1. The COVID-19 index date was the earliest of a documented SARS-CoV-2 positive test or an ICD-10 U07.1 diagnosis. Participants with COVID-19 and both diagnosis and Basics Survey data were eligible. Cases were hospitalized within 14 days of the index date; controls were COVID-positive participants who were not. Control observations whose index date fell within 14 days of the CDR cutoff were excluded, because their follow-up cannot be verified.</w:t>
      </w:r>
      <w:r w:rsidR="005C71F5" w:rsidRPr="000F6719">
        <w:rPr>
          <w:rFonts w:ascii="Times New Roman" w:eastAsia="Arial" w:hAnsi="Times New Roman" w:cs="Times New Roman"/>
        </w:rPr>
      </w:r>
      <w:r w:rsidRPr="000F6719">
        <w:rPr>
          <w:rFonts w:ascii="Times New Roman" w:eastAsia="Arial" w:hAnsi="Times New Roman" w:cs="Times New Roman"/>
        </w:rPr>
      </w:r>
      <w:r w:rsidR="00821EF5" w:rsidRPr="000F6719">
        <w:rPr>
          <w:rFonts w:ascii="Times New Roman" w:eastAsia="Arial" w:hAnsi="Times New Roman" w:cs="Times New Roman"/>
        </w:rPr>
      </w:r>
      <w:r w:rsidRPr="000F6719">
        <w:rPr>
          <w:rFonts w:ascii="Times New Roman" w:eastAsia="Arial" w:hAnsi="Times New Roman" w:cs="Times New Roman"/>
        </w:rPr>
      </w:r>
    </w:p>
    <w:p w14:paraId="730D4F07" w14:textId="16FA887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Matching sought four controls per case on first Basics Survey date, number of diagnoses, and length of medical history as encounter-density proxies, implemented in MatchIt with nearest-neighbor matching with replacement on the logit propensity score and a caliper of 0.2 standard deviations of that score.[22, 23] We matched on encounter density rather than clinical characteristics because patients with more health-system contact accumulate more recorded diagnoses, creating informative presence bias, and adjusting for visit count alone does not correct it.[17, 24, 25] SDoH were excluded from the propensity score because they are the exposures of interest; residual imbalance was addressed through conditional regression. MarketScan matching used the same procedure with first enrollment date, number of distinct diagnoses, and coverage span.</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00086720" w:rsidRPr="000F6719">
        <w:rPr>
          <w:rFonts w:ascii="Times New Roman" w:eastAsia="Arial" w:hAnsi="Times New Roman" w:cs="Times New Roman"/>
        </w:rPr>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primary outcome was COVID-19 hospitalization or extended emergency department care within 14 days of the index date, aligned with the CDC COVID-NET surveillance window.[26] COVID-19 was identified by ICD-10 U07.1 or a positive SARS-CoV-2 laboratory test from 65 measurement concepts (eTable 1). Hospitalization comprised inpatient visits, emergency-to-inpatient visits, and emergency visits with a recorded stay of one or more days; same-day emergency visits without admission were excluded from the strict outcome (eTable 2a; Figure 2). In MarketScan, hospitalization was any inpatient claim carrying U07.1 within 14 days.</w:t>
      </w:r>
      <w:r w:rsidR="00B60DCD"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9772B5" w:rsidRPr="000F6719">
        <w:rPr>
          <w:rFonts w:ascii="Times New Roman" w:eastAsia="Arial" w:hAnsi="Times New Roman" w:cs="Times New Roman"/>
        </w:rPr>
      </w:r>
      <w:r w:rsidR="009772B5" w:rsidRPr="000F6719">
        <w:rPr>
          <w:rFonts w:ascii="Times New Roman" w:eastAsia="Arial" w:hAnsi="Times New Roman" w:cs="Times New Roman"/>
        </w:rPr>
      </w:r>
      <w:proofErr w:type="spellStart"/>
      <w:r w:rsidR="009772B5" w:rsidRPr="000F6719">
        <w:rPr>
          <w:rFonts w:ascii="Times New Roman" w:eastAsia="Arial" w:hAnsi="Times New Roman" w:cs="Times New Roman"/>
        </w:rPr>
      </w:r>
      <w:proofErr w:type="spellEnd"/>
      <w:r w:rsidR="009772B5" w:rsidRPr="000F6719">
        <w:rPr>
          <w:rFonts w:ascii="Times New Roman" w:eastAsia="Arial" w:hAnsi="Times New Roman" w:cs="Times New Roman"/>
        </w:rPr>
      </w:r>
      <w:r w:rsidRPr="000F6719">
        <w:rPr>
          <w:rFonts w:ascii="Times New Roman" w:eastAsia="Arial" w:hAnsi="Times New Roman" w:cs="Times New Roman"/>
        </w:rPr>
      </w:r>
    </w:p>
    <w:p w14:paraId="54CD6304" w14:textId="54952048" w:rsidR="00DD3174" w:rsidRPr="000F6719" w:rsidRDefault="0052015B"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3414691"/>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14691"/>
                    </a:xfrm>
                    <a:prstGeom prst="rect">
                      <a:avLst/>
                    </a:prstGeom>
                  </pic:spPr>
                </pic:pic>
              </a:graphicData>
            </a:graphic>
          </wp:inline>
        </w:drawing>
      </w:r>
    </w:p>
    <w:p w14:paraId="730D4F0B"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extracted demographic features, vaccination status (eTable 3), and Charlson comorbidities (eTable 4),[27] both ascertained only from records dated before the index date. Six SDoH domains (eTable 5) were derived from the Basics Survey, completed a median of 692 days (IQR 286-985) before the index date, with 86.4% preceding infection. Missingness has two mechanisms, and both were kept as an explicit level rather than dropped: income, education, employment, and housing were asked of every participant, so a missing value is a Skip or Prefer-not-to-answer response, whereas disability and insurance were frequently not administered, the ACS-6 items having been added on November 10, 2020 and the insurance item after enrolment began (eMethod). A missing indicator avoids a complete-case analysis; it does not remove missing-data bias.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AC247F"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B60DCD"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Matched data were analyzed by conditional logistic regression with standard errors clustered on person identifier to account for control reuse.[28] Refitting the All of Us base model with the Efron approximation, which permits cluster-robust variance, changed no inference at P = 0.05; MarketScan used model-based standard errors because score residuals are unavailable under the exact method (eTable 10b). Pandemic wave (pre-Delta, before June 15, 2021; Delta, to December 14, 2021; Omicron, thereafter) entered as a covariate. The base model included sex, race, ethnicity, age, wave, vaccination, and 19 Charlson comorbidities. Domain-specific models added one SDoH domain to the base model,[18] and the joint model added all six. From the joint model we contrasted two social profiles as the product of three mutually adjusted odds ratios; stratum intercepts are conditioned out of the likelihood, so absolute probabilities are not estimable. Wave-varying associations come from a single model carrying exposure-by-wave interaction terms, which retains every matched stratum; models fitted within each wave are reported alongside them (eTables 11b, 11c).[29, 30] Race attenuation is the proportional reduction in the log adjusted odds ratio;[31] because the odds ratio is non-collapsible these percentages are indicative rather than exact explained fractions. Both calculations are specified in the eMethod.</w:t>
      </w:r>
      <w:r w:rsidR="00714D44"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00D02962" w:rsidRPr="000F6719">
        <w:rPr>
          <w:rFonts w:ascii="Times New Roman" w:eastAsia="Arial" w:hAnsi="Times New Roman" w:cs="Times New Roman"/>
        </w:rPr>
      </w:r>
      <w:proofErr w:type="spellStart"/>
      <w:r w:rsidR="00D02962" w:rsidRPr="000F6719">
        <w:rPr>
          <w:rFonts w:ascii="Times New Roman" w:eastAsia="Arial" w:hAnsi="Times New Roman" w:cs="Times New Roman"/>
        </w:rPr>
      </w:r>
      <w:proofErr w:type="spellEnd"/>
      <w:r w:rsidR="00D02962" w:rsidRPr="000F6719">
        <w:rPr>
          <w:rFonts w:ascii="Times New Roman" w:eastAsia="Arial" w:hAnsi="Times New Roman" w:cs="Times New Roman"/>
        </w:rPr>
      </w:r>
      <w:r w:rsidR="00D02962" w:rsidRPr="000F6719">
        <w:rPr>
          <w:rFonts w:ascii="Times New Roman" w:eastAsia="Arial" w:hAnsi="Times New Roman" w:cs="Times New Roman"/>
        </w:rPr>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r w:rsidR="005302F6" w:rsidRPr="000F6719">
        <w:rPr>
          <w:rFonts w:ascii="Times New Roman" w:hAnsi="Times New Roman" w:cs="Times New Roman"/>
        </w:rPr>
      </w:r>
      <w:r w:rsidR="005302F6" w:rsidRPr="000F6719">
        <w:rPr>
          <w:rFonts w:ascii="Times New Roman" w:eastAsia="Arial" w:hAnsi="Times New Roman" w:cs="Times New Roman"/>
        </w:rPr>
      </w:r>
      <w:proofErr w:type="gramEnd"/>
      <w:r w:rsidR="005302F6" w:rsidRPr="000F6719">
        <w:rPr>
          <w:rFonts w:ascii="Times New Roman" w:eastAsia="Arial" w:hAnsi="Times New Roman" w:cs="Times New Roman"/>
        </w:rPr>
      </w:r>
      <w:r w:rsidR="00E41D4C"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1" w14:textId="05D5A07A" w:rsidR="00841284" w:rsidRPr="000F6719" w:rsidRDefault="00757107" w:rsidP="00DE7297">
      <w:pPr>
        <w:spacing w:after="120" w:line="480" w:lineRule="auto"/>
        <w:rPr>
          <w:rFonts w:ascii="Times New Roman" w:hAnsi="Times New Roman" w:cs="Times New Roman"/>
        </w:rPr>
      </w:pPr>
      <w:r w:rsidRPr="000F6719">
        <w:rPr>
          <w:rFonts w:ascii="Times New Roman" w:eastAsia="Arial" w:hAnsi="Times New Roman" w:cs="Times New Roman"/>
        </w:rPr>
        <w:t>The MarketScan comparison used the same Charlson code sets and regression framework in Commercial Claims (2020-2023), with insurance plan type and geographic region as site-specific covariates.[32] It tests whether the clinical base model behaves comparably in a different population; it does not test whether the SDoH findings replicate, because MarketScan contains neither race nor individual-level SDoH.</w:t>
      </w:r>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1C7CB4" w:rsidRPr="000F6719">
        <w:rPr>
          <w:rFonts w:ascii="Times New Roman" w:eastAsia="Arial" w:hAnsi="Times New Roman" w:cs="Times New Roman"/>
        </w:rPr>
      </w:r>
      <w:proofErr w:type="spellStart"/>
      <w:r w:rsidR="001C7CB4" w:rsidRPr="000F6719">
        <w:rPr>
          <w:rFonts w:ascii="Times New Roman" w:eastAsia="Arial" w:hAnsi="Times New Roman" w:cs="Times New Roman"/>
        </w:rPr>
      </w:r>
      <w:proofErr w:type="spellEnd"/>
      <w:r w:rsidR="001C7CB4" w:rsidRPr="000F6719">
        <w:rPr>
          <w:rFonts w:ascii="Times New Roman" w:eastAsia="Arial" w:hAnsi="Times New Roman" w:cs="Times New Roman"/>
        </w:rPr>
      </w:r>
      <w:r w:rsidR="00A90C25" w:rsidRPr="000F6719">
        <w:rPr>
          <w:rFonts w:ascii="Times New Roman" w:eastAsia="Arial" w:hAnsi="Times New Roman" w:cs="Times New Roman"/>
        </w:rPr>
      </w:r>
      <w:proofErr w:type="spellStart"/>
      <w:r w:rsidR="00A90C25" w:rsidRPr="000F6719">
        <w:rPr>
          <w:rFonts w:ascii="Times New Roman" w:eastAsia="Arial" w:hAnsi="Times New Roman" w:cs="Times New Roman"/>
        </w:rPr>
      </w:r>
      <w:proofErr w:type="spellEnd"/>
      <w:r w:rsidR="00A90C25" w:rsidRPr="000F6719">
        <w:rPr>
          <w:rFonts w:ascii="Times New Roman" w:eastAsia="Arial" w:hAnsi="Times New Roman" w:cs="Times New Roman"/>
        </w:rPr>
      </w:r>
    </w:p>
    <w:p w14:paraId="730D4F12" w14:textId="77777777" w:rsidR="00841284" w:rsidRPr="000F6719" w:rsidRDefault="00D413D7" w:rsidP="00E3018C">
      <w:pPr>
        <w:pStyle w:val="Heading1"/>
        <w:spacing w:line="48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Among 413,457 All of Us participants, 25,160 had confirmed COVID-19 with both EHR and Basics Survey data, of whom 4,064 (16.2%) met the hospitalization phenotype (Figures 1, 2). Complete matching variables were available for 24,809 participants, including 3,997 of the cases; participants with no diagnosis recorded before the index date have no measurable length of medical history and could not be matched. Most qualifying visits began on the index date itself (eFigure 2). Matching achieved 3.88 controls per case, giving 19,520 observations in 3,997 strata after 437 control observations were removed for unverifiable follow-up near the data cutoff; the 15,523 control observations came from 9,784 unique individuals, and no control was reused more than 10 times (eTable 10). Pre-matching imbalance was largest for diagnosis count (SMD = 0.410), and all three matching variables fell below 0.03 after matching (eTables 6, 7; eFigure 1).</w:t>
      </w:r>
      <w:r w:rsidR="007C1E00" w:rsidRPr="000F6719">
        <w:rPr>
          <w:rFonts w:ascii="Times New Roman" w:eastAsia="Arial" w:hAnsi="Times New Roman" w:cs="Times New Roman"/>
        </w:rPr>
      </w:r>
      <w:proofErr w:type="gramStart"/>
      <w:r w:rsidR="007C1E00" w:rsidRPr="000F6719">
        <w:rPr>
          <w:rFonts w:ascii="Times New Roman" w:eastAsia="Arial" w:hAnsi="Times New Roman" w:cs="Times New Roman"/>
        </w:rPr>
      </w:r>
      <w:proofErr w:type="gramEnd"/>
      <w:r w:rsidR="007C1E00" w:rsidRPr="000F6719">
        <w:rPr>
          <w:rFonts w:ascii="Times New Roman" w:eastAsia="Arial" w:hAnsi="Times New Roman" w:cs="Times New Roman"/>
        </w:rPr>
      </w:r>
      <w:proofErr w:type="spellStart"/>
      <w:r w:rsidR="007C1E00" w:rsidRPr="000F6719">
        <w:rPr>
          <w:rFonts w:ascii="Times New Roman" w:eastAsia="Arial" w:hAnsi="Times New Roman" w:cs="Times New Roman"/>
        </w:rPr>
      </w:r>
      <w:proofErr w:type="spellEnd"/>
      <w:r w:rsidR="007C1E00"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6" w14:textId="75F3D33D" w:rsidR="00841284" w:rsidRPr="000F6719" w:rsidRDefault="00D413D7" w:rsidP="00E3018C">
      <w:pPr>
        <w:spacing w:line="480" w:lineRule="auto"/>
        <w:rPr>
          <w:rFonts w:ascii="Times New Roman" w:hAnsi="Times New Roman" w:cs="Times New Roman"/>
        </w:rPr>
      </w:pPr>
      <w:r w:rsidRPr="000F6719">
        <w:rPr>
          <w:rFonts w:ascii="Times New Roman" w:hAnsi="Times New Roman" w:cs="Times New Roman"/>
        </w:rPr>
        <w:t>Matching balanced encounter-density proxies rather than clinical or social characteristics, so demographic differences between cases and controls persisted, as expected (Tables 1, 2).</w:t>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In the base model, female sex (AOR 0.77, 95% CI 0.71-0.83) and recorded vaccination (0.43, 0.38-0.48) carried lower odds, age rose monotonically to 1.51 (1.35-1.68) at 65 or over, and Black race carried substantially elevated odds (2.39, 2.18-2.62; Table 1, Figure 3). Odds were higher during Delta (1.23, 1.11-1.37) and indistinguishable from the pre-Delta period during Omicron (1.00, 0.92-1.09). Nine of the 19 Charlson conditions reached significance, led by severe renal disease (1.49, 1.29-1.72); two of the nine were inverse, chronic pulmonary disease (0.90, 0.83-0.98) and mild liver disease (0.83, 0.75-0.91), and all 19 are in eTable 9. Both moved toward the null once the matching variables were restricted to records dated before the index date, chronic pulmonary from 0.85 and mild liver from 0.76, closing roughly a third of the distance to 1.0; neither should be read as protective, and the cross-cohort comparison below shows why.</w:t>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3EC7DB56"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5"/>
        </w:rPr>
        <w:t>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s.d., standard deviation.</w:t>
      </w:r>
      <w:proofErr w:type="spellStart"/>
      <w:r w:rsidRPr="000F6719">
        <w:rPr>
          <w:rFonts w:ascii="Times New Roman" w:hAnsi="Times New Roman" w:cs="Times New Roman"/>
          <w:sz w:val="15"/>
        </w:rPr>
      </w:r>
      <w:proofErr w:type="spellEnd"/>
      <w:r w:rsidRPr="000F6719">
        <w:rPr>
          <w:rFonts w:ascii="Times New Roman" w:hAnsi="Times New Roman" w:cs="Times New Roman"/>
          <w:sz w:val="15"/>
        </w:rPr>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line="240" w:lineRule="auto"/>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3,997</w:t>
            </w:r>
          </w:p>
        </w:tc>
        <w:tc>
          <w:tcPr>
            <w:tcW w:w="1642" w:type="dxa"/>
            <w:shd w:val="clear" w:color="auto" w:fill="FFFFFF"/>
          </w:tcPr>
          <w:p w14:paraId="345AABB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15,523</w:t>
            </w:r>
          </w:p>
        </w:tc>
        <w:tc>
          <w:tcPr>
            <w:tcW w:w="1642" w:type="dxa"/>
            <w:shd w:val="clear" w:color="auto" w:fill="FFFFFF"/>
          </w:tcPr>
          <w:p w14:paraId="157B01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127,696</w:t>
            </w:r>
          </w:p>
        </w:tc>
        <w:tc>
          <w:tcPr>
            <w:tcW w:w="1728" w:type="dxa"/>
            <w:shd w:val="clear" w:color="auto" w:fill="FFFFFF"/>
          </w:tcPr>
          <w:p w14:paraId="2AF43E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509,983</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2,409 (60.3)</w:t>
            </w:r>
          </w:p>
        </w:tc>
        <w:tc>
          <w:tcPr>
            <w:tcW w:w="1642" w:type="dxa"/>
            <w:shd w:val="clear" w:color="auto" w:fill="FFFFFF"/>
          </w:tcPr>
          <w:p w14:paraId="2412676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10,612 (68.4)</w:t>
            </w:r>
          </w:p>
        </w:tc>
        <w:tc>
          <w:tcPr>
            <w:tcW w:w="1642" w:type="dxa"/>
            <w:shd w:val="clear" w:color="auto" w:fill="FFFFFF"/>
          </w:tcPr>
          <w:p w14:paraId="7115366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63,945 (50.1)</w:t>
            </w:r>
          </w:p>
        </w:tc>
        <w:tc>
          <w:tcPr>
            <w:tcW w:w="1728" w:type="dxa"/>
            <w:shd w:val="clear" w:color="auto" w:fill="FFFFFF"/>
          </w:tcPr>
          <w:p w14:paraId="55D3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311,378 (61.1)</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1,551 (38.8)</w:t>
            </w:r>
          </w:p>
        </w:tc>
        <w:tc>
          <w:tcPr>
            <w:tcW w:w="1642" w:type="dxa"/>
            <w:shd w:val="clear" w:color="auto" w:fill="FFFFFF"/>
          </w:tcPr>
          <w:p w14:paraId="26993B4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4,773 (30.7)</w:t>
            </w:r>
          </w:p>
        </w:tc>
        <w:tc>
          <w:tcPr>
            <w:tcW w:w="1642" w:type="dxa"/>
            <w:shd w:val="clear" w:color="auto" w:fill="FFFFFF"/>
          </w:tcPr>
          <w:p w14:paraId="5F843F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63,751 (49.9)</w:t>
            </w:r>
          </w:p>
        </w:tc>
        <w:tc>
          <w:tcPr>
            <w:tcW w:w="1728" w:type="dxa"/>
            <w:shd w:val="clear" w:color="auto" w:fill="FFFFFF"/>
          </w:tcPr>
          <w:p w14:paraId="6F7986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198,605 (38.9)</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(0.9)</w:t>
            </w:r>
          </w:p>
        </w:tc>
        <w:tc>
          <w:tcPr>
            <w:tcW w:w="1642" w:type="dxa"/>
            <w:shd w:val="clear" w:color="auto" w:fill="FFFFFF"/>
          </w:tcPr>
          <w:p w14:paraId="0EC23E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1,712 (42.8)</w:t>
            </w:r>
          </w:p>
        </w:tc>
        <w:tc>
          <w:tcPr>
            <w:tcW w:w="1642" w:type="dxa"/>
            <w:shd w:val="clear" w:color="auto" w:fill="FFFFFF"/>
          </w:tcPr>
          <w:p w14:paraId="197981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8,718 (56.2)</w:t>
            </w:r>
          </w:p>
        </w:tc>
        <w:tc>
          <w:tcPr>
            <w:tcW w:w="1642" w:type="dxa"/>
            <w:shd w:val="clear" w:color="auto" w:fill="FFFFFF"/>
          </w:tcPr>
          <w:p w14:paraId="656CA1E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1,194 (29.9)</w:t>
            </w:r>
          </w:p>
        </w:tc>
        <w:tc>
          <w:tcPr>
            <w:tcW w:w="1642" w:type="dxa"/>
            <w:shd w:val="clear" w:color="auto" w:fill="FFFFFF"/>
          </w:tcPr>
          <w:p w14:paraId="43E2D1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2,573 (16.6)</w:t>
            </w:r>
          </w:p>
        </w:tc>
        <w:tc>
          <w:tcPr>
            <w:tcW w:w="1642" w:type="dxa"/>
            <w:shd w:val="clear" w:color="auto" w:fill="FFFFFF"/>
          </w:tcPr>
          <w:p w14:paraId="6F964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59 (1.5)</w:t>
            </w:r>
          </w:p>
        </w:tc>
        <w:tc>
          <w:tcPr>
            <w:tcW w:w="1642" w:type="dxa"/>
            <w:shd w:val="clear" w:color="auto" w:fill="FFFFFF"/>
          </w:tcPr>
          <w:p w14:paraId="38A6E4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253 (1.6)</w:t>
            </w:r>
          </w:p>
        </w:tc>
        <w:tc>
          <w:tcPr>
            <w:tcW w:w="1642" w:type="dxa"/>
            <w:shd w:val="clear" w:color="auto" w:fill="FFFFFF"/>
          </w:tcPr>
          <w:p w14:paraId="759038F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1,032 (25.8)</w:t>
            </w:r>
          </w:p>
        </w:tc>
        <w:tc>
          <w:tcPr>
            <w:tcW w:w="1642" w:type="dxa"/>
            <w:shd w:val="clear" w:color="auto" w:fill="FFFFFF"/>
          </w:tcPr>
          <w:p w14:paraId="45E6D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3,979 (25.6)</w:t>
            </w:r>
          </w:p>
        </w:tc>
        <w:tc>
          <w:tcPr>
            <w:tcW w:w="1642" w:type="dxa"/>
            <w:shd w:val="clear" w:color="auto" w:fill="FFFFFF"/>
          </w:tcPr>
          <w:p w14:paraId="435E859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2,971 (74.3)</w:t>
            </w:r>
          </w:p>
        </w:tc>
        <w:tc>
          <w:tcPr>
            <w:tcW w:w="1642" w:type="dxa"/>
            <w:shd w:val="clear" w:color="auto" w:fill="FFFFFF"/>
          </w:tcPr>
          <w:p w14:paraId="4553A4E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11,518 (74.2)</w:t>
            </w:r>
          </w:p>
        </w:tc>
        <w:tc>
          <w:tcPr>
            <w:tcW w:w="1642" w:type="dxa"/>
            <w:shd w:val="clear" w:color="auto" w:fill="FFFFFF"/>
          </w:tcPr>
          <w:p w14:paraId="34E9B9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897 (22.4)</w:t>
            </w:r>
          </w:p>
        </w:tc>
        <w:tc>
          <w:tcPr>
            <w:tcW w:w="1642" w:type="dxa"/>
            <w:shd w:val="clear" w:color="auto" w:fill="FFFFFF"/>
          </w:tcPr>
          <w:p w14:paraId="15856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3,535 (22.8)</w:t>
            </w:r>
          </w:p>
        </w:tc>
        <w:tc>
          <w:tcPr>
            <w:tcW w:w="1642" w:type="dxa"/>
            <w:shd w:val="clear" w:color="auto" w:fill="FFFFFF"/>
          </w:tcPr>
          <w:p w14:paraId="3958A53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 (3.2)</w:t>
            </w:r>
          </w:p>
        </w:tc>
        <w:tc>
          <w:tcPr>
            <w:tcW w:w="1642" w:type="dxa"/>
            <w:shd w:val="clear" w:color="auto" w:fill="FFFFFF"/>
          </w:tcPr>
          <w:p w14:paraId="017ACB4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 (3.0)</w:t>
            </w:r>
          </w:p>
        </w:tc>
        <w:tc>
          <w:tcPr>
            <w:tcW w:w="1642" w:type="dxa"/>
            <w:shd w:val="clear" w:color="auto" w:fill="FFFFFF"/>
          </w:tcPr>
          <w:p w14:paraId="5ED608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902 (22.6)</w:t>
            </w:r>
          </w:p>
        </w:tc>
        <w:tc>
          <w:tcPr>
            <w:tcW w:w="1642" w:type="dxa"/>
            <w:shd w:val="clear" w:color="auto" w:fill="FFFFFF"/>
          </w:tcPr>
          <w:p w14:paraId="2AE146B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4,544 (29.3)</w:t>
            </w:r>
          </w:p>
        </w:tc>
        <w:tc>
          <w:tcPr>
            <w:tcW w:w="1642" w:type="dxa"/>
            <w:shd w:val="clear" w:color="auto" w:fill="FFFFFF"/>
          </w:tcPr>
          <w:p w14:paraId="1F6225E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48,369 (37.9)</w:t>
            </w:r>
          </w:p>
        </w:tc>
        <w:tc>
          <w:tcPr>
            <w:tcW w:w="1728" w:type="dxa"/>
            <w:shd w:val="clear" w:color="auto" w:fill="FFFFFF"/>
          </w:tcPr>
          <w:p w14:paraId="135415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295,491 (57.9)</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624 (15.6)</w:t>
            </w:r>
          </w:p>
        </w:tc>
        <w:tc>
          <w:tcPr>
            <w:tcW w:w="1642" w:type="dxa"/>
            <w:shd w:val="clear" w:color="auto" w:fill="FFFFFF"/>
          </w:tcPr>
          <w:p w14:paraId="2A8647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2,795 (18.0)</w:t>
            </w:r>
          </w:p>
        </w:tc>
        <w:tc>
          <w:tcPr>
            <w:tcW w:w="1642" w:type="dxa"/>
            <w:shd w:val="clear" w:color="auto" w:fill="FFFFFF"/>
          </w:tcPr>
          <w:p w14:paraId="7C7C5E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34,575 (27.1)</w:t>
            </w:r>
          </w:p>
        </w:tc>
        <w:tc>
          <w:tcPr>
            <w:tcW w:w="1728" w:type="dxa"/>
            <w:shd w:val="clear" w:color="auto" w:fill="FFFFFF"/>
          </w:tcPr>
          <w:p w14:paraId="4A472F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113,166 (22.2)</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1,041 (26.0)</w:t>
            </w:r>
          </w:p>
        </w:tc>
        <w:tc>
          <w:tcPr>
            <w:tcW w:w="1642" w:type="dxa"/>
            <w:shd w:val="clear" w:color="auto" w:fill="FFFFFF"/>
          </w:tcPr>
          <w:p w14:paraId="27DC114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3,482 (22.4)</w:t>
            </w:r>
          </w:p>
        </w:tc>
        <w:tc>
          <w:tcPr>
            <w:tcW w:w="1642" w:type="dxa"/>
            <w:shd w:val="clear" w:color="auto" w:fill="FFFFFF"/>
          </w:tcPr>
          <w:p w14:paraId="408FAF6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44,473 (34.8)</w:t>
            </w:r>
          </w:p>
        </w:tc>
        <w:tc>
          <w:tcPr>
            <w:tcW w:w="1728" w:type="dxa"/>
            <w:shd w:val="clear" w:color="auto" w:fill="FFFFFF"/>
          </w:tcPr>
          <w:p w14:paraId="6349D23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100,756 (19.8)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1,430 (35.8)</w:t>
            </w:r>
          </w:p>
        </w:tc>
        <w:tc>
          <w:tcPr>
            <w:tcW w:w="1642" w:type="dxa"/>
            <w:shd w:val="clear" w:color="auto" w:fill="FFFFFF"/>
          </w:tcPr>
          <w:p w14:paraId="59589EF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4,702 (30.3)</w:t>
            </w:r>
          </w:p>
        </w:tc>
        <w:tc>
          <w:tcPr>
            <w:tcW w:w="1642" w:type="dxa"/>
            <w:shd w:val="clear" w:color="auto" w:fill="FFFFFF"/>
          </w:tcPr>
          <w:p w14:paraId="37D85BF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 (0.2)</w:t>
            </w:r>
          </w:p>
        </w:tc>
        <w:tc>
          <w:tcPr>
            <w:tcW w:w="1728" w:type="dxa"/>
            <w:shd w:val="clear" w:color="auto" w:fill="FFFFFF"/>
          </w:tcPr>
          <w:p w14:paraId="024C65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(0.1)</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57.5 (16.2)</w:t>
            </w:r>
          </w:p>
        </w:tc>
        <w:tc>
          <w:tcPr>
            <w:tcW w:w="1642" w:type="dxa"/>
            <w:shd w:val="clear" w:color="auto" w:fill="FFFFFF"/>
          </w:tcPr>
          <w:p w14:paraId="6EB92F5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45.8 (14.6)</w:t>
            </w:r>
          </w:p>
        </w:tc>
        <w:tc>
          <w:tcPr>
            <w:tcW w:w="1728" w:type="dxa"/>
            <w:shd w:val="clear" w:color="auto" w:fill="FFFFFF"/>
          </w:tcPr>
          <w:p w14:paraId="2B189A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38.2 (16.6)</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 (9.0)</w:t>
            </w:r>
          </w:p>
        </w:tc>
        <w:tc>
          <w:tcPr>
            <w:tcW w:w="1642" w:type="dxa"/>
            <w:shd w:val="clear" w:color="auto" w:fill="FFFFFF"/>
          </w:tcPr>
          <w:p w14:paraId="1389EF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2,829 (18.2)</w:t>
            </w:r>
          </w:p>
        </w:tc>
        <w:tc>
          <w:tcPr>
            <w:tcW w:w="1642" w:type="dxa"/>
            <w:shd w:val="clear" w:color="auto" w:fill="FFFFFF"/>
          </w:tcPr>
          <w:p w14:paraId="2DAFD22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11,002 (8.6)</w:t>
            </w:r>
          </w:p>
        </w:tc>
        <w:tc>
          <w:tcPr>
            <w:tcW w:w="1728" w:type="dxa"/>
            <w:shd w:val="clear" w:color="auto" w:fill="FFFFFF"/>
          </w:tcPr>
          <w:p w14:paraId="4D1E953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67,783 (13.3)</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3,637 (91.0)</w:t>
            </w:r>
          </w:p>
        </w:tc>
        <w:tc>
          <w:tcPr>
            <w:tcW w:w="1642" w:type="dxa"/>
            <w:shd w:val="clear" w:color="auto" w:fill="FFFFFF"/>
          </w:tcPr>
          <w:p w14:paraId="4A4C480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12,694 (81.8)</w:t>
            </w:r>
          </w:p>
        </w:tc>
        <w:tc>
          <w:tcPr>
            <w:tcW w:w="1642" w:type="dxa"/>
            <w:shd w:val="clear" w:color="auto" w:fill="FFFFFF"/>
          </w:tcPr>
          <w:p w14:paraId="6B7312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116,694 (91.4)</w:t>
            </w:r>
          </w:p>
        </w:tc>
        <w:tc>
          <w:tcPr>
            <w:tcW w:w="1728" w:type="dxa"/>
            <w:shd w:val="clear" w:color="auto" w:fill="FFFFFF"/>
          </w:tcPr>
          <w:p w14:paraId="38988A1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442,200 (86.7)</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(14.3)</w:t>
            </w:r>
          </w:p>
        </w:tc>
        <w:tc>
          <w:tcPr>
            <w:tcW w:w="1642" w:type="dxa"/>
            <w:shd w:val="clear" w:color="auto" w:fill="FFFFFF"/>
          </w:tcPr>
          <w:p w14:paraId="6062783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1,575 (10.1)</w:t>
            </w:r>
          </w:p>
        </w:tc>
        <w:tc>
          <w:tcPr>
            <w:tcW w:w="1642" w:type="dxa"/>
            <w:shd w:val="clear" w:color="auto" w:fill="FFFFFF"/>
          </w:tcPr>
          <w:p w14:paraId="3CAB2BD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2,723 (2.1)</w:t>
            </w:r>
          </w:p>
        </w:tc>
        <w:tc>
          <w:tcPr>
            <w:tcW w:w="1728" w:type="dxa"/>
            <w:shd w:val="clear" w:color="auto" w:fill="FFFFFF"/>
          </w:tcPr>
          <w:p w14:paraId="0DBD26E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5,302 (1.0)</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1,034 (25.9)</w:t>
            </w:r>
          </w:p>
        </w:tc>
        <w:tc>
          <w:tcPr>
            <w:tcW w:w="1642" w:type="dxa"/>
            <w:shd w:val="clear" w:color="auto" w:fill="FFFFFF"/>
          </w:tcPr>
          <w:p w14:paraId="40557C9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2,833 (18.3)</w:t>
            </w:r>
          </w:p>
        </w:tc>
        <w:tc>
          <w:tcPr>
            <w:tcW w:w="1642" w:type="dxa"/>
            <w:shd w:val="clear" w:color="auto" w:fill="FFFFFF"/>
          </w:tcPr>
          <w:p w14:paraId="2A99136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6,602 (5.2)</w:t>
            </w:r>
          </w:p>
        </w:tc>
        <w:tc>
          <w:tcPr>
            <w:tcW w:w="1728" w:type="dxa"/>
            <w:shd w:val="clear" w:color="auto" w:fill="FFFFFF"/>
          </w:tcPr>
          <w:p w14:paraId="4D89535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10,184 (2.0)</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882 (22.1)</w:t>
            </w:r>
          </w:p>
        </w:tc>
        <w:tc>
          <w:tcPr>
            <w:tcW w:w="1642" w:type="dxa"/>
            <w:shd w:val="clear" w:color="auto" w:fill="FFFFFF"/>
          </w:tcPr>
          <w:p w14:paraId="0CA026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(18.1)</w:t>
            </w:r>
          </w:p>
        </w:tc>
        <w:tc>
          <w:tcPr>
            <w:tcW w:w="1642" w:type="dxa"/>
            <w:shd w:val="clear" w:color="auto" w:fill="FFFFFF"/>
          </w:tcPr>
          <w:p w14:paraId="76FCA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5,858 (4.6)</w:t>
            </w:r>
          </w:p>
        </w:tc>
        <w:tc>
          <w:tcPr>
            <w:tcW w:w="1728" w:type="dxa"/>
            <w:shd w:val="clear" w:color="auto" w:fill="FFFFFF"/>
          </w:tcPr>
          <w:p w14:paraId="54DC975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13,498 (2.6)</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786 (19.7)</w:t>
            </w:r>
          </w:p>
        </w:tc>
        <w:tc>
          <w:tcPr>
            <w:tcW w:w="1642" w:type="dxa"/>
            <w:shd w:val="clear" w:color="auto" w:fill="FFFFFF"/>
          </w:tcPr>
          <w:p w14:paraId="434F16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2,388 (15.4)</w:t>
            </w:r>
          </w:p>
        </w:tc>
        <w:tc>
          <w:tcPr>
            <w:tcW w:w="1642" w:type="dxa"/>
            <w:shd w:val="clear" w:color="auto" w:fill="FFFFFF"/>
          </w:tcPr>
          <w:p w14:paraId="4C0C15F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4,207 (3.3)</w:t>
            </w:r>
          </w:p>
        </w:tc>
        <w:tc>
          <w:tcPr>
            <w:tcW w:w="1728" w:type="dxa"/>
            <w:shd w:val="clear" w:color="auto" w:fill="FFFFFF"/>
          </w:tcPr>
          <w:p w14:paraId="06B2BD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11,597 (2.3)</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 (6.1)</w:t>
            </w:r>
          </w:p>
        </w:tc>
        <w:tc>
          <w:tcPr>
            <w:tcW w:w="1642" w:type="dxa"/>
            <w:shd w:val="clear" w:color="auto" w:fill="FFFFFF"/>
          </w:tcPr>
          <w:p w14:paraId="69943B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730 (4.7)</w:t>
            </w:r>
          </w:p>
        </w:tc>
        <w:tc>
          <w:tcPr>
            <w:tcW w:w="1642" w:type="dxa"/>
            <w:shd w:val="clear" w:color="auto" w:fill="FFFFFF"/>
          </w:tcPr>
          <w:p w14:paraId="76B61B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1,436 (0.3)</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1,819 (45.5)</w:t>
            </w:r>
          </w:p>
        </w:tc>
        <w:tc>
          <w:tcPr>
            <w:tcW w:w="1642" w:type="dxa"/>
            <w:shd w:val="clear" w:color="auto" w:fill="FFFFFF"/>
          </w:tcPr>
          <w:p w14:paraId="10B37B1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7,384 (47.6)</w:t>
            </w:r>
          </w:p>
        </w:tc>
        <w:tc>
          <w:tcPr>
            <w:tcW w:w="1642" w:type="dxa"/>
            <w:shd w:val="clear" w:color="auto" w:fill="FFFFFF"/>
          </w:tcPr>
          <w:p w14:paraId="50866A8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18,381 (14.4)</w:t>
            </w:r>
          </w:p>
        </w:tc>
        <w:tc>
          <w:tcPr>
            <w:tcW w:w="1728" w:type="dxa"/>
            <w:shd w:val="clear" w:color="auto" w:fill="FFFFFF"/>
          </w:tcPr>
          <w:p w14:paraId="4FB20A2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67,051 (13.1)</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437 (10.9)</w:t>
            </w:r>
          </w:p>
        </w:tc>
        <w:tc>
          <w:tcPr>
            <w:tcW w:w="1642" w:type="dxa"/>
            <w:shd w:val="clear" w:color="auto" w:fill="FFFFFF"/>
          </w:tcPr>
          <w:p w14:paraId="3889E48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1,733 (11.2)</w:t>
            </w:r>
          </w:p>
        </w:tc>
        <w:tc>
          <w:tcPr>
            <w:tcW w:w="1642" w:type="dxa"/>
            <w:shd w:val="clear" w:color="auto" w:fill="FFFFFF"/>
          </w:tcPr>
          <w:p w14:paraId="1D101F7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3,604 (2.8)</w:t>
            </w:r>
          </w:p>
        </w:tc>
        <w:tc>
          <w:tcPr>
            <w:tcW w:w="1728" w:type="dxa"/>
            <w:shd w:val="clear" w:color="auto" w:fill="FFFFFF"/>
          </w:tcPr>
          <w:p w14:paraId="0E94536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13,730 (2.7)</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336 (8.4)</w:t>
            </w:r>
          </w:p>
        </w:tc>
        <w:tc>
          <w:tcPr>
            <w:tcW w:w="1642" w:type="dxa"/>
            <w:shd w:val="clear" w:color="auto" w:fill="FFFFFF"/>
          </w:tcPr>
          <w:p w14:paraId="2AE701B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1,266 (8.2)</w:t>
            </w:r>
          </w:p>
        </w:tc>
        <w:tc>
          <w:tcPr>
            <w:tcW w:w="1642" w:type="dxa"/>
            <w:shd w:val="clear" w:color="auto" w:fill="FFFFFF"/>
          </w:tcPr>
          <w:p w14:paraId="7B39C72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1,170 (0.9)</w:t>
            </w:r>
          </w:p>
        </w:tc>
        <w:tc>
          <w:tcPr>
            <w:tcW w:w="1728" w:type="dxa"/>
            <w:shd w:val="clear" w:color="auto" w:fill="FFFFFF"/>
          </w:tcPr>
          <w:p w14:paraId="729954A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4,401 (0.9)</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854 (21.4)</w:t>
            </w:r>
          </w:p>
        </w:tc>
        <w:tc>
          <w:tcPr>
            <w:tcW w:w="1642" w:type="dxa"/>
            <w:shd w:val="clear" w:color="auto" w:fill="FFFFFF"/>
          </w:tcPr>
          <w:p w14:paraId="369E96F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3,789 (24.4)</w:t>
            </w:r>
          </w:p>
        </w:tc>
        <w:tc>
          <w:tcPr>
            <w:tcW w:w="1642" w:type="dxa"/>
            <w:shd w:val="clear" w:color="auto" w:fill="FFFFFF"/>
          </w:tcPr>
          <w:p w14:paraId="7D121F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7,871 (6.2)</w:t>
            </w:r>
          </w:p>
        </w:tc>
        <w:tc>
          <w:tcPr>
            <w:tcW w:w="1728" w:type="dxa"/>
            <w:shd w:val="clear" w:color="auto" w:fill="FFFFFF"/>
          </w:tcPr>
          <w:p w14:paraId="3B42E9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26,219 (5.1)</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163 (4.1)</w:t>
            </w:r>
          </w:p>
        </w:tc>
        <w:tc>
          <w:tcPr>
            <w:tcW w:w="1642" w:type="dxa"/>
            <w:shd w:val="clear" w:color="auto" w:fill="FFFFFF"/>
          </w:tcPr>
          <w:p w14:paraId="7FDF4C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367 (2.4)</w:t>
            </w:r>
          </w:p>
        </w:tc>
        <w:tc>
          <w:tcPr>
            <w:tcW w:w="1642" w:type="dxa"/>
            <w:shd w:val="clear" w:color="auto" w:fill="FFFFFF"/>
          </w:tcPr>
          <w:p w14:paraId="34899D0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887 (0.7)</w:t>
            </w:r>
          </w:p>
        </w:tc>
        <w:tc>
          <w:tcPr>
            <w:tcW w:w="1728" w:type="dxa"/>
            <w:shd w:val="clear" w:color="auto" w:fill="FFFFFF"/>
          </w:tcPr>
          <w:p w14:paraId="1E594E7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(0.3)</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551 (13.8)</w:t>
            </w:r>
          </w:p>
        </w:tc>
        <w:tc>
          <w:tcPr>
            <w:tcW w:w="1642" w:type="dxa"/>
            <w:shd w:val="clear" w:color="auto" w:fill="FFFFFF"/>
          </w:tcPr>
          <w:p w14:paraId="46C2171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1,978 (12.7)</w:t>
            </w:r>
          </w:p>
        </w:tc>
        <w:tc>
          <w:tcPr>
            <w:tcW w:w="1642" w:type="dxa"/>
            <w:shd w:val="clear" w:color="auto" w:fill="FFFFFF"/>
          </w:tcPr>
          <w:p w14:paraId="1EFD27B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19,060 (14.9)</w:t>
            </w:r>
          </w:p>
        </w:tc>
        <w:tc>
          <w:tcPr>
            <w:tcW w:w="1728" w:type="dxa"/>
            <w:shd w:val="clear" w:color="auto" w:fill="FFFFFF"/>
          </w:tcPr>
          <w:p w14:paraId="70E8BD0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41,002 (8.0)</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1,075 (26.9)</w:t>
            </w:r>
          </w:p>
        </w:tc>
        <w:tc>
          <w:tcPr>
            <w:tcW w:w="1642" w:type="dxa"/>
            <w:shd w:val="clear" w:color="auto" w:fill="FFFFFF"/>
          </w:tcPr>
          <w:p w14:paraId="7319AE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3,064 (19.7)</w:t>
            </w:r>
          </w:p>
        </w:tc>
        <w:tc>
          <w:tcPr>
            <w:tcW w:w="1642" w:type="dxa"/>
            <w:shd w:val="clear" w:color="auto" w:fill="FFFFFF"/>
          </w:tcPr>
          <w:p w14:paraId="3B55450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11,676 (9.1)</w:t>
            </w:r>
          </w:p>
        </w:tc>
        <w:tc>
          <w:tcPr>
            <w:tcW w:w="1728" w:type="dxa"/>
            <w:shd w:val="clear" w:color="auto" w:fill="FFFFFF"/>
          </w:tcPr>
          <w:p w14:paraId="5145C5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18,144 (3.6)</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212 (5.3)</w:t>
            </w:r>
          </w:p>
        </w:tc>
        <w:tc>
          <w:tcPr>
            <w:tcW w:w="1642" w:type="dxa"/>
            <w:shd w:val="clear" w:color="auto" w:fill="FFFFFF"/>
          </w:tcPr>
          <w:p w14:paraId="3D0FF6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636 (4.1)</w:t>
            </w:r>
          </w:p>
        </w:tc>
        <w:tc>
          <w:tcPr>
            <w:tcW w:w="1642" w:type="dxa"/>
            <w:shd w:val="clear" w:color="auto" w:fill="FFFFFF"/>
          </w:tcPr>
          <w:p w14:paraId="2872D2B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1,458 (1.1)</w:t>
            </w:r>
          </w:p>
        </w:tc>
        <w:tc>
          <w:tcPr>
            <w:tcW w:w="1728" w:type="dxa"/>
            <w:shd w:val="clear" w:color="auto" w:fill="FFFFFF"/>
          </w:tcPr>
          <w:p w14:paraId="580BBA7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2,595 (0.5)</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630 (15.8)</w:t>
            </w:r>
          </w:p>
        </w:tc>
        <w:tc>
          <w:tcPr>
            <w:tcW w:w="1642" w:type="dxa"/>
            <w:shd w:val="clear" w:color="auto" w:fill="FFFFFF"/>
          </w:tcPr>
          <w:p w14:paraId="2A3898E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2,000 (12.9)</w:t>
            </w:r>
          </w:p>
        </w:tc>
        <w:tc>
          <w:tcPr>
            <w:tcW w:w="1642" w:type="dxa"/>
            <w:shd w:val="clear" w:color="auto" w:fill="FFFFFF"/>
          </w:tcPr>
          <w:p w14:paraId="584DB5A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6,192 (4.8)</w:t>
            </w:r>
          </w:p>
        </w:tc>
        <w:tc>
          <w:tcPr>
            <w:tcW w:w="1728" w:type="dxa"/>
            <w:shd w:val="clear" w:color="auto" w:fill="FFFFFF"/>
          </w:tcPr>
          <w:p w14:paraId="383E66D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10,373 (2.0)</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479 (12.0)</w:t>
            </w:r>
          </w:p>
        </w:tc>
        <w:tc>
          <w:tcPr>
            <w:tcW w:w="1642" w:type="dxa"/>
            <w:shd w:val="clear" w:color="auto" w:fill="FFFFFF"/>
          </w:tcPr>
          <w:p w14:paraId="19BEBD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1,009 (6.5)</w:t>
            </w:r>
          </w:p>
        </w:tc>
        <w:tc>
          <w:tcPr>
            <w:tcW w:w="1642" w:type="dxa"/>
            <w:shd w:val="clear" w:color="auto" w:fill="FFFFFF"/>
          </w:tcPr>
          <w:p w14:paraId="458B2E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(2.2)</w:t>
            </w:r>
          </w:p>
        </w:tc>
        <w:tc>
          <w:tcPr>
            <w:tcW w:w="1728" w:type="dxa"/>
            <w:shd w:val="clear" w:color="auto" w:fill="FFFFFF"/>
          </w:tcPr>
          <w:p w14:paraId="0785FEC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2,543 (0.5)</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(0.8)</w:t>
            </w:r>
          </w:p>
        </w:tc>
        <w:tc>
          <w:tcPr>
            <w:tcW w:w="1642" w:type="dxa"/>
            <w:shd w:val="clear" w:color="auto" w:fill="FFFFFF"/>
          </w:tcPr>
          <w:p w14:paraId="3145A6C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 (0.3)</w:t>
            </w:r>
          </w:p>
        </w:tc>
        <w:tc>
          <w:tcPr>
            <w:tcW w:w="1728" w:type="dxa"/>
            <w:shd w:val="clear" w:color="auto" w:fill="FFFFFF"/>
          </w:tcPr>
          <w:p w14:paraId="581CB2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1,243 (0.2)</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191 (4.8)</w:t>
            </w:r>
          </w:p>
        </w:tc>
        <w:tc>
          <w:tcPr>
            <w:tcW w:w="1642" w:type="dxa"/>
            <w:shd w:val="clear" w:color="auto" w:fill="FFFFFF"/>
          </w:tcPr>
          <w:p w14:paraId="360AA5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576 (3.7)</w:t>
            </w:r>
          </w:p>
        </w:tc>
        <w:tc>
          <w:tcPr>
            <w:tcW w:w="1642" w:type="dxa"/>
            <w:shd w:val="clear" w:color="auto" w:fill="FFFFFF"/>
          </w:tcPr>
          <w:p w14:paraId="518640A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2,291 (1.8)</w:t>
            </w:r>
          </w:p>
        </w:tc>
        <w:tc>
          <w:tcPr>
            <w:tcW w:w="1728" w:type="dxa"/>
            <w:shd w:val="clear" w:color="auto" w:fill="FFFFFF"/>
          </w:tcPr>
          <w:p w14:paraId="266BD29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3,607 (0.7)</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700 (17.5)</w:t>
            </w:r>
          </w:p>
        </w:tc>
        <w:tc>
          <w:tcPr>
            <w:tcW w:w="1642" w:type="dxa"/>
            <w:shd w:val="clear" w:color="auto" w:fill="FFFFFF"/>
          </w:tcPr>
          <w:p w14:paraId="248DE2E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2,432 (15.7)</w:t>
            </w:r>
          </w:p>
        </w:tc>
        <w:tc>
          <w:tcPr>
            <w:tcW w:w="1642" w:type="dxa"/>
            <w:shd w:val="clear" w:color="auto" w:fill="FFFFFF"/>
          </w:tcPr>
          <w:p w14:paraId="7247C1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4,940 (3.9)</w:t>
            </w:r>
          </w:p>
        </w:tc>
        <w:tc>
          <w:tcPr>
            <w:tcW w:w="1728" w:type="dxa"/>
            <w:shd w:val="clear" w:color="auto" w:fill="FFFFFF"/>
          </w:tcPr>
          <w:p w14:paraId="45E9041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13,622 (2.7)</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252 (1.6)</w:t>
            </w:r>
          </w:p>
        </w:tc>
        <w:tc>
          <w:tcPr>
            <w:tcW w:w="1642" w:type="dxa"/>
            <w:shd w:val="clear" w:color="auto" w:fill="FFFFFF"/>
          </w:tcPr>
          <w:p w14:paraId="7A0657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269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2,037 (51.0)</w:t>
            </w:r>
          </w:p>
        </w:tc>
        <w:tc>
          <w:tcPr>
            <w:tcW w:w="1642" w:type="dxa"/>
            <w:shd w:val="clear" w:color="auto" w:fill="FFFFFF"/>
          </w:tcPr>
          <w:p w14:paraId="578DAFC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7,222 (46.5)</w:t>
            </w:r>
          </w:p>
        </w:tc>
        <w:tc>
          <w:tcPr>
            <w:tcW w:w="1642" w:type="dxa"/>
            <w:shd w:val="clear" w:color="auto" w:fill="FFFFFF"/>
          </w:tcPr>
          <w:p w14:paraId="719D61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638 (16.0)</w:t>
            </w:r>
          </w:p>
        </w:tc>
        <w:tc>
          <w:tcPr>
            <w:tcW w:w="1642" w:type="dxa"/>
            <w:shd w:val="clear" w:color="auto" w:fill="FFFFFF"/>
          </w:tcPr>
          <w:p w14:paraId="76C307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2,279 (14.7)</w:t>
            </w:r>
          </w:p>
        </w:tc>
        <w:tc>
          <w:tcPr>
            <w:tcW w:w="1642" w:type="dxa"/>
            <w:shd w:val="clear" w:color="auto" w:fill="FFFFFF"/>
          </w:tcPr>
          <w:p w14:paraId="32F098B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1,322 (33.1)</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6,022 (38.8)</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9) but is not tabulated here. Cell counts &lt;20 are suppressed.</w:t>
      </w:r>
    </w:p>
    <w:p w14:paraId="1C4520C0"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spacing w:line="480" w:lineRule="auto"/>
        <w:rPr>
          <w:rFonts w:ascii="Times New Roman" w:hAnsi="Times New Roman" w:cs="Times New Roman"/>
          <w:b/>
          <w:sz w:val="18"/>
        </w:rPr>
      </w:pPr>
    </w:p>
    <w:p w14:paraId="12B3491D" w14:textId="5265C2ED"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5"/>
        </w:rPr>
        <w:t>Data are n (%). Percentages are column percentages of the matched cohort (3,997 cases; 15,523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0314BFC9"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665 (16.6)</w:t>
            </w:r>
          </w:p>
        </w:tc>
        <w:tc>
          <w:tcPr>
            <w:tcW w:w="2232" w:type="dxa"/>
            <w:shd w:val="clear" w:color="auto" w:fill="FFFFFF"/>
          </w:tcPr>
          <w:p w14:paraId="611785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2,066 (13.3)</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641 (16.0)</w:t>
            </w:r>
          </w:p>
        </w:tc>
        <w:tc>
          <w:tcPr>
            <w:tcW w:w="2232" w:type="dxa"/>
            <w:shd w:val="clear" w:color="auto" w:fill="FFFFFF"/>
          </w:tcPr>
          <w:p w14:paraId="53128FF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2,156 (13.9)</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314 (7.9)</w:t>
            </w:r>
          </w:p>
        </w:tc>
        <w:tc>
          <w:tcPr>
            <w:tcW w:w="2232" w:type="dxa"/>
            <w:shd w:val="clear" w:color="auto" w:fill="FFFFFF"/>
          </w:tcPr>
          <w:p w14:paraId="32BFE13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1,363 (8.8)</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782 (19.6)</w:t>
            </w:r>
          </w:p>
        </w:tc>
        <w:tc>
          <w:tcPr>
            <w:tcW w:w="2232" w:type="dxa"/>
            <w:shd w:val="clear" w:color="auto" w:fill="FFFFFF"/>
          </w:tcPr>
          <w:p w14:paraId="32F0B62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4,253 (27.4)</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274 (6.9)</w:t>
            </w:r>
          </w:p>
        </w:tc>
        <w:tc>
          <w:tcPr>
            <w:tcW w:w="2232" w:type="dxa"/>
            <w:shd w:val="clear" w:color="auto" w:fill="FFFFFF"/>
          </w:tcPr>
          <w:p w14:paraId="4748F15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1,385 (8.9)</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(3.1)</w:t>
            </w:r>
          </w:p>
        </w:tc>
        <w:tc>
          <w:tcPr>
            <w:tcW w:w="2232" w:type="dxa"/>
            <w:shd w:val="clear" w:color="auto" w:fill="FFFFFF"/>
          </w:tcPr>
          <w:p w14:paraId="3CA7AD4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606 (3.9)</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(3.5)</w:t>
            </w:r>
          </w:p>
        </w:tc>
        <w:tc>
          <w:tcPr>
            <w:tcW w:w="2232" w:type="dxa"/>
            <w:shd w:val="clear" w:color="auto" w:fill="FFFFFF"/>
          </w:tcPr>
          <w:p w14:paraId="78555F2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737 (4.7)</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 (26.5)</w:t>
            </w:r>
          </w:p>
        </w:tc>
        <w:tc>
          <w:tcPr>
            <w:tcW w:w="2232" w:type="dxa"/>
            <w:shd w:val="clear" w:color="auto" w:fill="FFFFFF"/>
          </w:tcPr>
          <w:p w14:paraId="374387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2,957 (19.0)</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2B64E832"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1,065 (26.6)</w:t>
            </w:r>
          </w:p>
        </w:tc>
        <w:tc>
          <w:tcPr>
            <w:tcW w:w="2232" w:type="dxa"/>
            <w:shd w:val="clear" w:color="auto" w:fill="FFFFFF"/>
          </w:tcPr>
          <w:p w14:paraId="6E13EE0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6,027 (38.8)</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331 (2.1)</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(32.9)</w:t>
            </w:r>
          </w:p>
        </w:tc>
        <w:tc>
          <w:tcPr>
            <w:tcW w:w="2232" w:type="dxa"/>
            <w:shd w:val="clear" w:color="auto" w:fill="FFFFFF"/>
          </w:tcPr>
          <w:p w14:paraId="75572A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3,994 (25.7)</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1,416 (35.4)</w:t>
            </w:r>
          </w:p>
        </w:tc>
        <w:tc>
          <w:tcPr>
            <w:tcW w:w="2232" w:type="dxa"/>
            <w:shd w:val="clear" w:color="auto" w:fill="FFFFFF"/>
          </w:tcPr>
          <w:p w14:paraId="1431557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4,786 (30.8)</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118 (3.0)</w:t>
            </w:r>
          </w:p>
        </w:tc>
        <w:tc>
          <w:tcPr>
            <w:tcW w:w="2232" w:type="dxa"/>
            <w:shd w:val="clear" w:color="auto" w:fill="FFFFFF"/>
          </w:tcPr>
          <w:p w14:paraId="64FB49A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385 (2.5)</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4693C25F"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511E238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565 (14.1)</w:t>
            </w:r>
          </w:p>
        </w:tc>
        <w:tc>
          <w:tcPr>
            <w:tcW w:w="2232" w:type="dxa"/>
            <w:shd w:val="clear" w:color="auto" w:fill="FFFFFF"/>
          </w:tcPr>
          <w:p w14:paraId="0C457E8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1,594 (10.3)</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727575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2,099 (52.5)</w:t>
            </w:r>
          </w:p>
        </w:tc>
        <w:tc>
          <w:tcPr>
            <w:tcW w:w="2232" w:type="dxa"/>
            <w:shd w:val="clear" w:color="auto" w:fill="FFFFFF"/>
          </w:tcPr>
          <w:p w14:paraId="1F337B6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7,801 (50.3)</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5FA9F63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1,223 (30.6)</w:t>
            </w:r>
          </w:p>
        </w:tc>
        <w:tc>
          <w:tcPr>
            <w:tcW w:w="2232" w:type="dxa"/>
            <w:shd w:val="clear" w:color="auto" w:fill="FFFFFF"/>
          </w:tcPr>
          <w:p w14:paraId="16569E7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5,860 (37.8)</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74831F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 (2.8)</w:t>
            </w:r>
          </w:p>
        </w:tc>
        <w:tc>
          <w:tcPr>
            <w:tcW w:w="2232" w:type="dxa"/>
            <w:shd w:val="clear" w:color="auto" w:fill="FFFFFF"/>
          </w:tcPr>
          <w:p w14:paraId="77B122A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268 (1.7)</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tenure</w:t>
            </w:r>
          </w:p>
        </w:tc>
        <w:tc>
          <w:tcPr>
            <w:tcW w:w="2232" w:type="dxa"/>
            <w:shd w:val="clear" w:color="auto" w:fill="FFFFFF"/>
          </w:tcPr>
          <w:p w14:paraId="097D50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278B368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Own home (reference)</w:t>
            </w:r>
          </w:p>
        </w:tc>
        <w:tc>
          <w:tcPr>
            <w:tcW w:w="2232" w:type="dxa"/>
            <w:shd w:val="clear" w:color="auto" w:fill="FFFFFF"/>
          </w:tcPr>
          <w:p w14:paraId="4912E6DF" w14:textId="77777777" w:rsidR="000F6719" w:rsidRPr="000F6719" w:rsidRDefault="000F6719" w:rsidP="004762C3">
            <w:pPr>
              <w:spacing w:before="24" w:after="24" w:line="240" w:lineRule="auto"/>
              <w:jc w:val="right"/>
              <w:rPr>
                <w:rFonts w:ascii="Times New Roman" w:hAnsi="Times New Roman" w:cs="Times New Roman"/>
              </w:rPr>
            </w:pPr>
            <w:r>
              <w:t>1,503 (37.6)</w:t>
            </w:r>
          </w:p>
        </w:tc>
        <w:tc>
          <w:tcPr>
            <w:tcW w:w="2232" w:type="dxa"/>
            <w:shd w:val="clear" w:color="auto" w:fill="FFFFFF"/>
          </w:tcPr>
          <w:p w14:paraId="752FE4FB" w14:textId="77777777" w:rsidR="000F6719" w:rsidRPr="000F6719" w:rsidRDefault="000F6719" w:rsidP="004762C3">
            <w:pPr>
              <w:spacing w:before="24" w:after="24" w:line="240" w:lineRule="auto"/>
              <w:jc w:val="right"/>
              <w:rPr>
                <w:rFonts w:ascii="Times New Roman" w:hAnsi="Times New Roman" w:cs="Times New Roman"/>
              </w:rPr>
            </w:pPr>
            <w:r>
              <w:t>6,949 (44.8)</w:t>
            </w: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1CA87AE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1,987 (49.7)</w:t>
            </w:r>
          </w:p>
        </w:tc>
        <w:tc>
          <w:tcPr>
            <w:tcW w:w="2232" w:type="dxa"/>
            <w:shd w:val="clear" w:color="auto" w:fill="FFFFFF"/>
          </w:tcPr>
          <w:p w14:paraId="0680BF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6,633 (42.7)</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04BF36A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338 (8.5)</w:t>
            </w:r>
          </w:p>
        </w:tc>
        <w:tc>
          <w:tcPr>
            <w:tcW w:w="2232" w:type="dxa"/>
            <w:shd w:val="clear" w:color="auto" w:fill="FFFFFF"/>
          </w:tcPr>
          <w:p w14:paraId="36A18A9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1,406 (9.1)</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3FE439B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186E2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535 (3.4)</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stability</w:t>
            </w:r>
          </w:p>
        </w:tc>
        <w:tc>
          <w:tcPr>
            <w:tcW w:w="2232" w:type="dxa"/>
            <w:shd w:val="clear" w:color="auto" w:fill="FFFFFF"/>
          </w:tcPr>
          <w:p w14:paraId="0EDC624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37B40F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Stable (reference)</w:t>
            </w:r>
          </w:p>
        </w:tc>
        <w:tc>
          <w:tcPr>
            <w:tcW w:w="2232" w:type="dxa"/>
            <w:shd w:val="clear" w:color="auto" w:fill="FFFFFF"/>
          </w:tcPr>
          <w:p w14:paraId="14F6E154" w14:textId="77777777" w:rsidR="000F6719" w:rsidRPr="000F6719" w:rsidRDefault="000F6719" w:rsidP="004762C3">
            <w:pPr>
              <w:spacing w:before="24" w:after="24" w:line="240" w:lineRule="auto"/>
              <w:jc w:val="right"/>
              <w:rPr>
                <w:rFonts w:ascii="Times New Roman" w:hAnsi="Times New Roman" w:cs="Times New Roman"/>
              </w:rPr>
            </w:pPr>
            <w:r>
              <w:t>3,229 (80.8)</w:t>
            </w:r>
          </w:p>
        </w:tc>
        <w:tc>
          <w:tcPr>
            <w:tcW w:w="2232" w:type="dxa"/>
            <w:shd w:val="clear" w:color="auto" w:fill="FFFFFF"/>
          </w:tcPr>
          <w:p w14:paraId="5E2F1E11" w14:textId="77777777" w:rsidR="000F6719" w:rsidRPr="000F6719" w:rsidRDefault="000F6719" w:rsidP="004762C3">
            <w:pPr>
              <w:spacing w:before="24" w:after="24" w:line="240" w:lineRule="auto"/>
              <w:jc w:val="right"/>
              <w:rPr>
                <w:rFonts w:ascii="Times New Roman" w:hAnsi="Times New Roman" w:cs="Times New Roman"/>
              </w:rPr>
            </w:pPr>
            <w:r>
              <w:t>12,673 (81.6)</w:t>
            </w: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0DB94D0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695 (17.4)</w:t>
            </w:r>
          </w:p>
        </w:tc>
        <w:tc>
          <w:tcPr>
            <w:tcW w:w="2232" w:type="dxa"/>
            <w:shd w:val="clear" w:color="auto" w:fill="FFFFFF"/>
          </w:tcPr>
          <w:p w14:paraId="18CC53B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2,653 (17.1)</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12D02E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5799D3C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 (1.3)</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Disability (any)</w:t>
            </w:r>
          </w:p>
        </w:tc>
        <w:tc>
          <w:tcPr>
            <w:tcW w:w="2232" w:type="dxa"/>
            <w:shd w:val="clear" w:color="auto" w:fill="FFFFFF"/>
          </w:tcPr>
          <w:p w14:paraId="7B2B7D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4E6CFCC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Yes</w:t>
            </w:r>
          </w:p>
        </w:tc>
        <w:tc>
          <w:tcPr>
            <w:tcW w:w="2232" w:type="dxa"/>
            <w:shd w:val="clear" w:color="auto" w:fill="FFFFFF"/>
          </w:tcPr>
          <w:p w14:paraId="44EC10ED" w14:textId="77777777" w:rsidR="000F6719" w:rsidRPr="000F6719" w:rsidRDefault="000F6719" w:rsidP="004762C3">
            <w:pPr>
              <w:spacing w:before="24" w:after="24" w:line="240" w:lineRule="auto"/>
              <w:jc w:val="right"/>
              <w:rPr>
                <w:rFonts w:ascii="Times New Roman" w:hAnsi="Times New Roman" w:cs="Times New Roman"/>
              </w:rPr>
            </w:pPr>
            <w:r>
              <w:t>546 (13.7)</w:t>
            </w:r>
          </w:p>
        </w:tc>
        <w:tc>
          <w:tcPr>
            <w:tcW w:w="2232" w:type="dxa"/>
            <w:shd w:val="clear" w:color="auto" w:fill="FFFFFF"/>
          </w:tcPr>
          <w:p w14:paraId="2F521FA0" w14:textId="77777777" w:rsidR="000F6719" w:rsidRPr="000F6719" w:rsidRDefault="000F6719" w:rsidP="004762C3">
            <w:pPr>
              <w:spacing w:before="24" w:after="24" w:line="240" w:lineRule="auto"/>
              <w:jc w:val="right"/>
              <w:rPr>
                <w:rFonts w:ascii="Times New Roman" w:hAnsi="Times New Roman" w:cs="Times New Roman"/>
              </w:rPr>
            </w:pPr>
            <w:r>
              <w:t>1,969 (12.7)</w:t>
            </w: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1D8BCA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788 (19.7)</w:t>
            </w:r>
          </w:p>
        </w:tc>
        <w:tc>
          <w:tcPr>
            <w:tcW w:w="2232" w:type="dxa"/>
            <w:shd w:val="clear" w:color="auto" w:fill="FFFFFF"/>
          </w:tcPr>
          <w:p w14:paraId="16E6B02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3,308 (21.3)</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F28FDC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2,663 (66.6)</w:t>
            </w:r>
          </w:p>
        </w:tc>
        <w:tc>
          <w:tcPr>
            <w:tcW w:w="2232" w:type="dxa"/>
            <w:shd w:val="clear" w:color="auto" w:fill="FFFFFF"/>
          </w:tcPr>
          <w:p w14:paraId="629CB4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10,246 (66.0)</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Insurance type</w:t>
            </w:r>
          </w:p>
        </w:tc>
        <w:tc>
          <w:tcPr>
            <w:tcW w:w="2232" w:type="dxa"/>
            <w:shd w:val="clear" w:color="auto" w:fill="FFFFFF"/>
          </w:tcPr>
          <w:p w14:paraId="1475DB7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0870494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Employer (reference)</w:t>
            </w:r>
          </w:p>
        </w:tc>
        <w:tc>
          <w:tcPr>
            <w:tcW w:w="2232" w:type="dxa"/>
            <w:shd w:val="clear" w:color="auto" w:fill="FFFFFF"/>
          </w:tcPr>
          <w:p w14:paraId="62D3FB83" w14:textId="77777777" w:rsidR="000F6719" w:rsidRPr="000F6719" w:rsidRDefault="000F6719" w:rsidP="004762C3">
            <w:pPr>
              <w:spacing w:before="24" w:after="24" w:line="240" w:lineRule="auto"/>
              <w:jc w:val="right"/>
              <w:rPr>
                <w:rFonts w:ascii="Times New Roman" w:hAnsi="Times New Roman" w:cs="Times New Roman"/>
              </w:rPr>
            </w:pPr>
            <w:r>
              <w:t>775 (19.4)</w:t>
            </w:r>
          </w:p>
        </w:tc>
        <w:tc>
          <w:tcPr>
            <w:tcW w:w="2232" w:type="dxa"/>
            <w:shd w:val="clear" w:color="auto" w:fill="FFFFFF"/>
          </w:tcPr>
          <w:p w14:paraId="7964BEF5" w14:textId="77777777" w:rsidR="000F6719" w:rsidRPr="000F6719" w:rsidRDefault="000F6719" w:rsidP="004762C3">
            <w:pPr>
              <w:spacing w:before="24" w:after="24" w:line="240" w:lineRule="auto"/>
              <w:jc w:val="right"/>
              <w:rPr>
                <w:rFonts w:ascii="Times New Roman" w:hAnsi="Times New Roman" w:cs="Times New Roman"/>
              </w:rPr>
            </w:pPr>
            <w:r>
              <w:t>4,313 (27.8)</w:t>
            </w: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2A2575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929 (23.2)</w:t>
            </w:r>
          </w:p>
        </w:tc>
        <w:tc>
          <w:tcPr>
            <w:tcW w:w="2232" w:type="dxa"/>
            <w:shd w:val="clear" w:color="auto" w:fill="FFFFFF"/>
          </w:tcPr>
          <w:p w14:paraId="28FC37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3,245 (20.9)</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0F03A7A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1,387 (34.7)</w:t>
            </w:r>
          </w:p>
        </w:tc>
        <w:tc>
          <w:tcPr>
            <w:tcW w:w="2232" w:type="dxa"/>
            <w:shd w:val="clear" w:color="auto" w:fill="FFFFFF"/>
          </w:tcPr>
          <w:p w14:paraId="1A43B4A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4,083 (26.3)</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454A847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364 (9.1)</w:t>
            </w:r>
          </w:p>
        </w:tc>
        <w:tc>
          <w:tcPr>
            <w:tcW w:w="2232" w:type="dxa"/>
            <w:shd w:val="clear" w:color="auto" w:fill="FFFFFF"/>
          </w:tcPr>
          <w:p w14:paraId="56C85F7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1,290 (8.3)</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871E40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542 (13.6)</w:t>
            </w:r>
          </w:p>
        </w:tc>
        <w:tc>
          <w:tcPr>
            <w:tcW w:w="2232" w:type="dxa"/>
            <w:shd w:val="clear" w:color="auto" w:fill="FFFFFF"/>
          </w:tcPr>
          <w:p w14:paraId="7446D78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2,592 (16.7)</w:t>
            </w:r>
          </w:p>
        </w:tc>
      </w:tr>
    </w:tbl>
    <w:p w14:paraId="797CA7AD"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“Missing” denotes a Skip or Prefer-not-to-answer response. Cell counts under 20 are suppressed per the All of Us Data and Statistics Dissemination Policy, which also forbids reporting counts from which such a count could be derived by subtraction. Participants who reported never having attended school are therefore counted within the “Below high school or GED” row here; they were modelled as a separate category, whose estimate is not reported.</w:t>
      </w:r>
    </w:p>
    <w:p w14:paraId="3E3996C7"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line="480" w:lineRule="auto"/>
        <w:rPr>
          <w:rFonts w:ascii="Times New Roman" w:hAnsi="Times New Roman" w:cs="Times New Roman"/>
        </w:rPr>
      </w:pPr>
    </w:p>
    <w:p w14:paraId="038A5DDD" w14:textId="2CE71ABF" w:rsidR="00840028" w:rsidRPr="000F6719" w:rsidRDefault="004D6DF4" w:rsidP="00B96FCD">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445252"/>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445252"/>
                    </a:xfrm>
                    <a:prstGeom prst="rect">
                      <a:avLst/>
                    </a:prstGeom>
                  </pic:spPr>
                </pic:pic>
              </a:graphicData>
            </a:graphic>
          </wp:inline>
        </w:drawing>
      </w:r>
    </w:p>
    <w:p w14:paraId="730D4F1A"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Each domain was first entered alone into the base model (Table 3, Figure 4). Medicaid coverage carried the largest insurance estimate (AOR 1.54, 1.38-1.71) and other or no coverage was also elevated (1.33, 1.15-1.54). The income pattern was not monotonic: the three lowest strata were elevated (&lt;$10,000, 1.51, 1.33-1.71) but so was $100,000-149,999 (1.17, 1.002-1.37), which may reflect heterogeneity within the broad $35,000-99,999 reference or residual confounding from unmeasured factors such as occupational exposure. Education below GED (1.29, 1.13-1.47), unemployment (1.55, 1.40-1.71), student status (1.48, 1.14-1.92), non-employment (1.40, 1.25-1.56), and renting (1.28, 1.18-1.40) were all elevated. Housing instability was not significant (1.00, 0.91-1.10), and neither was disability under any of the seven definitions tested, from a single lumped indicator (1.02, 0.90-1.17) to each ACS-6 item entered separately. A fifth education category, participants who reported never having attended school, was carried in the models but is not reported: fewer than 20 participants fall in it in each group.</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91C33" w:rsidRPr="00891C33">
        <w:rPr>
          <w:rFonts w:ascii="Times New Roman" w:eastAsia="Arial" w:hAnsi="Times New Roman" w:cs="Times New Roman"/>
        </w:rPr>
      </w:r>
      <w:r w:rsidRPr="000F6719">
        <w:rPr>
          <w:rFonts w:ascii="Times New Roman" w:eastAsia="Arial" w:hAnsi="Times New Roman" w:cs="Times New Roman"/>
        </w:rPr>
      </w:r>
      <w:r w:rsidR="004B3FB3" w:rsidRPr="004B3FB3">
        <w:rPr>
          <w:rFonts w:ascii="Times New Roman" w:eastAsia="Arial" w:hAnsi="Times New Roman" w:cs="Times New Roman"/>
        </w:rPr>
      </w:r>
      <w:r w:rsidRPr="000F6719">
        <w:rPr>
          <w:rFonts w:ascii="Times New Roman" w:eastAsia="Arial" w:hAnsi="Times New Roman" w:cs="Times New Roman"/>
        </w:rPr>
      </w:r>
      <w:r w:rsidR="008341B3" w:rsidRPr="008341B3">
        <w:rPr>
          <w:rFonts w:ascii="Times New Roman" w:eastAsia="Arial" w:hAnsi="Times New Roman" w:cs="Times New Roman"/>
        </w:rPr>
      </w:r>
      <w:r w:rsidRPr="000F6719">
        <w:rPr>
          <w:rFonts w:ascii="Times New Roman" w:eastAsia="Arial" w:hAnsi="Times New Roman" w:cs="Times New Roman"/>
        </w:rPr>
      </w:r>
      <w:r w:rsidR="00D01653" w:rsidRPr="00D01653">
        <w:rPr>
          <w:rFonts w:ascii="Times New Roman" w:eastAsia="Arial" w:hAnsi="Times New Roman" w:cs="Times New Roman"/>
        </w:rPr>
      </w:r>
      <w:r w:rsidRPr="000F6719">
        <w:rPr>
          <w:rFonts w:ascii="Times New Roman" w:eastAsia="Arial" w:hAnsi="Times New Roman" w:cs="Times New Roman"/>
        </w:rPr>
      </w:r>
      <w:r w:rsidR="009F24E2" w:rsidRPr="000F6719">
        <w:rPr>
          <w:rFonts w:ascii="Times New Roman" w:eastAsia="Arial" w:hAnsi="Times New Roman" w:cs="Times New Roman"/>
        </w:rPr>
      </w:r>
      <w:r w:rsidRPr="000F6719">
        <w:rPr>
          <w:rFonts w:ascii="Times New Roman" w:eastAsia="Arial" w:hAnsi="Times New Roman" w:cs="Times New Roman"/>
        </w:rPr>
      </w:r>
    </w:p>
    <w:p w14:paraId="56AEB7FD" w14:textId="7E916FA3" w:rsidR="006263F7" w:rsidRPr="000F6719" w:rsidRDefault="003C31BD" w:rsidP="006263F7">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378470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84701"/>
                    </a:xfrm>
                    <a:prstGeom prst="rect">
                      <a:avLst/>
                    </a:prstGeom>
                  </pic:spPr>
                </pic:pic>
              </a:graphicData>
            </a:graphic>
          </wp:inline>
        </w:drawing>
      </w:r>
    </w:p>
    <w:p w14:paraId="346C531F"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1843073A"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1.50*** (1.33–1.71)</w:t>
            </w:r>
          </w:p>
        </w:tc>
        <w:tc>
          <w:tcPr>
            <w:tcW w:w="2664" w:type="dxa"/>
            <w:shd w:val="clear" w:color="auto" w:fill="FFFFFF"/>
          </w:tcPr>
          <w:p w14:paraId="0F5A566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(1.05–1.40)</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1.41*** (1.24–1.60)</w:t>
            </w:r>
          </w:p>
        </w:tc>
        <w:tc>
          <w:tcPr>
            <w:tcW w:w="2664" w:type="dxa"/>
            <w:shd w:val="clear" w:color="auto" w:fill="FFFFFF"/>
          </w:tcPr>
          <w:p w14:paraId="090CB6C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(1.05–1.38)</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1.18* (1.01–1.37)</w:t>
            </w:r>
          </w:p>
        </w:tc>
        <w:tc>
          <w:tcPr>
            <w:tcW w:w="2664" w:type="dxa"/>
            <w:shd w:val="clear" w:color="auto" w:fill="FFFFFF"/>
          </w:tcPr>
          <w:p w14:paraId="48A0A28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1.10 (0.94–1.28)</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1.17* (1.002–1.37)</w:t>
            </w:r>
          </w:p>
        </w:tc>
        <w:tc>
          <w:tcPr>
            <w:tcW w:w="2664" w:type="dxa"/>
            <w:shd w:val="clear" w:color="auto" w:fill="FFFFFF"/>
          </w:tcPr>
          <w:p w14:paraId="15A6D95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(1.03–1.42)</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(0.97–1.50)</w:t>
            </w:r>
          </w:p>
        </w:tc>
        <w:tc>
          <w:tcPr>
            <w:tcW w:w="2664" w:type="dxa"/>
            <w:shd w:val="clear" w:color="auto" w:fill="FFFFFF"/>
          </w:tcPr>
          <w:p w14:paraId="1FFFC6F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1.09 (0.89–1.34)</w:t>
            </w:r>
          </w:p>
        </w:tc>
        <w:tc>
          <w:tcPr>
            <w:tcW w:w="2664" w:type="dxa"/>
            <w:shd w:val="clear" w:color="auto" w:fill="FFFFFF"/>
          </w:tcPr>
          <w:p w14:paraId="21882E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(0.93–1.42)</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1.71*** (1.53–1.91)</w:t>
            </w:r>
          </w:p>
        </w:tc>
        <w:tc>
          <w:tcPr>
            <w:tcW w:w="2664" w:type="dxa"/>
            <w:shd w:val="clear" w:color="auto" w:fill="FFFFFF"/>
          </w:tcPr>
          <w:p w14:paraId="762DDF8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1.49*** (1.32–1.68)</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51F5D577"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(1.01–1.31)</w:t>
            </w:r>
          </w:p>
        </w:tc>
        <w:tc>
          <w:tcPr>
            <w:tcW w:w="2664" w:type="dxa"/>
            <w:shd w:val="clear" w:color="auto" w:fill="FFFFFF"/>
          </w:tcPr>
          <w:p w14:paraId="278607B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(0.85–1.13)</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1.54*** (1.38–1.71)</w:t>
            </w:r>
          </w:p>
        </w:tc>
        <w:tc>
          <w:tcPr>
            <w:tcW w:w="2664" w:type="dxa"/>
            <w:shd w:val="clear" w:color="auto" w:fill="FFFFFF"/>
          </w:tcPr>
          <w:p w14:paraId="55D12DB3"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1.19** (1.05–1.36)</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1.33*** (1.15–1.54)</w:t>
            </w:r>
          </w:p>
        </w:tc>
        <w:tc>
          <w:tcPr>
            <w:tcW w:w="2664" w:type="dxa"/>
            <w:shd w:val="clear" w:color="auto" w:fill="FFFFFF"/>
          </w:tcPr>
          <w:p w14:paraId="62AB1D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(0.95–1.30)</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3D2EB701"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6533EB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1.29*** (1.13–1.47)</w:t>
            </w:r>
          </w:p>
        </w:tc>
        <w:tc>
          <w:tcPr>
            <w:tcW w:w="2664" w:type="dxa"/>
            <w:shd w:val="clear" w:color="auto" w:fill="FFFFFF"/>
          </w:tcPr>
          <w:p w14:paraId="13E231B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1.06 (0.92–1.22)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14A3AA5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(1.01–1.21)</w:t>
            </w:r>
          </w:p>
        </w:tc>
        <w:tc>
          <w:tcPr>
            <w:tcW w:w="2664" w:type="dxa"/>
            <w:shd w:val="clear" w:color="auto" w:fill="FFFFFF"/>
          </w:tcPr>
          <w:p w14:paraId="65CA299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1.01 (0.92–1.11)</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Employment (reference: Employed)</w:t>
            </w:r>
          </w:p>
        </w:tc>
        <w:tc>
          <w:tcPr>
            <w:tcW w:w="2664" w:type="dxa"/>
            <w:shd w:val="clear" w:color="auto" w:fill="FFFFFF"/>
          </w:tcPr>
          <w:p w14:paraId="0D97A7A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0E0799E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Unemployed</w:t>
            </w:r>
          </w:p>
        </w:tc>
        <w:tc>
          <w:tcPr>
            <w:tcW w:w="2664" w:type="dxa"/>
            <w:shd w:val="clear" w:color="auto" w:fill="FFFFFF"/>
          </w:tcPr>
          <w:p w14:paraId="0EB2AC13" w14:textId="77777777" w:rsidR="00C06AB3" w:rsidRPr="00C06AB3" w:rsidRDefault="00C06AB3" w:rsidP="004762C3">
            <w:pPr>
              <w:spacing w:before="24" w:after="24" w:line="240" w:lineRule="auto"/>
              <w:jc w:val="right"/>
              <w:rPr>
                <w:rFonts w:ascii="Times New Roman" w:hAnsi="Times New Roman" w:cs="Times New Roman"/>
              </w:rPr>
            </w:pPr>
            <w:r>
              <w:t>1.55*** (1.40–1.71)</w:t>
            </w:r>
          </w:p>
        </w:tc>
        <w:tc>
          <w:tcPr>
            <w:tcW w:w="2664" w:type="dxa"/>
            <w:shd w:val="clear" w:color="auto" w:fill="FFFFFF"/>
          </w:tcPr>
          <w:p w14:paraId="778008AD" w14:textId="77777777" w:rsidR="00C06AB3" w:rsidRPr="00C06AB3" w:rsidRDefault="00C06AB3" w:rsidP="004762C3">
            <w:pPr>
              <w:spacing w:before="24" w:after="24" w:line="240" w:lineRule="auto"/>
              <w:jc w:val="right"/>
              <w:rPr>
                <w:rFonts w:ascii="Times New Roman" w:hAnsi="Times New Roman" w:cs="Times New Roman"/>
              </w:rPr>
            </w:pPr>
            <w:r>
              <w:t>1.35*** (1.20–1.52)</w:t>
            </w: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335D6E4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1.48** (1.14–1.92)</w:t>
            </w:r>
          </w:p>
        </w:tc>
        <w:tc>
          <w:tcPr>
            <w:tcW w:w="2664" w:type="dxa"/>
            <w:shd w:val="clear" w:color="auto" w:fill="FFFFFF"/>
          </w:tcPr>
          <w:p w14:paraId="225D8A5E"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1.37* (1.05–1.78)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0FC5802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1.40*** (1.25–1.56)</w:t>
            </w:r>
          </w:p>
        </w:tc>
        <w:tc>
          <w:tcPr>
            <w:tcW w:w="2664" w:type="dxa"/>
            <w:shd w:val="clear" w:color="auto" w:fill="FFFFFF"/>
          </w:tcPr>
          <w:p w14:paraId="26D1589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1.28*** (1.14–1.44)</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tenure (reference: Own home)</w:t>
            </w:r>
          </w:p>
        </w:tc>
        <w:tc>
          <w:tcPr>
            <w:tcW w:w="2664" w:type="dxa"/>
            <w:shd w:val="clear" w:color="auto" w:fill="FFFFFF"/>
          </w:tcPr>
          <w:p w14:paraId="3BEA99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320487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Rent</w:t>
            </w:r>
          </w:p>
        </w:tc>
        <w:tc>
          <w:tcPr>
            <w:tcW w:w="2664" w:type="dxa"/>
            <w:shd w:val="clear" w:color="auto" w:fill="FFFFFF"/>
          </w:tcPr>
          <w:p w14:paraId="55EAA6CC" w14:textId="77777777" w:rsidR="00C06AB3" w:rsidRPr="00C06AB3" w:rsidRDefault="00C06AB3" w:rsidP="004762C3">
            <w:pPr>
              <w:spacing w:before="24" w:after="24" w:line="240" w:lineRule="auto"/>
              <w:jc w:val="right"/>
              <w:rPr>
                <w:rFonts w:ascii="Times New Roman" w:hAnsi="Times New Roman" w:cs="Times New Roman"/>
              </w:rPr>
            </w:pPr>
            <w:r>
              <w:t>1.28*** (1.18–1.40)</w:t>
            </w:r>
          </w:p>
        </w:tc>
        <w:tc>
          <w:tcPr>
            <w:tcW w:w="2664" w:type="dxa"/>
            <w:shd w:val="clear" w:color="auto" w:fill="FFFFFF"/>
          </w:tcPr>
          <w:p w14:paraId="260DCE42" w14:textId="77777777" w:rsidR="00C06AB3" w:rsidRPr="00C06AB3" w:rsidRDefault="00C06AB3" w:rsidP="004762C3">
            <w:pPr>
              <w:spacing w:before="24" w:after="24" w:line="240" w:lineRule="auto"/>
              <w:jc w:val="right"/>
              <w:rPr>
                <w:rFonts w:ascii="Times New Roman" w:hAnsi="Times New Roman" w:cs="Times New Roman"/>
              </w:rPr>
            </w:pPr>
            <w:r>
              <w:t>1.16** (1.05–1.28)</w:t>
            </w: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72C99C4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1.13 (0.98–1.30)</w:t>
            </w:r>
          </w:p>
        </w:tc>
        <w:tc>
          <w:tcPr>
            <w:tcW w:w="2664" w:type="dxa"/>
            <w:shd w:val="clear" w:color="auto" w:fill="FFFFFF"/>
          </w:tcPr>
          <w:p w14:paraId="3B7DE01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(0.84–1.14)</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stability (reference: Stable)</w:t>
            </w:r>
          </w:p>
        </w:tc>
        <w:tc>
          <w:tcPr>
            <w:tcW w:w="2664" w:type="dxa"/>
            <w:shd w:val="clear" w:color="auto" w:fill="FFFFFF"/>
          </w:tcPr>
          <w:p w14:paraId="0F8A798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4E64017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Unstable</w:t>
            </w:r>
          </w:p>
        </w:tc>
        <w:tc>
          <w:tcPr>
            <w:tcW w:w="2664" w:type="dxa"/>
            <w:shd w:val="clear" w:color="auto" w:fill="FFFFFF"/>
          </w:tcPr>
          <w:p w14:paraId="14276174" w14:textId="77777777" w:rsidR="00C06AB3" w:rsidRPr="00C06AB3" w:rsidRDefault="00C06AB3" w:rsidP="004762C3">
            <w:pPr>
              <w:spacing w:before="24" w:after="24" w:line="240" w:lineRule="auto"/>
              <w:jc w:val="right"/>
              <w:rPr>
                <w:rFonts w:ascii="Times New Roman" w:hAnsi="Times New Roman" w:cs="Times New Roman"/>
              </w:rPr>
            </w:pPr>
            <w:r>
              <w:t>1.00 (0.91–1.10)</w:t>
            </w:r>
          </w:p>
        </w:tc>
        <w:tc>
          <w:tcPr>
            <w:tcW w:w="2664" w:type="dxa"/>
            <w:shd w:val="clear" w:color="auto" w:fill="FFFFFF"/>
          </w:tcPr>
          <w:p w14:paraId="45D26905" w14:textId="77777777" w:rsidR="00C06AB3" w:rsidRPr="00C06AB3" w:rsidRDefault="00C06AB3" w:rsidP="004762C3">
            <w:pPr>
              <w:spacing w:before="24" w:after="24" w:line="240" w:lineRule="auto"/>
              <w:jc w:val="right"/>
              <w:rPr>
                <w:rFonts w:ascii="Times New Roman" w:hAnsi="Times New Roman" w:cs="Times New Roman"/>
              </w:rPr>
            </w:pPr>
            <w:r>
              <w:t>0.91 (0.82–1.01)</w:t>
            </w: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Disability (reference: No)</w:t>
            </w:r>
          </w:p>
        </w:tc>
        <w:tc>
          <w:tcPr>
            <w:tcW w:w="2664" w:type="dxa"/>
            <w:shd w:val="clear" w:color="auto" w:fill="FFFFFF"/>
          </w:tcPr>
          <w:p w14:paraId="5E2FF55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70E2DF1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Any disability</w:t>
            </w:r>
          </w:p>
        </w:tc>
        <w:tc>
          <w:tcPr>
            <w:tcW w:w="2664" w:type="dxa"/>
            <w:shd w:val="clear" w:color="auto" w:fill="FFFFFF"/>
          </w:tcPr>
          <w:p w14:paraId="474AFE94" w14:textId="77777777" w:rsidR="00C06AB3" w:rsidRPr="00C06AB3" w:rsidRDefault="00C06AB3" w:rsidP="004762C3">
            <w:pPr>
              <w:spacing w:before="24" w:after="24" w:line="240" w:lineRule="auto"/>
              <w:jc w:val="right"/>
              <w:rPr>
                <w:rFonts w:ascii="Times New Roman" w:hAnsi="Times New Roman" w:cs="Times New Roman"/>
              </w:rPr>
            </w:pPr>
            <w:r>
              <w:t>1.02 (0.90–1.17)</w:t>
            </w:r>
          </w:p>
        </w:tc>
        <w:tc>
          <w:tcPr>
            <w:tcW w:w="2664" w:type="dxa"/>
            <w:shd w:val="clear" w:color="auto" w:fill="FFFFFF"/>
          </w:tcPr>
          <w:p w14:paraId="231546B7" w14:textId="77777777" w:rsidR="00C06AB3" w:rsidRPr="00C06AB3" w:rsidRDefault="00C06AB3" w:rsidP="004762C3">
            <w:pPr>
              <w:spacing w:before="24" w:after="24" w:line="240" w:lineRule="auto"/>
              <w:jc w:val="right"/>
              <w:rPr>
                <w:rFonts w:ascii="Times New Roman" w:hAnsi="Times New Roman" w:cs="Times New Roman"/>
              </w:rPr>
            </w:pPr>
            <w:r>
              <w:t>0.92 (0.81–1.06)</w:t>
            </w:r>
          </w:p>
        </w:tc>
      </w:tr>
    </w:tbl>
    <w:p w14:paraId="40787AAE"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3"/>
        </w:rPr>
        <w:t>*P &lt; 0.05; **P &lt; 0.01; ***P &lt; 0.001. One lower bound is shown to three decimals where rounding to two would obscure whether the interval excludes 1. Abbreviations: AOR, adjusted odds ratio; CI, confidence interval; GED, General Educational Development; SDoH, social determinants of health.</w:t>
      </w:r>
      <w:proofErr w:type="spellStart"/>
      <w:r w:rsidRPr="00C06AB3">
        <w:rPr>
          <w:rFonts w:ascii="Times New Roman" w:hAnsi="Times New Roman" w:cs="Times New Roman"/>
          <w:sz w:val="13"/>
        </w:rPr>
      </w:r>
      <w:proofErr w:type="spellEnd"/>
      <w:r w:rsidRPr="00C06AB3">
        <w:rPr>
          <w:rFonts w:ascii="Times New Roman" w:hAnsi="Times New Roman" w:cs="Times New Roman"/>
          <w:sz w:val="13"/>
        </w:rPr>
      </w:r>
    </w:p>
    <w:p w14:paraId="730D4F1D" w14:textId="77777777" w:rsidR="00841284" w:rsidRPr="00C06AB3" w:rsidRDefault="00D413D7" w:rsidP="00E3018C">
      <w:pPr>
        <w:pStyle w:val="Heading2"/>
        <w:spacing w:line="48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F" w14:textId="23291EB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Under mutual adjustment (Table 3), unemployment carried the largest social association (1.35, 1.20-1.52), followed by non-employment (1.28, 1.14-1.44), the two lowest income strata (&lt;$10,000, 1.21, 1.05-1.40; $10,000-24,999, 1.21, 1.05-1.38), Medicaid (1.19, 1.05-1.36), and renting (1.16, 1.05-1.28). Student status remained elevated (1.37, 1.05-1.78), and the two upper-middle income strata were elevated as well, so the gradient is not monotonic under mutual adjustment either (Table 3). Education below GED lost significance (1.06, 0.92-1.22, P = 0.42), indicating overlap with income and employment rather than a separate contribution. Disability (0.92, 0.81-1.06), housing instability (0.91, 0.82-1.01), and housing tenure recorded as other (0.98, 0.84-1.14) were not associated. Insurance no longer carried the largest social estimate: restricting the matching variables to pre-index records moved Medicaid from 1.33 to 1.19 while moving unemployment from 1.23 to 1.35, so the ordering among domains is not robust to how the propensity model is specified, even though which domains remain associated is.</w:t>
      </w:r>
      <w:r w:rsidR="000A5395" w:rsidRPr="000A5395">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81219" w:rsidRPr="000F6719">
        <w:rPr>
          <w:rFonts w:ascii="Times New Roman" w:eastAsia="Arial" w:hAnsi="Times New Roman" w:cs="Times New Roman"/>
        </w:rPr>
      </w:r>
      <w:r w:rsidRPr="000F6719">
        <w:rPr>
          <w:rFonts w:ascii="Times New Roman" w:eastAsia="Arial" w:hAnsi="Times New Roman" w:cs="Times New Roman"/>
        </w:rPr>
      </w:r>
      <w:r w:rsidR="00337683" w:rsidRPr="000F6719">
        <w:rPr>
          <w:rFonts w:ascii="Times New Roman" w:eastAsia="Arial" w:hAnsi="Times New Roman" w:cs="Times New Roman"/>
        </w:rPr>
      </w:r>
      <w:r w:rsidRPr="000F6719">
        <w:rPr>
          <w:rFonts w:ascii="Times New Roman" w:eastAsia="Arial" w:hAnsi="Times New Roman" w:cs="Times New Roman"/>
        </w:rPr>
      </w:r>
    </w:p>
    <w:p w14:paraId="730D4F20" w14:textId="04859CA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Including all six domains reduced the Black-race AOR from 2.39 (2.18-2.62) to 2.09 (1.89-2.31; eTable 11a), an attenuation of 15.1% on the log scale. Entering the domains one at a time shows that income accounts for 11.7 of those 15.1 percentage points, housing tenure 8.7 and insurance 6.2, while housing stability and disability account for none (eTable 11a). The association narrowed but did not resolve: Black participants retained roughly twice the odds of hospitalization. Individual-level socioeconomic factors, as measured by self-report and dominated by income, therefore capture only a fraction of the racial association, consistent with UK Biobank and integrated-care studies reporting similarly modest attenuation.[33, 34]</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21"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combined profile of Medicaid coverage, household income of $10,000-24,999, and renting carried 1.67-fold higher odds (1.40-1.99) than employer-insured homeowners in the reference income stratum; the equivalent product of the domain-specific odds ratios is 2.77. This is a within-stratum odds ratio, so absolute probabilities are not identified.</w:t>
      </w:r>
    </w:p>
    <w:p w14:paraId="730D4F22"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lower-income association persisted across waves (Figure 5a; eTable 12). Income below $10,000 was elevated in every wave and highest during Omicron, when vaccines were available (values in the Figure 5 legend). The income-by-wave interaction was not significant (chi-square 17.77, 14 df, P = 0.22), so no difference across waves was detectable, and the design cannot test treatment-access mechanisms directly. Period-based work has reported income-related disparities persisting across variant transitions.[29]</w:t>
      </w:r>
      <w:r w:rsidR="00A831FB"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2BD4B248" w14:textId="4A0A2073" w:rsidR="00E42FB3" w:rsidRPr="000F6719" w:rsidRDefault="000A5D01" w:rsidP="00E3018C">
      <w:pPr>
        <w:spacing w:after="120" w:line="48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2555748"/>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555748"/>
                    </a:xfrm>
                    <a:prstGeom prst="rect">
                      <a:avLst/>
                    </a:prstGeom>
                  </pic:spPr>
                </pic:pic>
              </a:graphicData>
            </a:graphic>
          </wp:inline>
        </w:drawing>
      </w:r>
    </w:p>
    <w:p w14:paraId="4CDF6E07" w14:textId="77777777" w:rsidR="00555E61" w:rsidRPr="000F6719" w:rsidRDefault="00555E61" w:rsidP="00E3018C">
      <w:pPr>
        <w:spacing w:after="120" w:line="480" w:lineRule="auto"/>
        <w:rPr>
          <w:rFonts w:ascii="Times New Roman" w:hAnsi="Times New Roman" w:cs="Times New Roman"/>
        </w:rPr>
      </w:pPr>
    </w:p>
    <w:p w14:paraId="730D4F25" w14:textId="127B5BF2" w:rsidR="00841284" w:rsidRPr="000F6719" w:rsidRDefault="00131340" w:rsidP="00E3018C">
      <w:pPr>
        <w:spacing w:after="120" w:line="480" w:lineRule="auto"/>
        <w:rPr>
          <w:rFonts w:ascii="Times New Roman" w:hAnsi="Times New Roman" w:cs="Times New Roman"/>
        </w:rPr>
      </w:pPr>
      <w:r w:rsidRPr="000F6719">
        <w:rPr>
          <w:rFonts w:ascii="Times New Roman" w:eastAsia="Arial" w:hAnsi="Times New Roman" w:cs="Times New Roman"/>
        </w:rPr>
        <w:t>The Black-race association was 2.30 (2.01-2.64) pre-Delta, 2.24 (1.77-2.83) during Delta, and 1.78 (1.52-2.09) during Omicron (Figure 5b), and remained significant in all three. The omnibus race-by-wave interaction was not significant (chi-square 11.51, 6 df, P = 0.07); it is diluted by the Asian category, whose Delta estimate spans 0.14 to 1.65. The pre-specified contrast was significant: pre-Delta against Omicron for Black race, P = 0.017, while pre-Delta against Delta was not (P = 0.83). The association was therefore flat through Delta and narrower by Omicron. Insurance was the one exposure whose omnibus wave interaction reached significance (chi-square 23.58, 8 df, P = 0.003). Models fitted within each wave attenuate the Black-race estimate by 10.5% pre-Delta and 21.4% during Omicron but by -34.9% during Delta, where adjustment moved it away from the null; Delta holds the fewest strata and its within-wave estimates are correspondingly unstable, which is why the pooled model is primary (eTable 11b). Medicaid was elevated in every wave in the domain-specific models, but under within-wave mutual adjustment it was elevated only before Delta (1.52, 1.22-1.90; eTable 11c).</w:t>
      </w:r>
      <w:r w:rsidR="00555E61"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Five sensitivity analyses are reported in eTable 13: restriction to inpatient-only cases, exclusion of controls with acute-care utilization, restriction to surveys completed before infection, removal of vaccination, and collapse of income to three levels. Unemployment carried the largest social estimate in all five (1.31-1.39) and renting remained associated throughout (1.12-1.20). Two estimates crossed the null: income below $10,000 when surveys completed after infection were excluded (1.16, 0.99-1.36, against 1.21 in the joint model) and Medicaid when cases were restricted to inpatient admissions (1.15, 0.999-1.32, against 1.19). Collapsing income to three levels gave 1.17 (1.04-1.31) below $35,000.</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8" w14:textId="338477C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In MarketScan (637,679 matched observations; 127,696 cases; Table 1), female sex (AOR 0.75, 95% CI 0.74-0.76), recorded vaccination (0.50, 0.49-0.52), and the age gradient (2.52, 2.16-2.93 at 65 or over) were directionally concordant with All of Us, and comorbidity associations were larger, led by severe renal disease (3.31, 3.11-3.53) and metastatic solid tumor (2.63, 2.48-2.79). Of the 26 estimates comparable across cohorts, 21 agreed in direction and five did not: peripheral vascular disease, chronic pulmonary disease, peptic ulcer disease, mild liver disease, and AIDS (eTable 9). Agreement in direction is a weak criterion, and the Omicron row shows why: All of Us gives 1.00 (0.92-1.09) against 0.73 (0.70-0.76) and counts as agreement only because the point estimate falls four decimal places below 1.0. Read substantively, odds during Omicron were unchanged from the pre-Delta period in All of Us and clearly lower in MarketScan.</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Restricting the matching variables to the pre-index period changed the claims cohort far more than it changed All of Us. Coverage span was nearly balanced between cases and controls when measured across the whole enrollment record (median 1,094 against 1,154 days; standardized mean difference -0.14) and clearly imbalanced in the same participants when truncated at the index date (382 against 469 days; -0.30), so matching had little to do before the correction and real work to do after it (eTable 8). Nine of the 19 Charlson conditions had carried significant inverse associations in MarketScan; none is inverse in the corrected model and seven now carry significantly elevated odds. Case comorbidity counts are almost unchanged while control prevalences fall by a fifth to a third (Table 1), because the matched controls no longer carry the longer pre-index observation windows over which they had accumulated diagnosis codes. In All of Us the same restriction moved the two inverse estimates about a third of the way toward the null without reversing them, and the affected matching variable moved much less (0.49 to 0.41) - so four of the five cross-cohort disagreements are exactly the estimates that stayed inverse there.</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A" w14:textId="77777777" w:rsidR="00841284" w:rsidRPr="000F6719" w:rsidRDefault="00841284" w:rsidP="00E3018C">
      <w:pPr>
        <w:spacing w:line="480" w:lineRule="auto"/>
        <w:rPr>
          <w:rFonts w:ascii="Times New Roman" w:hAnsi="Times New Roman" w:cs="Times New Roman"/>
        </w:rPr>
      </w:pPr>
    </w:p>
    <w:p w14:paraId="730D4F2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Choi et al. found an income gradient in All of Us and no education association, and did not test employment or housing;[11] in N3C, Bennett et al. found Black race and obesity independently associated with severity,[35] and Vaidya et al. used EHR-coded fields.[16] Gupta et al.'s composite All of Us deprivation index collapses insurance, income, employment, and housing into a single score, which cannot separate them.[36] We reproduce the low-income and residual Black-race associations and add independent employment, insurance, and housing associations that few-variable and composite approaches did not surface.</w:t>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noProof/>
        </w:rPr>
      </w:r>
      <w:r w:rsidRPr="000F6719">
        <w:rPr>
          <w:rFonts w:ascii="Times New Roman" w:eastAsia="Arial" w:hAnsi="Times New Roman" w:cs="Times New Roman"/>
        </w:rPr>
      </w:r>
      <w:r w:rsidR="0028415F" w:rsidRPr="000F6719">
        <w:rPr>
          <w:rFonts w:ascii="Times New Roman" w:eastAsia="Arial" w:hAnsi="Times New Roman" w:cs="Times New Roman"/>
        </w:rPr>
      </w:r>
      <w:r w:rsidR="00585117"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noProof/>
        </w:rPr>
      </w:r>
      <w:r w:rsidR="009B5553" w:rsidRPr="000F6719">
        <w:rPr>
          <w:rFonts w:ascii="Times New Roman" w:eastAsia="Arial" w:hAnsi="Times New Roman" w:cs="Times New Roman"/>
        </w:rPr>
      </w:r>
      <w:r w:rsidR="00585117" w:rsidRPr="000F6719">
        <w:rPr>
          <w:rFonts w:ascii="Times New Roman" w:eastAsia="Arial" w:hAnsi="Times New Roman" w:cs="Times New Roman"/>
        </w:rPr>
      </w:r>
      <w:proofErr w:type="spellStart"/>
      <w:r w:rsidR="00585117" w:rsidRPr="000F6719">
        <w:rPr>
          <w:rFonts w:ascii="Times New Roman" w:eastAsia="Arial" w:hAnsi="Times New Roman" w:cs="Times New Roman"/>
        </w:rPr>
      </w:r>
      <w:proofErr w:type="spellEnd"/>
      <w:r w:rsidR="00585117"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noProof/>
        </w:rPr>
      </w:r>
      <w:r w:rsidR="00585117" w:rsidRPr="000F6719">
        <w:rPr>
          <w:rFonts w:ascii="Times New Roman" w:eastAsia="Arial" w:hAnsi="Times New Roman" w:cs="Times New Roman"/>
        </w:rPr>
      </w:r>
      <w:r w:rsidR="00585117" w:rsidRPr="000F6719">
        <w:rPr>
          <w:rFonts w:ascii="Times New Roman" w:eastAsia="Arial" w:hAnsi="Times New Roman" w:cs="Times New Roman"/>
        </w:rPr>
      </w:r>
    </w:p>
    <w:p w14:paraId="730D4F2C" w14:textId="53F135E0" w:rsidR="00841284" w:rsidRPr="000F6719" w:rsidRDefault="0053094D"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two models answer complementary questions. A domain-specific estimate is the association a domain carries when it is the only social factor in the model; the mutually adjusted estimate is what remains once the others are included. Neither supersedes the other, and the difference between them is itself a finding: education below GED is elevated alone and null once income and employment enter the same model (Figure 4). Matching on encounter density rather than on clinical characteristics is what makes these within-stratum associations interpretable in EHR-derived data.[17]</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noProof/>
        </w:rPr>
      </w:r>
      <w:r w:rsidR="00184B89"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EC1949" w:rsidRPr="000F6719">
        <w:rPr>
          <w:rFonts w:ascii="Times New Roman" w:eastAsia="Arial" w:hAnsi="Times New Roman" w:cs="Times New Roman"/>
        </w:rPr>
      </w:r>
      <w:proofErr w:type="spellStart"/>
      <w:r w:rsidR="00EC1949" w:rsidRPr="000F6719">
        <w:rPr>
          <w:rFonts w:ascii="Times New Roman" w:eastAsia="Arial" w:hAnsi="Times New Roman" w:cs="Times New Roman"/>
        </w:rPr>
      </w:r>
      <w:proofErr w:type="spellEnd"/>
      <w:r w:rsidR="00EC1949" w:rsidRPr="000F6719">
        <w:rPr>
          <w:rFonts w:ascii="Times New Roman" w:eastAsia="Arial" w:hAnsi="Times New Roman" w:cs="Times New Roman"/>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noProof/>
          <w:color w:val="000000" w:themeColor="text1"/>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EC1949" w:rsidRPr="000F6719">
        <w:rPr>
          <w:rFonts w:ascii="Times New Roman" w:eastAsia="Arial" w:hAnsi="Times New Roman" w:cs="Times New Roman"/>
          <w:color w:val="000000" w:themeColor="text1"/>
        </w:rPr>
      </w:r>
      <w:r w:rsidR="00D413D7" w:rsidRPr="000F6719">
        <w:rPr>
          <w:rFonts w:ascii="Times New Roman" w:eastAsia="Arial" w:hAnsi="Times New Roman" w:cs="Times New Roman"/>
        </w:rPr>
      </w:r>
      <w:r w:rsidR="0016340F" w:rsidRPr="000F6719">
        <w:rPr>
          <w:rFonts w:ascii="Times New Roman" w:eastAsia="Arial" w:hAnsi="Times New Roman" w:cs="Times New Roman"/>
        </w:rPr>
      </w:r>
      <w:r w:rsidR="0016340F" w:rsidRPr="000F6719">
        <w:rPr>
          <w:rFonts w:ascii="Times New Roman" w:eastAsia="Arial" w:hAnsi="Times New Roman" w:cs="Times New Roman"/>
        </w:rPr>
      </w:r>
    </w:p>
    <w:p w14:paraId="730D4F2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the joint model, unemployment, the two lowest income strata, Medicaid coverage, and renting retained independent associations, and unemployment carried the largest of them. The Medicaid finding is consistent with cohort evidence that insurance type is associated with COVID-19 hospitalization beyond underlying health conditions,[38] and insurance likely functions as both a poverty marker and an access-barrier marker; separating those requires designs beyond what case-control data can provide.[39] The renter association is consistent with housing tenure tracking crowding, shared facilities, and reduced ability to isolate, and with the state-level increases in COVID-19 incidence observed after eviction moratoria expired.[40] Education below GED attenuated to 1.06 (0.92-1.22) once economic variables entered, matching Choi et al.'s null education finding.[11]</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30"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roughly twice the odds of hospitalization (AOR 2.09, 1.89-2.31), and the decomposition shows the adjustment is carried almost entirely by income. Interpreting a residual race coefficient requires care: the socioeconomic variables adjusted for are themselves shaped by structural disadvantage, and residual confounding from imperfectly measured socioeconomic position tends to bias such coefficients toward appearing independent.[41, 42] Because the odds ratio is non-collapsible, part of the observed change on adjustment may reflect scale properties rather than confounding or mediation, so the attenuation estimates indicate direction and approximate magnitude rather than precise explained fractions.[43]</w:t>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002C59E0" w:rsidRPr="000F6719">
        <w:rPr>
          <w:rFonts w:ascii="Times New Roman" w:hAnsi="Times New Roman" w:cs="Times New Roman"/>
        </w:rPr>
      </w:r>
      <w:r w:rsidR="00060C8F" w:rsidRPr="000F6719">
        <w:rPr>
          <w:rFonts w:ascii="Times New Roman" w:eastAsia="Arial" w:hAnsi="Times New Roman" w:cs="Times New Roman"/>
        </w:rPr>
      </w:r>
      <w:r w:rsidR="007B0CAE"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noProof/>
        </w:rPr>
      </w:r>
      <w:r w:rsidR="00300397" w:rsidRPr="000F6719">
        <w:rPr>
          <w:rFonts w:ascii="Times New Roman" w:eastAsia="Arial" w:hAnsi="Times New Roman" w:cs="Times New Roman"/>
        </w:rPr>
      </w:r>
      <w:r w:rsidR="00060C8F" w:rsidRPr="000F6719">
        <w:rPr>
          <w:rFonts w:ascii="Times New Roman" w:eastAsia="Arial" w:hAnsi="Times New Roman" w:cs="Times New Roman"/>
        </w:rPr>
      </w:r>
      <w:r w:rsidR="002C59E0" w:rsidRPr="000F6719">
        <w:rPr>
          <w:rFonts w:ascii="Times New Roman" w:eastAsia="Arial" w:hAnsi="Times New Roman" w:cs="Times New Roman"/>
        </w:rPr>
      </w:r>
      <w:r w:rsidR="002C59E0"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noProof/>
        </w:rPr>
      </w:r>
      <w:r w:rsidR="00D92D40" w:rsidRPr="000F6719">
        <w:rPr>
          <w:rFonts w:ascii="Times New Roman" w:eastAsia="Arial" w:hAnsi="Times New Roman" w:cs="Times New Roman"/>
        </w:rPr>
      </w:r>
    </w:p>
    <w:p w14:paraId="730D4F32" w14:textId="72E10F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overall attenuation masks a temporal shift, and the interaction tests locate it precisely. The Black-race association was flat from pre-Delta to Delta (P = 0.83) and narrower by Omicron (P = 0.017), while the omnibus test across all race categories did not reach significance (P = 0.07). Early in the pandemic, structural factors beyond the reach of individual measures - residential segregation, essential-worker exposure, differential testing access - may have contributed more; as those exposures equalized, the residual association narrowed. Insurance was the only exposure with a significant omnibus wave interaction (P = 0.003), and income had none (P = 0.22), so the wave-varying element of this study is which insurance a patient held, not how poor they were.</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During Omicron, participants with household income below $10,000 still had 1.64-fold higher hospitalization odds despite available vaccines. In an 11.2-million-person Ontario cohort, income inequalities in COVID-19 death likewise persisted, and inequality in vaccination coverage accounted for 56.9% (95% CI 22.5-91.3) of the income inequality in later-wave deaths,[30] so countermeasure availability did not translate into equitable uptake. The Medicaid association, by contrast, was not significant in the joint model in either Delta or Omicron once income and housing entered, suggesting insurance type was less of an independent predictor than the economic conditions it tracks. Barriers to testing, prescriptions, paid sick leave, and isolation space may contribute to the residual income association, though the design cannot test access mechanisms directly.</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p>
    <w:p w14:paraId="730D4F35" w14:textId="0960524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Insurance and income are recorded in many intake workflows, so they are among the social factors most readily available to a health system.[3] Whether recording them would improve a screening decision is a prediction question this design does not address. Because the domains overlap, their combined association is smaller than the domain-specific estimates suggest: the combined profile carried 1.67-fold higher odds (1.40-1.99), and screening on any single social indicator would therefore overstate individual risk while missing how much the domains share.</w:t>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E82085" w:rsidRPr="000F6719">
        <w:rPr>
          <w:rFonts w:ascii="Times New Roman" w:eastAsia="Arial" w:hAnsi="Times New Roman" w:cs="Times New Roman"/>
        </w:rPr>
      </w:r>
      <w:r w:rsidRPr="000F6719">
        <w:rPr>
          <w:rFonts w:ascii="Times New Roman" w:eastAsia="Arial" w:hAnsi="Times New Roman" w:cs="Times New Roman"/>
        </w:rPr>
      </w:r>
    </w:p>
    <w:p w14:paraId="730D4F3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survey measured socioeconomic risk at a level of detail routine structured EHR data does not reach: patient surveys detect it in 8-41% of patients against 0-2% in EHR-coded fields,[15] and Z-code documentation across 2.7 billion US encounters ranged from 0.5% to 2.4%.[44] Two of our results depend on that difference. Education below GED loses significance once income and employment enter the same model, and decomposing the Black-race association requires all six domains measured in the same participants. Neither is recoverable from social risk documented in fewer than 2% of encounters.[45]</w:t>
      </w:r>
      <w:r w:rsidR="00D413D7"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7A6135" w:rsidRPr="000F6719">
        <w:rPr>
          <w:rFonts w:ascii="Times New Roman" w:eastAsia="Arial" w:hAnsi="Times New Roman" w:cs="Times New Roman"/>
        </w:rPr>
      </w:r>
      <w:r w:rsidR="00D413D7" w:rsidRPr="000F6719">
        <w:rPr>
          <w:rFonts w:ascii="Times New Roman" w:eastAsia="Arial" w:hAnsi="Times New Roman" w:cs="Times New Roman"/>
        </w:rPr>
      </w:r>
      <w:r w:rsidR="004B1EB1" w:rsidRPr="000F6719">
        <w:rPr>
          <w:rFonts w:ascii="Times New Roman" w:eastAsia="Arial" w:hAnsi="Times New Roman" w:cs="Times New Roman"/>
        </w:rPr>
      </w:r>
      <w:r w:rsidR="00D413D7" w:rsidRPr="000F6719">
        <w:rPr>
          <w:rFonts w:ascii="Times New Roman" w:eastAsia="Arial" w:hAnsi="Times New Roman" w:cs="Times New Roman"/>
        </w:rPr>
      </w:r>
      <w:r w:rsidR="002352EB" w:rsidRPr="000F6719">
        <w:rPr>
          <w:rFonts w:ascii="Times New Roman" w:eastAsia="Arial" w:hAnsi="Times New Roman" w:cs="Times New Roman"/>
        </w:rPr>
      </w:r>
      <w:r w:rsidR="00D413D7" w:rsidRPr="000F6719">
        <w:rPr>
          <w:rFonts w:ascii="Times New Roman" w:eastAsia="Arial" w:hAnsi="Times New Roman" w:cs="Times New Roman"/>
        </w:rPr>
      </w:r>
      <w:r w:rsidR="00DB5A3C" w:rsidRPr="000F6719">
        <w:rPr>
          <w:rFonts w:ascii="Times New Roman" w:eastAsia="Arial" w:hAnsi="Times New Roman" w:cs="Times New Roman"/>
        </w:rPr>
      </w:r>
      <w:r w:rsidR="00D413D7" w:rsidRPr="000F6719">
        <w:rPr>
          <w:rFonts w:ascii="Times New Roman" w:eastAsia="Arial" w:hAnsi="Times New Roman" w:cs="Times New Roman"/>
        </w:rPr>
      </w:r>
      <w:r w:rsidR="005E36A1"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403B03"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84DAC" w:rsidRPr="000F6719">
        <w:rPr>
          <w:rFonts w:ascii="Times New Roman" w:eastAsia="Arial" w:hAnsi="Times New Roman" w:cs="Times New Roman"/>
        </w:rPr>
      </w:r>
      <w:r w:rsidR="00867117" w:rsidRPr="00867117">
        <w:rPr>
          <w:rFonts w:ascii="Times New Roman" w:eastAsia="Arial" w:hAnsi="Times New Roman" w:cs="Times New Roman"/>
        </w:rPr>
      </w:r>
      <w:r w:rsidR="000E75F0" w:rsidRPr="000E75F0">
        <w:rPr>
          <w:rFonts w:ascii="Times New Roman" w:eastAsia="Arial" w:hAnsi="Times New Roman" w:cs="Times New Roman"/>
        </w:rPr>
      </w:r>
      <w:r w:rsidR="000E75F0">
        <w:rPr>
          <w:rFonts w:ascii="Times New Roman" w:eastAsia="Arial" w:hAnsi="Times New Roman" w:cs="Times New Roman" w:hint="eastAsia"/>
        </w:rPr>
      </w:r>
      <w:r w:rsidR="00867117" w:rsidRPr="00867117">
        <w:rPr>
          <w:rFonts w:ascii="Times New Roman" w:eastAsia="Arial" w:hAnsi="Times New Roman" w:cs="Times New Roman"/>
        </w:rPr>
      </w:r>
    </w:p>
    <w:p w14:paraId="730D4F38" w14:textId="71E0448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48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findings.[32] Sex, vaccination, and the age gradient were directionally concordant, and renal and cardiac risk factors replicated with larger effect sizes. The comparison also served a methodological purpose. Inverse comorbidity associations under encounter-density matching are not one phenomenon but two: in claims they were an artifact of measuring a matching variable across the whole enrollment record, and correcting it removed them entirely, whereas in All of Us the same correction left two standing. A matching variable contaminated by post-index observation can reverse the sign of every affected clinical coefficient, and the contamination is invisible in the diagnostics normally used to defend a matched design: post-matching balance was satisfactory both before and after the correction. Evaluating SDoH associations across populations requires individual-level social measures, which commercial claims do not provide.</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
    <w:p w14:paraId="730D4F3D" w14:textId="1B1F1C1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study has limitations. All of Us is a volunteer cohort that oversampled populations underrepresented in biomedical research, which strengthens power for minority subgroup analyses but limits generalizability.[46] The disability domain was least complete because the ACS-6 items were added on November 10, 2020, and vaccination capture was incomplete. SDoH were measured a median of 692 days before infection, so pandemic-era changes in income or employment are not captured. Matching required a record dated before the index date (eTable 8), and that exclusion is informative if having no pre-index record is itself related to social position. Matching on encounter density reduces but may not eliminate informative presence bias,[17] and the strict phenotype may not fully separate COVID-related admissions from admissions with incidental positivity. Because diagnosis count may lie on the SDoH-to-hospitalization causal pathway, our estimates are conservative within-stratum associations rather than total causal effects, and because matching used replacement the 15,523 control observations come from 9,784 distinct participants (eTable 10). Income was missing for 26.5% of cases and 19.0% of controls, so its indicator carries case-control as well as social information and should not be read as a social exposure.</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5C48C4" w:rsidRPr="000F6719">
        <w:rPr>
          <w:rFonts w:ascii="Times New Roman" w:eastAsia="Arial" w:hAnsi="Times New Roman" w:cs="Times New Roman"/>
        </w:rPr>
      </w:r>
      <w:r w:rsidR="00B53896" w:rsidRPr="000F6719">
        <w:rPr>
          <w:rFonts w:ascii="Times New Roman" w:eastAsia="Arial" w:hAnsi="Times New Roman" w:cs="Times New Roman"/>
        </w:rPr>
      </w:r>
      <w:r w:rsidR="00DD5758" w:rsidRPr="000F6719">
        <w:rPr>
          <w:rFonts w:ascii="Times New Roman" w:eastAsia="Arial" w:hAnsi="Times New Roman" w:cs="Times New Roman"/>
        </w:rPr>
      </w:r>
      <w:r w:rsidR="00FF2D68" w:rsidRPr="000F6719">
        <w:rPr>
          <w:rFonts w:ascii="Times New Roman" w:eastAsia="Arial" w:hAnsi="Times New Roman" w:cs="Times New Roman"/>
        </w:rPr>
      </w:r>
      <w:r w:rsidR="00B36011"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C363DA" w:rsidRPr="000F6719">
        <w:rPr>
          <w:rFonts w:ascii="Times New Roman" w:eastAsia="Arial" w:hAnsi="Times New Roman" w:cs="Times New Roman"/>
        </w:rPr>
      </w:r>
      <w:r w:rsidRPr="000F6719">
        <w:rPr>
          <w:rFonts w:ascii="Times New Roman" w:eastAsia="Arial" w:hAnsi="Times New Roman" w:cs="Times New Roman"/>
        </w:rPr>
      </w:r>
      <w:r w:rsidR="00367B43" w:rsidRPr="000F6719">
        <w:rPr>
          <w:rFonts w:ascii="Times New Roman" w:eastAsia="Arial" w:hAnsi="Times New Roman" w:cs="Times New Roman"/>
        </w:rPr>
      </w:r>
      <w:r w:rsidR="00367B43" w:rsidRPr="000F6719" w:rsidDel="00367B43">
        <w:rPr>
          <w:rFonts w:ascii="Times New Roman" w:eastAsia="Arial" w:hAnsi="Times New Roman" w:cs="Times New Roman"/>
        </w:rPr>
      </w:r>
      <w:r w:rsidRPr="000F6719">
        <w:rPr>
          <w:rFonts w:ascii="Times New Roman" w:eastAsia="Arial" w:hAnsi="Times New Roman" w:cs="Times New Roman"/>
        </w:rPr>
      </w:r>
      <w:r w:rsidR="00E12C1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607DE" w:rsidRPr="000F6719">
        <w:rPr>
          <w:rFonts w:ascii="Times New Roman" w:eastAsia="Arial" w:hAnsi="Times New Roman" w:cs="Times New Roman"/>
        </w:rPr>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8607DE"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480" w:lineRule="auto"/>
        <w:rPr>
          <w:rFonts w:ascii="Times New Roman" w:hAnsi="Times New Roman" w:cs="Times New Roman"/>
        </w:rPr>
      </w:pPr>
    </w:p>
    <w:p w14:paraId="730D4F3F"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CONCLUSION</w:t>
      </w:r>
    </w:p>
    <w:p w14:paraId="730D4F40" w14:textId="18F01D61"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although the waves were not compared formally. Income associations persisted through Omicron despite available vaccines. Interpretation of these associations depends on survey timing and on overlap among the social domains.</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41" w14:textId="77777777" w:rsidR="00841284" w:rsidRPr="000F6719" w:rsidRDefault="00841284" w:rsidP="00E3018C">
      <w:pPr>
        <w:spacing w:line="480" w:lineRule="auto"/>
        <w:rPr>
          <w:rFonts w:ascii="Times New Roman" w:hAnsi="Times New Roman" w:cs="Times New Roman"/>
        </w:rPr>
      </w:pPr>
    </w:p>
    <w:p w14:paraId="730D4F4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480" w:lineRule="auto"/>
        <w:rPr>
          <w:rFonts w:ascii="Times New Roman" w:hAnsi="Times New Roman" w:cs="Times New Roman"/>
        </w:rPr>
      </w:pPr>
    </w:p>
    <w:p w14:paraId="730D4F45"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480" w:lineRule="auto"/>
        <w:rPr>
          <w:rFonts w:ascii="Times New Roman" w:hAnsi="Times New Roman" w:cs="Times New Roman"/>
        </w:rPr>
      </w:pPr>
    </w:p>
    <w:p w14:paraId="730D4F48"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ETHICS AND DATA USE</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All of Us Research Program holds Institutional Review Board approval for its protocol, and all participants gave written informed consent for the collection and sharing of their data. This analysis used de-identified Controlled Tier data (Curated Data Repository version 7) inside the All of Us Researcher Workbench. Every author who accessed the data holds current Controlled Tier authorization and completed the required training, and the work was done in a registered workspace under the All of Us Data Use and Registration Agreement and the Data User Code of Conduct. MarketScan data were analyzed in de-identified form under licence from Merative.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
    <w:p w14:paraId="730D4F4E"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480" w:lineRule="auto"/>
        <w:rPr>
          <w:rFonts w:ascii="Times New Roman" w:hAnsi="Times New Roman" w:cs="Times New Roman"/>
        </w:rPr>
      </w:pPr>
    </w:p>
    <w:p w14:paraId="0E39C04A" w14:textId="77777777" w:rsidR="00C4769D" w:rsidRPr="000F6719" w:rsidRDefault="00C4769D" w:rsidP="00E3018C">
      <w:pPr>
        <w:spacing w:line="48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48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spacing w:line="480" w:lineRule="auto"/>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6. Mude W, Oguoma VM, Nyanhanda T, et al. Racial disparities in COVID-19 pandemic cases, hospitalisations, and deaths: A systematic review and meta-analysis. J Glob Health 2021;11:05015 doi: 10.7189/jogh.11.05015 [published Online First: 20210626].</w:t>
      </w:r>
      <w:r w:rsidRPr="000F6719">
        <w:rPr>
          <w:rFonts w:ascii="Times New Roman" w:hAnsi="Times New Roman" w:cs="Times New Roman"/>
          <w:b/>
          <w:noProof/>
        </w:rPr>
      </w:r>
      <w:r w:rsidRPr="000F6719">
        <w:rPr>
          <w:rFonts w:ascii="Times New Roman" w:hAnsi="Times New Roman" w:cs="Times New Roman"/>
          <w:noProof/>
        </w:rPr>
      </w:r>
    </w:p>
    <w:p w14:paraId="647E1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10. Bensken WP, McGrath BM, Gold R, et al. Area-level social determinants of health and individual-level social risks: Assessing predictive ability and biases in social risk screening. J Clin Transl Sci 2023;7(1):e257 doi: 10.1017/cts.2023.680 [published Online First: 20231110].</w:t>
      </w:r>
      <w:r w:rsidRPr="000F6719">
        <w:rPr>
          <w:rFonts w:ascii="Times New Roman" w:hAnsi="Times New Roman" w:cs="Times New Roman"/>
          <w:b/>
          <w:noProof/>
        </w:rPr>
      </w:r>
      <w:r w:rsidRPr="000F6719">
        <w:rPr>
          <w:rFonts w:ascii="Times New Roman" w:hAnsi="Times New Roman" w:cs="Times New Roman"/>
          <w:noProof/>
        </w:rPr>
      </w:r>
    </w:p>
    <w:p w14:paraId="14B5E2C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11. Choi A, Craver A, Luo J, et al. Socioeconomic status and risk of COVID-19 hospitalization in the All of Us Research Program. Front Public Health 2025;13:1690430 doi: 10.3389/fpubh.2025.1690430 [published Online First: 20251210].</w:t>
      </w:r>
      <w:r w:rsidRPr="000F6719">
        <w:rPr>
          <w:rFonts w:ascii="Times New Roman" w:hAnsi="Times New Roman" w:cs="Times New Roman"/>
          <w:b/>
          <w:noProof/>
        </w:rPr>
      </w:r>
      <w:r w:rsidRPr="000F6719">
        <w:rPr>
          <w:rFonts w:ascii="Times New Roman" w:hAnsi="Times New Roman" w:cs="Times New Roman"/>
          <w:noProof/>
        </w:rPr>
      </w:r>
    </w:p>
    <w:p w14:paraId="6588E6A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15. Iott BE, Rivas S, Gottlieb LM, et al. Structured and unstructured social risk factor documentation in the electronic health record underestimates patients' self-reported risks. J Am Med Inform Assoc 2024;31(3):714–19 doi: 10.1093/jamia/ocad261.</w:t>
      </w:r>
      <w:r w:rsidRPr="000F6719">
        <w:rPr>
          <w:rFonts w:ascii="Times New Roman" w:hAnsi="Times New Roman" w:cs="Times New Roman"/>
          <w:b/>
          <w:noProof/>
        </w:rPr>
      </w:r>
      <w:r w:rsidRPr="000F6719">
        <w:rPr>
          <w:rFonts w:ascii="Times New Roman" w:hAnsi="Times New Roman" w:cs="Times New Roman"/>
          <w:noProof/>
        </w:rPr>
      </w:r>
    </w:p>
    <w:p w14:paraId="1DDB8DB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17. McGee G, Haneuse S, Coull BA, et al. On the Nature of Informative Presence Bias in Analyses of Electronic Health Records. Epidemiology 2022;33(1):105–13 doi: 10.1097/ede.0000000000001432.</w:t>
      </w:r>
      <w:r w:rsidRPr="000F6719">
        <w:rPr>
          <w:rFonts w:ascii="Times New Roman" w:hAnsi="Times New Roman" w:cs="Times New Roman"/>
          <w:b/>
          <w:noProof/>
        </w:rPr>
      </w:r>
      <w:r w:rsidRPr="000F6719">
        <w:rPr>
          <w:rFonts w:ascii="Times New Roman" w:hAnsi="Times New Roman" w:cs="Times New Roman"/>
          <w:noProof/>
        </w:rPr>
      </w:r>
    </w:p>
    <w:p w14:paraId="23FC9B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22. Ho D, Imai K, King G, et al. MatchIt: Nonparametric Preprocessing for Parametric Causal Inference. Journal of Statistical Software 2011;42(8):1 – 28 doi: 10.18637/jss.v042.i08.</w:t>
      </w:r>
      <w:r w:rsidRPr="000F6719">
        <w:rPr>
          <w:rFonts w:ascii="Times New Roman" w:hAnsi="Times New Roman" w:cs="Times New Roman"/>
          <w:b/>
          <w:noProof/>
        </w:rPr>
      </w:r>
      <w:r w:rsidRPr="000F6719">
        <w:rPr>
          <w:rFonts w:ascii="Times New Roman" w:hAnsi="Times New Roman" w:cs="Times New Roman"/>
          <w:noProof/>
        </w:rPr>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24. Goldstein BA, Bhavsar NA, Phelan M, et al. Controlling for Informed Presence Bias Due to the Number of Health Encounters in an Electronic Health Record. Am J Epidemiol 2016;184(11):847–55 doi: 10.1093/aje/kww112 [published Online First: 20161116].</w:t>
      </w:r>
      <w:r w:rsidRPr="000F6719">
        <w:rPr>
          <w:rFonts w:ascii="Times New Roman" w:hAnsi="Times New Roman" w:cs="Times New Roman"/>
          <w:b/>
          <w:noProof/>
        </w:rPr>
      </w:r>
      <w:r w:rsidRPr="000F6719">
        <w:rPr>
          <w:rFonts w:ascii="Times New Roman" w:hAnsi="Times New Roman" w:cs="Times New Roman"/>
          <w:noProof/>
        </w:rPr>
      </w:r>
    </w:p>
    <w:p w14:paraId="7C1058B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27. Glasheen WP, Cordier T, Gumpina R, et al. Charlson Comorbidity Index: ICD-9 Update and ICD-10 Translation. Am Health Drug Benefits 2019;12(4):188–97.</w:t>
      </w:r>
      <w:r w:rsidRPr="000F6719">
        <w:rPr>
          <w:rFonts w:ascii="Times New Roman" w:hAnsi="Times New Roman" w:cs="Times New Roman"/>
          <w:b/>
          <w:noProof/>
        </w:rPr>
      </w:r>
      <w:r w:rsidRPr="000F6719">
        <w:rPr>
          <w:rFonts w:ascii="Times New Roman" w:hAnsi="Times New Roman" w:cs="Times New Roman"/>
          <w:noProof/>
        </w:rPr>
      </w:r>
    </w:p>
    <w:p w14:paraId="7BE0BC6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33. Patel AP, Paranjpe MD, Kathiresan NP, et al. Race, socioeconomic deprivation, and hospitalization for COVID-19 in English participants of a national biobank. Int J Equity Health 2020;19(1):114 doi: 10.1186/s12939-020-01227-y [published Online First: 20200706].</w:t>
      </w:r>
      <w:r w:rsidRPr="000F6719">
        <w:rPr>
          <w:rFonts w:ascii="Times New Roman" w:hAnsi="Times New Roman" w:cs="Times New Roman"/>
          <w:b/>
          <w:noProof/>
        </w:rPr>
      </w:r>
      <w:r w:rsidRPr="000F6719">
        <w:rPr>
          <w:rFonts w:ascii="Times New Roman" w:hAnsi="Times New Roman" w:cs="Times New Roman"/>
          <w:noProof/>
        </w:rPr>
      </w:r>
    </w:p>
    <w:p w14:paraId="054EC51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36. Gupta S, Lam V, Jordan IK, et al. A composite socioeconomic deprivation index from All of Us survey data: associations with health outcomes and disparities. Preprint. medRxiv 2024 doi: 10.1101/2024.10.04.24314904.</w:t>
      </w:r>
    </w:p>
    <w:p w14:paraId="2963536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37. Ardekani A, Fereidooni R, Heydari ST, et al. The association of patient-reported social determinants of health and hospitalization rate: A scoping review. Health Sci Rep 2023;6(2):e1124 doi: 10.1002/hsr2.1124 [published Online First: 20230222].</w:t>
      </w:r>
      <w:r w:rsidRPr="000F6719">
        <w:rPr>
          <w:rFonts w:ascii="Times New Roman" w:hAnsi="Times New Roman" w:cs="Times New Roman"/>
          <w:b/>
          <w:noProof/>
        </w:rPr>
      </w:r>
      <w:r w:rsidRPr="000F6719">
        <w:rPr>
          <w:rFonts w:ascii="Times New Roman" w:hAnsi="Times New Roman" w:cs="Times New Roman"/>
          <w:noProof/>
        </w:rPr>
      </w:r>
    </w:p>
    <w:p w14:paraId="24B5FF01"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38. McConnell KH, Hajat A, Sack C, et al. Associations Between Insurance, Race and Ethnicity, and COVID-19 Hospitalization, Beyond Underlying Health Conditions: A Retrospective Cohort Study. AJPM Focus 2023;2(3):100120 doi: 10.1016/j.focus.2023.100120 [published Online First: 20230612].</w:t>
      </w:r>
      <w:r w:rsidRPr="000F6719">
        <w:rPr>
          <w:rFonts w:ascii="Times New Roman" w:hAnsi="Times New Roman" w:cs="Times New Roman"/>
          <w:b/>
          <w:noProof/>
        </w:rPr>
      </w:r>
      <w:r w:rsidRPr="000F6719">
        <w:rPr>
          <w:rFonts w:ascii="Times New Roman" w:hAnsi="Times New Roman" w:cs="Times New Roman"/>
          <w:noProof/>
        </w:rPr>
      </w:r>
    </w:p>
    <w:p w14:paraId="164D459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39. Figueroa JF, Khorrami P, Bhanja A, et al. COVID-19-Related Insurance Coverage Changes and Disparities in Access to Care Among Low-Income US Adults in 4 Southern States. JAMA Health Forum 2021;2(8):e212007 doi: 10.1001/jamahealthforum.2021.2007 [published Online First: 20210813].</w:t>
      </w:r>
      <w:r w:rsidRPr="000F6719">
        <w:rPr>
          <w:rFonts w:ascii="Times New Roman" w:hAnsi="Times New Roman" w:cs="Times New Roman"/>
          <w:b/>
          <w:noProof/>
        </w:rPr>
      </w:r>
      <w:r w:rsidRPr="000F6719">
        <w:rPr>
          <w:rFonts w:ascii="Times New Roman" w:hAnsi="Times New Roman" w:cs="Times New Roman"/>
          <w:noProof/>
        </w:rPr>
      </w:r>
    </w:p>
    <w:p w14:paraId="5CB6652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45. Fraze TK, Brewster AL, Lewis VA, et al. Prevalence of Screening for Food Insecurity, Housing Instability, Utility Needs, Transportation Needs, and Interpersonal Violence by US Physician Practices and Hospitals. JAMA Netw Open 2019;2(9):e1911514 doi: 10.1001/jamanetworkopen.2019.11514 [published Online First: 20190904].</w:t>
      </w:r>
      <w:r w:rsidRPr="000F6719">
        <w:rPr>
          <w:rFonts w:ascii="Times New Roman" w:hAnsi="Times New Roman" w:cs="Times New Roman"/>
          <w:b/>
          <w:noProof/>
        </w:rPr>
      </w:r>
      <w:r w:rsidRPr="000F6719">
        <w:rPr>
          <w:rFonts w:ascii="Times New Roman" w:hAnsi="Times New Roman" w:cs="Times New Roman"/>
          <w:noProof/>
        </w:rPr>
      </w:r>
    </w:p>
    <w:p w14:paraId="2752B53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46. Kambara MS, Sharma S, Spouge JL, et al. Increasing Representativeness in the All of Us Cohort Using Inverse Probability Weighting. Preprint. medRxiv 2024 doi: 10.1101/2024.10.02.24314774 [revised 18 April 2025].</w:t>
      </w:r>
    </w:p>
    <w:p w14:paraId="730D4F75" w14:textId="12998A13" w:rsidR="00320D14" w:rsidRPr="000F6719" w:rsidRDefault="00D6314F"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48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48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1. Study participant flowchart. (a) All of Us: 413,457 participants narrowing to 25,160 COVID-positive, then to 4,064 hospitalized cases and 21,096 outpatient controls; 3,997 cases carried complete matching variables and were matched up to four controls each (19,520 observations in 3,997 strata; 15,523 control observations, after 437 control observations were removed for unverifiable follow-up near the data cutoff). (b) MarketScan: 4,423,200 COVID-positive, of whom 139,472 were hospitalized and 4,283,335 were not; matching variables measured before the index date were complete for 4,009,628 (127,901 cases and 3,881,727 controls); 127,900 cases were matched up to four controls each, yielding 511,581 control observations from 444,575 unique individuals, and after 1,598 control observations near the data cutoff and the 204 strata left without a control were removed, 637,679 observations remained in 127,696 strata (509,983 control observations from 443,061 unique individuals).</w:t>
      </w:r>
      <w:r w:rsidRPr="000F6719">
        <w:rPr>
          <w:rFonts w:ascii="Times New Roman" w:eastAsia="Arial" w:hAnsi="Times New Roman" w:cs="Times New Roman"/>
        </w:rPr>
      </w:r>
      <w:r w:rsidR="00023685" w:rsidRPr="000F6719">
        <w:rPr>
          <w:rFonts w:ascii="Times New Roman" w:eastAsia="Arial" w:hAnsi="Times New Roman" w:cs="Times New Roman"/>
        </w:rPr>
      </w:r>
    </w:p>
    <w:p w14:paraId="2DE6BC86"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Two-panel CONSORT-style flowchart. Each panel reads top to bottom: the full cohort, then the COVID-positive subset, then a split into hospitalized cases and outpatient controls, then a propensity score matching box, then the matched analytic set. Panel (a) is All of Us; panel (b) is MarketScan. Every count is given in the legend above.</w:t>
      </w:r>
      <w:r w:rsidRPr="000F6719">
        <w:rPr>
          <w:rFonts w:ascii="Times New Roman" w:eastAsia="Arial" w:hAnsi="Times New Roman" w:cs="Times New Roman"/>
        </w:rPr>
      </w:r>
    </w:p>
    <w:p w14:paraId="730D4F0A" w14:textId="2924752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Decision tree for the hospitalization phenotype. Branches separate inpatient visits, emergency-to-inpatient visits, and emergency visits by recorded stay duration, and each branch ends in a strict 14-day or broad 30-day classification. Same-day emergency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19,520). Teal squares: MarketScan (n = 637,679). Filled markers are statistically significant (P &lt; 0.05); open markers are not. Error bars: 95% confidence intervals. Race and ethnicity are not captured in MarketScan. The panel shows Black race only; Asian and Other race estimates are given in the text and eTable 9. All 19 Charlson conditions are plotted. Abbreviations: AOR, adjusted odds ratio; CI, confidence interval; DM, diabetes mellitus.</w:t>
      </w:r>
      <w:r w:rsidRPr="000F6719">
        <w:rPr>
          <w:rFonts w:ascii="Times New Roman" w:eastAsia="Arial" w:hAnsi="Times New Roman" w:cs="Times New Roman"/>
        </w:rPr>
      </w:r>
      <w:r w:rsidR="00895A13" w:rsidRPr="000F6719">
        <w:rPr>
          <w:rFonts w:ascii="Times New Roman" w:eastAsia="Arial" w:hAnsi="Times New Roman" w:cs="Times New Roman"/>
        </w:rPr>
      </w:r>
    </w:p>
    <w:p w14:paraId="7DA3718A"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Horizontal forest plot on a log scale with a reference line at an odds ratio of 1.0. Rows run down the left margin: demographics, vaccination, pandemic wave, and 17 Charlson comorbidities. Each row carries a navy circle for All of Us and a teal square for MarketScan, with horizontal error bars for the 95% confidence interval. Filled markers are statistically significant; open markers are not. The Black race row is marked not available for MarketScan.</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4. Domain-specific versus joint associations of six survey-derived SDoH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 Filled markers are statistically significant (P &lt; 0.05); open markers are not. All models adjust for demographics, vaccination, pandemic wave, and 19 Charlson comorbidities. Domain-specific and joint models are complementary rather than ranked: the one-domain estimate is the association a domain carries when modelled alone, whereas the mutually adjusted estimate is what remains once the other measured social domains are included. Estimates and 95% CIs are listed in Table 3; missing-indicator categories are modeled but omitted for clarity, and the “never attended school” education stratum is not plotted because fewer than 20 participants fall in it. Abbreviations: AOR, adjusted odds ratio; CI, confidence interval; SDoH, social determinants of health; GED, General Educational Development.</w:t>
      </w:r>
      <w:r w:rsidRPr="000F6719">
        <w:rPr>
          <w:rFonts w:ascii="Times New Roman" w:eastAsia="Arial" w:hAnsi="Times New Roman" w:cs="Times New Roman"/>
        </w:rPr>
      </w:r>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
    <w:p w14:paraId="0247C2FB" w14:textId="7939B50B"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Paired dumbbell forest plot on a log scale with a reference line at an odds ratio of 1.0, grouped into six social domains. Each level carries two markers joined by a grey bar: a coral circle for the domain-specific model and a navy square for the joint model. The length of the bar shows how far the estimate moves under mutual adjustment. Filled markers are statistically significant; open markers are not. Values are printed at the right of each row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5. Wave-varying social and racial associations with COVID-19 hospitalization. Estimates come from single models carrying exposure-by-wave interaction terms, so every matched stratum contributes. (a) Income association within each pandemic wave, grouped by income stratum. Reference group: $35,000 to $99,999. Income below $10,000 carried 1.36 (1.10-1.68) pre-Delta, 1.42 (0.73-2.77) during Delta and 1.64 (1.22-2.20) during Omicron; the income-by-wave interaction was not significant (P = 0.22). (b) Black-race adjusted odds ratio by wave from the same interaction model: 2.30 (2.01-2.64) pre-Delta, 2.24 (1.77-2.83) during Delta, and 1.78 (1.52-2.09) during Omicron. Separate within-wave models, fitted with and without SDoH adjustment, are reported in eTable 11b. The pre-specified pre-Delta against Omicron contrast was significant (P = 0.017) and the pre-Delta against Delta contrast was not (P = 0.83), while the omnibus test across all race categories did not reach significance (P = 0.07). Filled markers are statistically significant (P &lt; 0.05); open markers are not. Error bars and bracketed values are 95% confidence intervals.</w:t>
      </w:r>
      <w:r w:rsidRPr="000F6719">
        <w:rPr>
          <w:rFonts w:ascii="Times New Roman" w:eastAsia="Arial" w:hAnsi="Times New Roman" w:cs="Times New Roman"/>
        </w:rPr>
      </w:r>
      <w:r w:rsidR="006B7B0D" w:rsidRPr="000F6719">
        <w:rPr>
          <w:rFonts w:ascii="Times New Roman" w:eastAsia="Arial" w:hAnsi="Times New Roman" w:cs="Times New Roman"/>
        </w:rPr>
      </w:r>
      <w:r w:rsidR="0048705F" w:rsidRPr="0048705F">
        <w:rPr>
          <w:rFonts w:ascii="Times New Roman" w:eastAsia="Arial" w:hAnsi="Times New Roman" w:cs="Times New Roman"/>
        </w:rPr>
      </w:r>
      <w:r w:rsidR="006B7B0D" w:rsidRPr="000F6719">
        <w:rPr>
          <w:rFonts w:ascii="Times New Roman" w:eastAsia="Arial" w:hAnsi="Times New Roman" w:cs="Times New Roman"/>
        </w:rPr>
      </w:r>
      <w:r w:rsidR="00D141BE" w:rsidRPr="000F6719">
        <w:rPr>
          <w:rFonts w:ascii="Times New Roman" w:eastAsia="Arial" w:hAnsi="Times New Roman" w:cs="Times New Roman"/>
        </w:rPr>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r>
    </w:p>
    <w:p w14:paraId="1D956DCC" w14:textId="48ABCDC1" w:rsidR="00841284" w:rsidRPr="000F6719" w:rsidRDefault="00320D14" w:rsidP="00E3018C">
      <w:pPr>
        <w:spacing w:after="120" w:line="480" w:lineRule="auto"/>
        <w:rPr>
          <w:rFonts w:ascii="Times New Roman" w:eastAsia="Arial" w:hAnsi="Times New Roman" w:cs="Times New Roman"/>
        </w:rPr>
      </w:pPr>
      <w:r w:rsidRPr="000F6719">
        <w:rPr>
          <w:rFonts w:ascii="Times New Roman" w:eastAsia="Arial" w:hAnsi="Times New Roman" w:cs="Times New Roman"/>
          <w:b/>
          <w:bCs/>
        </w:rPr>
        <w:t>Alt text: Two-panel figure. Panel (a) is a grouped forest plot on a log scale: three income strata, and within each stratum the three pandemic waves in time order, coded light to dark blue, with horizontal error bars. Panel (b) is a slope plot with one x-axis position per wave; at each position a coral circle for the unadjusted Black-race estimate sits above a navy square for the SDoH-adjusted estimate, joined by a grey bar whose length is the attenuation. Filled markers are statistically significant; open markers are not.</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