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3"/>
        <w:outlineLvl w:val="2"/>
      </w:pPr>
      <w:r/>
      <w:bookmarkStart w:id="0" w:name="_Tocjr8ms9hjzge6"/>
      <w:r>
        <w:rPr/>
        <w:t>Сети и подсети</w:t>
      </w:r>
      <w:bookmarkEnd w:id="0"/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Причины разбиения сети на подсети: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Уменьшение размеров широковещательных доменов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Функции безопасности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Логика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/>
      </w:pPr>
      <w:r>
        <w:rPr>
          <w:b w:val="true"/>
        </w:rPr>
        <w:t>Разделение на подсети</w:t>
      </w:r>
      <w:r>
        <w:rPr/>
        <w:t xml:space="preserve"> - процедура сегментирования сетей на сетевые пространства меньшего размера (подсети): /24 на /25/25. Выделяется из хостовой части 1 бит для создания 2 подсетей. 2 в 1 степени = 2 подсети. При выделении 1 бита из поля узловой части создаются 2 подсети с одинаковой маской подсети</w:t>
      </w:r>
    </w:p>
    <w:p>
      <w:pPr>
        <w:rPr/>
      </w:pPr>
      <w:r>
        <w:rPr/>
        <w:t xml:space="preserve">При разделении более чем на 2 подсети, из хостовой части адреса отделяется больше бит для подсети адреса: /24 на /26/26/26/26. Выделится из хостовой части 2 бита  </w:t>
      </w:r>
    </w:p>
    <w:p>
      <w:pPr>
        <w:rPr/>
      </w:pPr>
    </w:p>
    <w:p>
      <w:pPr>
        <w:rPr/>
      </w:pPr>
      <w:r>
        <w:rPr>
          <w:b w:val="true"/>
        </w:rPr>
        <w:t>Делим 192.168.1.00000000 на 2 подсети:</w:t>
      </w:r>
    </w:p>
    <w:p>
      <w:pPr>
        <w:rPr>
          <w:b w:val="false"/>
        </w:rPr>
      </w:pPr>
      <w:r>
        <w:rPr>
          <w:b w:val="false"/>
        </w:rPr>
        <w:t>192.168.1.0 000 0000 255.255.255.1 000 0000 (подсеть1- 192.168.1.0-127/25)</w:t>
      </w:r>
    </w:p>
    <w:p>
      <w:pPr>
        <w:rPr>
          <w:b w:val="false"/>
        </w:rPr>
      </w:pPr>
      <w:r>
        <w:rPr/>
        <w:tab/>
      </w:r>
      <w:r>
        <w:rPr>
          <w:b w:val="false"/>
        </w:rPr>
        <w:t>Сетевой адрес - 192.168.1.0 000 0000 = 192.168.1.0</w:t>
      </w:r>
    </w:p>
    <w:p>
      <w:pPr>
        <w:rPr>
          <w:b w:val="false"/>
        </w:rPr>
      </w:pPr>
      <w:r>
        <w:rPr/>
        <w:tab/>
      </w:r>
      <w:r>
        <w:rPr>
          <w:b w:val="false"/>
        </w:rPr>
        <w:t>Адрес первого узла - 192.168.1.0 000 0001 = 192.168.1.1</w:t>
      </w:r>
    </w:p>
    <w:p>
      <w:pPr>
        <w:rPr>
          <w:b w:val="false"/>
        </w:rPr>
      </w:pPr>
      <w:r>
        <w:rPr/>
        <w:tab/>
      </w:r>
      <w:r>
        <w:rPr>
          <w:b w:val="false"/>
        </w:rPr>
        <w:t>Адрес последнего узла - 192.168.1.0 111 1110 = 192.168.1.126</w:t>
      </w:r>
    </w:p>
    <w:p>
      <w:pPr>
        <w:rPr>
          <w:b w:val="false"/>
        </w:rPr>
      </w:pPr>
      <w:r>
        <w:rPr/>
        <w:tab/>
      </w:r>
      <w:r>
        <w:rPr>
          <w:b w:val="false"/>
        </w:rPr>
        <w:t>Широковещательный адрес - 192.168.1.0 111 1111 = 192.168.1.127</w:t>
      </w:r>
    </w:p>
    <w:p>
      <w:pPr>
        <w:rPr>
          <w:b w:val="false"/>
        </w:rPr>
      </w:pPr>
      <w:r>
        <w:rPr>
          <w:b w:val="false"/>
        </w:rPr>
        <w:t>192.168.1.1 000 0000 255.255.255.1 000 0000 (подсеть2-192.168.1.128-255/25)</w:t>
      </w:r>
    </w:p>
    <w:p>
      <w:pPr>
        <w:pStyle w:val="Normal"/>
        <w:bidi w:val="false"/>
        <w:rPr>
          <w:b w:val="false"/>
          <w:color w:val="000000"/>
          <w:sz w:val="24"/>
        </w:rPr>
      </w:pP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Сетевой адрес - 192.168.1.1 000 0000 = 192.168.1.128</w:t>
      </w:r>
    </w:p>
    <w:p>
      <w:pPr>
        <w:pStyle w:val="Normal"/>
        <w:bidi w:val="false"/>
        <w:rPr>
          <w:b w:val="false"/>
          <w:color w:val="000000"/>
          <w:sz w:val="24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Адрес первого узла - 192.168.1.1 000 0001 = 192.168.1.129</w:t>
      </w:r>
    </w:p>
    <w:p>
      <w:pPr>
        <w:pStyle w:val="Normal"/>
        <w:bidi w:val="false"/>
        <w:rPr>
          <w:b w:val="false"/>
          <w:color w:val="000000"/>
          <w:sz w:val="24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Адрес последнего узла - 192.168.1.1 111 1110 = 192.168.1.254</w:t>
      </w:r>
    </w:p>
    <w:p>
      <w:pPr>
        <w:rPr>
          <w:b w:val="false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Широковещательный адрес - 192.168.1.1 111 1111 = 192.168.1.255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Расчет количества узлов: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При планировании подсетей нужно учитывать: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Требуемое количество подсетей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Требуемое количество адресов узла (узлов)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Расчет количества адресов узлов, пригодных для использования:</w:t>
      </w:r>
    </w:p>
    <w:p>
      <w:pPr>
        <w:ind w:firstLine="72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2^n-2 (где n - число бит в узловой (хостовой) части адреса)</w:t>
      </w:r>
    </w:p>
    <w:p>
      <w:pPr>
        <w:ind w:hanging="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Расчет количества подсетей:</w:t>
      </w:r>
    </w:p>
    <w:p>
      <w:pPr>
        <w:ind w:hanging="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2^k (где k - количество бит, выделенных из поля узла )</w:t>
      </w:r>
    </w:p>
    <w:p>
      <w:pPr>
        <w:pStyle w:val="Heading5"/>
        <w:outlineLvl w:val="4"/>
      </w:pPr>
      <w:r/>
      <w:bookmarkStart w:id="1" w:name="_Tocm4ltpg1399g6"/>
      <w:r>
        <w:rPr/>
        <w:t>Маски переменной длины (VLSM):</w:t>
      </w:r>
      <w:bookmarkEnd w:id="1"/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VLSM подволяет разделить сетевое пространство на неравные части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Подсети переменного размера: Одна подсеть была дополнительно разбита для создания 8 более мелких подсетей по 4 узла в каждой</w:t>
      </w:r>
    </w:p>
    <w:p>
      <w:pPr>
        <w:rPr/>
      </w:pPr>
      <w:r>
        <w:drawing>
          <wp:inline distT="0" distR="0" distB="0" distL="0">
            <wp:extent cx="5186362" cy="3651908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62" cy="36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Normal"/>
        <w:rPr/>
      </w:pPr>
    </w:p>
    <w:sectPr>
      <w:headerReference r:id="rId6" w:type="default"/>
      <w:footerReference r:id="rId7" w:type="default"/>
      <w:type w:val="nextPage"/>
      <w:pgSz w:w="12240" w:orient="portrait" w:h="15840"/>
      <w:pgMar w:header="720" w:bottom="720" w:left="720" w:right="720" w:top="72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6fb8eda-f0dd-435b-9d97-74fa1172144e" w:fontKey="{00000000-0000-0000-0000-000000000000}" w:subsetted="0"/>
  </w:font>
  <w:font w:name="Roboto Bold">
    <w:embedBold r:id="rId1541f752-86e8-416e-b290-3f627c5aeb8d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ru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ind w:left="0"/>
      <w:jc w:val="center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header1.xml" Type="http://schemas.openxmlformats.org/officeDocument/2006/relationships/header"/>
<Relationship Id="rId7" Target="footer1.xml" Type="http://schemas.openxmlformats.org/officeDocument/2006/relationships/footer"/>
</Relationships>

</file>

<file path=word/_rels/fontTable.xml.rels><?xml version="1.0" encoding="UTF-8" standalone="no"?>
<Relationships xmlns="http://schemas.openxmlformats.org/package/2006/relationships">
<Relationship Id="rId1541f752-86e8-416e-b290-3f627c5aeb8d" Target="fonts/robotobold.ttf" Type="http://schemas.openxmlformats.org/officeDocument/2006/relationships/font"/>
<Relationship Id="rIdd6fb8eda-f0dd-435b-9d97-74fa1172144e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36366216453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2021-11-08T10:10:16Z</dcterms:created>
  <dc:creator>Алексей Полевой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