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9A6700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pPr>
              <w:spacing w:after="80"/>
              <w:jc w:val="left"/>
            </w:pPr>
            <w:r>
              <w:rPr>
                <w:rFonts w:ascii="Inter Display" w:hAnsi="Inter Display" w:eastAsia="Inter Display" w:cs="Inter Display"/>
                <w:b/>
                <w:color w:val="FFFFFF"/>
                <w:sz w:val="44"/>
              </w:rPr>
              <w:t>ГЕРОИ И СНАРЯЖЕНИЕ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color w:val="EAF4F8"/>
                <w:sz w:val="20"/>
              </w:rPr>
              <w:t>Как не сжечь фрагменты, книги навыков, камни эссенции и виджеты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B5470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FFF3E8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54708"/>
                <w:sz w:val="20"/>
              </w:rPr>
              <w:t>Главный принцип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Дефицитные материалы вкладываем не в «любимого героя на сегодня», а в персонажей и предметы, которые долго остаются частью основного боевого состава.</w:t>
            </w:r>
          </w:p>
        </w:tc>
      </w:tr>
    </w:tbl>
    <w:p>
      <w:pPr>
        <w:spacing w:after="0"/>
      </w:pPr>
    </w:p>
    <w:p>
      <w:pPr>
        <w:pStyle w:val="MiniPost"/>
        <w:keepNext/>
        <w:pBdr>
          <w:top w:val="single" w:sz="10" w:space="6" w:color="9A6700"/>
        </w:pBdr>
      </w:pPr>
      <w:r>
        <w:rPr>
          <w:rFonts w:ascii="Inter Display" w:hAnsi="Inter Display" w:eastAsia="Inter Display" w:cs="Inter Display"/>
          <w:b/>
          <w:color w:val="152231"/>
          <w:sz w:val="24"/>
        </w:rPr>
        <w:t>0. Новое поколение почти всегда сильнее старого</w:t>
      </w:r>
    </w:p>
    <w:p>
      <w:pPr>
        <w:spacing w:after="100"/>
      </w:pPr>
      <w:r>
        <w:rPr>
          <w:rFonts w:ascii="Lato" w:hAnsi="Lato" w:eastAsia="Lato" w:cs="Lato"/>
          <w:b w:val="0"/>
          <w:i w:val="0"/>
          <w:sz w:val="20"/>
        </w:rPr>
        <w:t>Герои от поколения к поколению получают значительно более высокие базовые экспедиционные характеристики. Поэтому не стоит бесконечно усиливать старого героя только потому, что в него уже вложены ресурсы: новые поколения постепенно вытесняют прежних персонажей даже при одинаковой звёздности.</w:t>
      </w:r>
    </w:p>
    <w:p>
      <w:pPr>
        <w:spacing w:after="100"/>
      </w:pPr>
      <w:r>
        <w:rPr>
          <w:rFonts w:ascii="Lato" w:hAnsi="Lato" w:eastAsia="Lato" w:cs="Lato"/>
          <w:b w:val="0"/>
          <w:i w:val="0"/>
          <w:sz w:val="20"/>
        </w:rPr>
        <w:t>Исключения есть — долгоиграющие герои, узкоспециализированные участники ралли и персонажи с особенно ценными навыками или эксклюзивным снаряжением. Но перед крупным вложением всегда учитывайте, насколько близко следующее поколение.</w:t>
      </w:r>
    </w:p>
    <w:p>
      <w:pPr>
        <w:spacing w:after="100"/>
      </w:pPr>
      <w:r>
        <w:rPr>
          <w:rFonts w:ascii="Lato" w:hAnsi="Lato" w:eastAsia="Lato" w:cs="Lato"/>
          <w:b w:val="0"/>
          <w:i w:val="0"/>
          <w:sz w:val="20"/>
        </w:rPr>
        <w:t>Подробнее по поколениям, источникам героев, базовой атаке/защите и желаемой звёздности смотрите в документе №11 — «Герои по поколениям».</w:t>
      </w:r>
    </w:p>
    <w:p>
      <w:pPr>
        <w:pStyle w:val="MiniPost"/>
        <w:keepNext/>
        <w:pBdr>
          <w:top w:val="single" w:sz="10" w:space="6" w:color="9A6700"/>
        </w:pBdr>
      </w:pPr>
      <w:r>
        <w:rPr>
          <w:rFonts w:ascii="Lato" w:hAnsi="Lato" w:eastAsia="Lato" w:cs="Lato"/>
          <w:b/>
          <w:i w:val="0"/>
          <w:color w:val="9A6700"/>
          <w:sz w:val="24"/>
        </w:rPr>
        <w:t xml:space="preserve">1. </w:t>
      </w:r>
      <w:r>
        <w:rPr>
          <w:rFonts w:ascii="Lato" w:hAnsi="Lato" w:eastAsia="Lato" w:cs="Lato"/>
          <w:b/>
          <w:i w:val="0"/>
          <w:sz w:val="24"/>
        </w:rPr>
        <w:t>Три источника мифических героев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Колесо Фортуны. Самый удобный источник для обычного игрока: героя можно стабильно собирать за самоцветы и доводить до рабочих звёзд.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Зал Героев. Героя можно открыть сравнительно дёшево, но дальнейшая прокачка часто требует универсальных мифических фрагментов — это дорогой ресурс.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3. </w:t>
      </w:r>
      <w:r>
        <w:rPr>
          <w:rFonts w:ascii="Lato" w:hAnsi="Lato" w:eastAsia="Lato" w:cs="Lato"/>
          <w:b w:val="0"/>
          <w:i w:val="0"/>
        </w:rPr>
        <w:t>Донат/ивенты. Такие герои могут быть сильными, но их реальная стоимость прокачки обычно значительно выше. Для ограниченного бюджета их нельзя брать «по привычке».</w:t>
      </w:r>
    </w:p>
    <w:p>
      <w:r>
        <w:rPr>
          <w:rFonts w:ascii="Lato" w:hAnsi="Lato" w:eastAsia="Lato" w:cs="Lato"/>
          <w:b w:val="0"/>
          <w:i w:val="0"/>
        </w:rPr>
        <w:t>Для 2-го поколения практический бюджетный фокус — Флинт и Алонсо. Филли при ограниченных ресурсах имеет более низкий приоритет, если вы не строите под неё конкретную стратегию.</w:t>
      </w:r>
    </w:p>
    <w:p>
      <w:pPr>
        <w:pStyle w:val="MiniPost"/>
        <w:keepNext/>
        <w:pBdr>
          <w:top w:val="single" w:sz="10" w:space="6" w:color="9A6700"/>
        </w:pBdr>
      </w:pPr>
      <w:r>
        <w:rPr>
          <w:rFonts w:ascii="Lato" w:hAnsi="Lato" w:eastAsia="Lato" w:cs="Lato"/>
          <w:b/>
          <w:i w:val="0"/>
          <w:color w:val="9A6700"/>
          <w:sz w:val="24"/>
        </w:rPr>
        <w:t xml:space="preserve">2. </w:t>
      </w:r>
      <w:r>
        <w:rPr>
          <w:rFonts w:ascii="Lato" w:hAnsi="Lato" w:eastAsia="Lato" w:cs="Lato"/>
          <w:b/>
          <w:i w:val="0"/>
          <w:sz w:val="24"/>
        </w:rPr>
        <w:t>Сколько нужно фрагментов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rPr>
          <w:tblHeader w:val="true"/>
        </w:trPr>
        <w:tc>
          <w:tcPr>
            <w:tcW w:type="dxa" w:w="5156"/>
            <w:shd w:fill="9A6700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Цель</w:t>
            </w:r>
          </w:p>
        </w:tc>
        <w:tc>
          <w:tcPr>
            <w:tcW w:type="dxa" w:w="5156"/>
            <w:shd w:fill="9A6700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Фрагменты после призыва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3★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165</w:t>
            </w:r>
          </w:p>
        </w:tc>
      </w:tr>
      <w:tr>
        <w:tc>
          <w:tcPr>
            <w:tcW w:type="dxa" w:w="3118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4★</w:t>
            </w:r>
          </w:p>
        </w:tc>
        <w:tc>
          <w:tcPr>
            <w:tcW w:type="dxa" w:w="6236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465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5★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1065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9A6700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EDF6FA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9A6700"/>
                <w:sz w:val="20"/>
              </w:rPr>
              <w:t>Важное уточнение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Эти 165 / 465 / 1065 — стоимость звёздной прокачки уже призванного героя. Если герой ещё закрыт и для призыва нужно 10 его персональных фрагментов, общий путь «с нуля» будет 175 / 475 / 1075.</w:t>
            </w:r>
          </w:p>
        </w:tc>
      </w:tr>
    </w:tbl>
    <w:p>
      <w:pPr>
        <w:spacing w:after="0"/>
      </w:pPr>
    </w:p>
    <w:p>
      <w:r>
        <w:rPr>
          <w:rFonts w:ascii="Lato" w:hAnsi="Lato" w:eastAsia="Lato" w:cs="Lato"/>
          <w:b w:val="0"/>
          <w:i w:val="0"/>
        </w:rPr>
        <w:t>Для большинства мифических героев 4★ — ключевая практическая цель: к этому моменту можно полноценно развить навыки. Если ресурсов не хватает, лучше остановиться на сильных 3★, чем распылиться на несколько недоделанных персонажей.</w:t>
      </w:r>
    </w:p>
    <w:p>
      <w:pPr>
        <w:pStyle w:val="MiniPost"/>
        <w:keepNext/>
        <w:pBdr>
          <w:top w:val="single" w:sz="10" w:space="6" w:color="9A6700"/>
        </w:pBdr>
      </w:pPr>
      <w:r>
        <w:rPr>
          <w:rFonts w:ascii="Lato" w:hAnsi="Lato" w:eastAsia="Lato" w:cs="Lato"/>
          <w:b/>
          <w:i w:val="0"/>
          <w:color w:val="9A6700"/>
          <w:sz w:val="24"/>
        </w:rPr>
        <w:t xml:space="preserve">3. </w:t>
      </w:r>
      <w:r>
        <w:rPr>
          <w:rFonts w:ascii="Lato" w:hAnsi="Lato" w:eastAsia="Lato" w:cs="Lato"/>
          <w:b/>
          <w:i w:val="0"/>
          <w:sz w:val="24"/>
        </w:rPr>
        <w:t>Книги навыков</w:t>
      </w:r>
    </w:p>
    <w:p>
      <w:r>
        <w:rPr>
          <w:rFonts w:ascii="Lato" w:hAnsi="Lato" w:eastAsia="Lato" w:cs="Lato"/>
          <w:b w:val="0"/>
          <w:i w:val="0"/>
        </w:rPr>
        <w:t>Герой без прокачанных экспедиционных навыков сильно слабее своей «звёздной цифры». Поэтому книги навыков — такой же дефицит, как фрагменты.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Копите книги под следующего основного мифического героя.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Не повышайте навыки второстепенного героя только потому, что на кнопке горит красная точка.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Если герой нужен для присоединения к ралли, в первую очередь важен его первый экспедиционный навык.</w:t>
      </w:r>
    </w:p>
    <w:p>
      <w:pPr>
        <w:pStyle w:val="MiniPost"/>
        <w:keepNext/>
        <w:pBdr>
          <w:top w:val="single" w:sz="10" w:space="6" w:color="9A6700"/>
        </w:pBdr>
      </w:pPr>
      <w:r>
        <w:rPr>
          <w:rFonts w:ascii="Lato" w:hAnsi="Lato" w:eastAsia="Lato" w:cs="Lato"/>
          <w:b/>
          <w:i w:val="0"/>
          <w:color w:val="9A6700"/>
          <w:sz w:val="24"/>
        </w:rPr>
        <w:t xml:space="preserve">4. </w:t>
      </w:r>
      <w:r>
        <w:rPr>
          <w:rFonts w:ascii="Lato" w:hAnsi="Lato" w:eastAsia="Lato" w:cs="Lato"/>
          <w:b/>
          <w:i w:val="0"/>
          <w:sz w:val="24"/>
        </w:rPr>
        <w:t>Снаряжение героев: приоритет слотов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633"/>
      </w:tblGrid>
      <w:tr>
        <w:trPr>
          <w:tblHeader w:val="true"/>
        </w:trPr>
        <w:tc>
          <w:tcPr>
            <w:tcW w:type="dxa" w:w="5156"/>
            <w:shd w:fill="9A6700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Класс</w:t>
            </w:r>
          </w:p>
        </w:tc>
        <w:tc>
          <w:tcPr>
            <w:tcW w:type="dxa" w:w="5156"/>
            <w:shd w:fill="9A6700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Куда идут лучшие ресурсы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Пехота</w:t>
            </w:r>
          </w:p>
        </w:tc>
        <w:tc>
          <w:tcPr>
            <w:tcW w:type="dxa" w:w="66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Пояс + Перчатки → здоровье. Фронт должен жить.</w:t>
            </w:r>
          </w:p>
        </w:tc>
      </w:tr>
      <w:tr>
        <w:tc>
          <w:tcPr>
            <w:tcW w:type="dxa" w:w="2721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Копейщики</w:t>
            </w:r>
          </w:p>
        </w:tc>
        <w:tc>
          <w:tcPr>
            <w:tcW w:type="dxa" w:w="6633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Головной предмет/очки + Сапоги → смертоносность.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Лучники</w:t>
            </w:r>
          </w:p>
        </w:tc>
        <w:tc>
          <w:tcPr>
            <w:tcW w:type="dxa" w:w="66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Головной предмет/очки + Сапоги → смертоносность.</w:t>
            </w:r>
          </w:p>
        </w:tc>
      </w:tr>
    </w:tbl>
    <w:p>
      <w:pPr>
        <w:spacing w:after="0"/>
      </w:pPr>
    </w:p>
    <w:p>
      <w:r>
        <w:rPr>
          <w:rFonts w:ascii="Lato" w:hAnsi="Lato" w:eastAsia="Lato" w:cs="Lato"/>
          <w:b w:val="0"/>
          <w:i w:val="0"/>
        </w:rPr>
        <w:t>Неприоритетные слоты не бросаем навсегда, но поднимаем медленнее. Камни Эссенции в первую очередь идут в приоритетные золотые предметы.</w:t>
      </w:r>
    </w:p>
    <w:p>
      <w:pPr>
        <w:pStyle w:val="MiniPost"/>
        <w:keepNext/>
        <w:pBdr>
          <w:top w:val="single" w:sz="10" w:space="6" w:color="9A6700"/>
        </w:pBdr>
      </w:pPr>
      <w:r>
        <w:rPr>
          <w:rFonts w:ascii="Lato" w:hAnsi="Lato" w:eastAsia="Lato" w:cs="Lato"/>
          <w:b/>
          <w:i w:val="0"/>
          <w:color w:val="9A6700"/>
          <w:sz w:val="24"/>
        </w:rPr>
        <w:t xml:space="preserve">5. </w:t>
      </w:r>
      <w:r>
        <w:rPr>
          <w:rFonts w:ascii="Lato" w:hAnsi="Lato" w:eastAsia="Lato" w:cs="Lato"/>
          <w:b/>
          <w:i w:val="0"/>
          <w:sz w:val="24"/>
        </w:rPr>
        <w:t>Рабочая лестница усиления</w:t>
      </w:r>
    </w:p>
    <w:p>
      <w:r>
        <w:rPr>
          <w:rFonts w:ascii="Lato" w:hAnsi="Lato" w:eastAsia="Lato" w:cs="Lato"/>
          <w:b w:val="0"/>
          <w:i w:val="0"/>
        </w:rPr>
        <w:t>Условные обозначения: Н — неприоритетные слоты класса, П — приоритетные.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tblHeader w:val="true"/>
        </w:trPr>
        <w:tc>
          <w:tcPr>
            <w:tcW w:type="dxa" w:w="5156"/>
            <w:shd w:fill="9A6700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5156"/>
            <w:shd w:fill="9A6700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Что делаем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1–2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П +30 → Н +20</w:t>
            </w:r>
          </w:p>
        </w:tc>
      </w:tr>
      <w:tr>
        <w:tc>
          <w:tcPr>
            <w:tcW w:type="dxa" w:w="2551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6803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П +50 → Н +30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5–6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П +80 → Н +40</w:t>
            </w:r>
          </w:p>
        </w:tc>
      </w:tr>
      <w:tr>
        <w:tc>
          <w:tcPr>
            <w:tcW w:type="dxa" w:w="2551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7–8</w:t>
            </w:r>
          </w:p>
        </w:tc>
        <w:tc>
          <w:tcPr>
            <w:tcW w:type="dxa" w:w="6803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Н +50 → П +90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Дальше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Выравниваем по ситуации; мастерство/Камни Эссенции — прежде всего в П.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667085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F2F4F7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667085"/>
                <w:sz w:val="20"/>
              </w:rPr>
              <w:t>Не превращайте схему в догму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Если один слот отстал настолько, что дешёвое улучшение даёт больше статов за ресурс, его можно подтянуть раньше. Приоритет — это направление инвестиций, а не запрет на эффективные дешёвые апгрейды.</w:t>
            </w:r>
          </w:p>
        </w:tc>
      </w:tr>
    </w:tbl>
    <w:p>
      <w:pPr>
        <w:spacing w:after="0"/>
      </w:pPr>
    </w:p>
    <w:p>
      <w:pPr>
        <w:pStyle w:val="MiniPost"/>
        <w:keepNext/>
        <w:pBdr>
          <w:top w:val="single" w:sz="10" w:space="6" w:color="9A6700"/>
        </w:pBdr>
      </w:pPr>
      <w:r>
        <w:rPr>
          <w:rFonts w:ascii="Lato" w:hAnsi="Lato" w:eastAsia="Lato" w:cs="Lato"/>
          <w:b/>
          <w:i w:val="0"/>
          <w:color w:val="9A6700"/>
          <w:sz w:val="24"/>
        </w:rPr>
        <w:t xml:space="preserve">6. </w:t>
      </w:r>
      <w:r>
        <w:rPr>
          <w:rFonts w:ascii="Lato" w:hAnsi="Lato" w:eastAsia="Lato" w:cs="Lato"/>
          <w:b/>
          <w:i w:val="0"/>
          <w:sz w:val="24"/>
        </w:rPr>
        <w:t>Эксклюзивное снаряжение / виджеты</w:t>
      </w:r>
    </w:p>
    <w:p>
      <w:pPr>
        <w:spacing w:after="100"/>
      </w:pPr>
      <w:r>
        <w:rPr>
          <w:rFonts w:ascii="Lato" w:hAnsi="Lato" w:eastAsia="Lato" w:cs="Lato"/>
          <w:b w:val="0"/>
          <w:i w:val="0"/>
          <w:sz w:val="20"/>
        </w:rPr>
        <w:t>Эксклюзивное снаряжение — отдельный предмет, принадлежащий конкретному мифическому герою. Для его открытия и повышения нужны персональные виджеты. В отличие от обычного снаряжения героя, такой предмет нельзя снять со старого персонажа и передать новому.</w:t>
      </w:r>
    </w:p>
    <w:p>
      <w:pPr>
        <w:spacing w:after="60"/>
        <w:ind w:left="283" w:hanging="198"/>
      </w:pPr>
      <w:r>
        <w:rPr>
          <w:rFonts w:ascii="Lato" w:hAnsi="Lato" w:eastAsia="Lato" w:cs="Lato"/>
          <w:b w:val="0"/>
          <w:i w:val="0"/>
          <w:sz w:val="20"/>
        </w:rPr>
        <w:t>• Базовые бонусы виджета разделены по режимам. В Освоении и на Арене он повышает личные характеристики героя — атаку, защиту и здоровье.</w:t>
      </w:r>
    </w:p>
    <w:p>
      <w:pPr>
        <w:spacing w:after="60"/>
        <w:ind w:left="283" w:hanging="198"/>
      </w:pPr>
      <w:r>
        <w:rPr>
          <w:rFonts w:ascii="Lato" w:hAnsi="Lato" w:eastAsia="Lato" w:cs="Lato"/>
          <w:b w:val="0"/>
          <w:i w:val="0"/>
          <w:sz w:val="20"/>
        </w:rPr>
        <w:t>• В Экспедиции виджет отдельно повышает здоровье и смертоносность войск. Эти экспедиционные проценты не являются бонусами для Арены.</w:t>
      </w:r>
    </w:p>
    <w:p>
      <w:pPr>
        <w:spacing w:after="60"/>
        <w:ind w:left="283" w:hanging="198"/>
      </w:pPr>
      <w:r>
        <w:rPr>
          <w:rFonts w:ascii="Lato" w:hAnsi="Lato" w:eastAsia="Lato" w:cs="Lato"/>
          <w:b w:val="0"/>
          <w:i w:val="0"/>
          <w:sz w:val="20"/>
        </w:rPr>
        <w:t>• У виджета есть два эксклюзивных навыка, и они относятся к разным режимам: ПЕРВЫЙ работает в Освоении/на Арене, ВТОРОЙ — в Экспедиции. Оба навыка не действуют одновременно во всех типах боя.</w:t>
      </w:r>
    </w:p>
    <w:p>
      <w:pPr>
        <w:spacing w:after="60"/>
        <w:ind w:left="283" w:hanging="198"/>
      </w:pPr>
      <w:r>
        <w:rPr>
          <w:rFonts w:ascii="Lato" w:hAnsi="Lato" w:eastAsia="Lato" w:cs="Lato"/>
          <w:b w:val="0"/>
          <w:i w:val="0"/>
          <w:sz w:val="20"/>
        </w:rPr>
        <w:t>• Прокачка быстро дорожает: до 2-го уровня нужно 15 виджетов суммарно, до 4-го — 50, до 6-го — 105, до максимального 10-го — 275.</w:t>
      </w:r>
    </w:p>
    <w:p>
      <w:pPr>
        <w:spacing w:after="100"/>
      </w:pPr>
      <w:r>
        <w:rPr>
          <w:rFonts w:ascii="Lato" w:hAnsi="Lato" w:eastAsia="Lato" w:cs="Lato"/>
          <w:b w:val="0"/>
          <w:i w:val="0"/>
          <w:sz w:val="20"/>
        </w:rPr>
        <w:t>Поэтому ценность виджета нужно оценивать в двух плоскостях: насколько первый навык усиливает героя в Освоении/на Арене и насколько второй навык полезен в Экспедиции — в ралли, гарнизоне или обороне города.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97"/>
      </w:tblGrid>
      <w:tr>
        <w:trPr>
          <w:tblHeader w:val="true"/>
        </w:trPr>
        <w:tc>
          <w:tcPr>
            <w:tcW w:type="dxa" w:w="5156"/>
            <w:shd w:fill="9A6700"/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Герой</w:t>
            </w:r>
          </w:p>
        </w:tc>
        <w:tc>
          <w:tcPr>
            <w:tcW w:type="dxa" w:w="5156"/>
            <w:shd w:fill="9A6700"/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Lato" w:hAnsi="Lato" w:eastAsia="Lato" w:cs="Lato"/>
                <w:b/>
                <w:i w:val="0"/>
                <w:color w:val="FFFFFF"/>
                <w:sz w:val="17"/>
              </w:rPr>
              <w:t>Эксклюзивные навыки виджета — по режимам</w:t>
            </w:r>
          </w:p>
        </w:tc>
      </w:tr>
      <w:tr>
        <w:tc>
          <w:tcPr>
            <w:tcW w:type="dxa" w:w="175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ato" w:hAnsi="Lato" w:eastAsia="Lato" w:cs="Lato"/>
                <w:b/>
                <w:i w:val="0"/>
                <w:sz w:val="17"/>
              </w:rPr>
              <w:t>Флинт</w:t>
            </w:r>
          </w:p>
        </w:tc>
        <w:tc>
          <w:tcPr>
            <w:tcW w:type="dxa" w:w="759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</w:tcPr>
          <w:p>
            <w:pPr>
              <w:spacing w:after="30"/>
            </w:pPr>
            <w:r>
              <w:rPr>
                <w:rFonts w:ascii="Lato" w:hAnsi="Lato" w:eastAsia="Lato" w:cs="Lato"/>
                <w:b w:val="0"/>
                <w:i w:val="0"/>
                <w:sz w:val="17"/>
              </w:rPr>
            </w:r>
            <w:r>
              <w:rPr>
                <w:rFonts w:ascii="Lato" w:hAnsi="Lato"/>
                <w:b/>
                <w:sz w:val="16"/>
              </w:rPr>
              <w:t>ОСВОЕНИЕ / АРЕНА:</w:t>
            </w:r>
            <w:r>
              <w:rPr>
                <w:rFonts w:ascii="Lato" w:hAnsi="Lato"/>
                <w:sz w:val="16"/>
              </w:rPr>
              <w:t xml:space="preserve"> после срабатывания «Испепелителя» Флинт получает +24% к атаке до конца боя.</w:t>
            </w:r>
          </w:p>
          <w:p>
            <w:pPr>
              <w:spacing w:after="30"/>
            </w:pPr>
            <w:r>
              <w:rPr>
                <w:rFonts w:ascii="Lato" w:hAnsi="Lato"/>
                <w:b/>
                <w:sz w:val="16"/>
              </w:rPr>
              <w:t>ЭКСПЕДИЦИЯ:</w:t>
            </w:r>
            <w:r>
              <w:rPr>
                <w:rFonts w:ascii="Lato" w:hAnsi="Lato"/>
                <w:sz w:val="16"/>
              </w:rPr>
              <w:t xml:space="preserve"> при обороне города атака войск защитника +15%.</w:t>
            </w:r>
          </w:p>
        </w:tc>
      </w:tr>
      <w:tr>
        <w:tc>
          <w:tcPr>
            <w:tcW w:type="dxa" w:w="175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Lato" w:hAnsi="Lato" w:eastAsia="Lato" w:cs="Lato"/>
                <w:b/>
                <w:i w:val="0"/>
                <w:sz w:val="17"/>
              </w:rPr>
              <w:t>Алонсо</w:t>
            </w:r>
          </w:p>
        </w:tc>
        <w:tc>
          <w:tcPr>
            <w:tcW w:type="dxa" w:w="759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  <w:shd w:fill="F8FAFC"/>
          </w:tcPr>
          <w:p>
            <w:pPr>
              <w:spacing w:after="30"/>
            </w:pPr>
            <w:r>
              <w:rPr>
                <w:rFonts w:ascii="Lato" w:hAnsi="Lato" w:eastAsia="Lato" w:cs="Lato"/>
                <w:b w:val="0"/>
                <w:i w:val="0"/>
                <w:sz w:val="17"/>
              </w:rPr>
            </w:r>
            <w:r>
              <w:rPr>
                <w:rFonts w:ascii="Lato" w:hAnsi="Lato"/>
                <w:b/>
                <w:sz w:val="16"/>
              </w:rPr>
              <w:t>ОСВОЕНИЕ / АРЕНА:</w:t>
            </w:r>
            <w:r>
              <w:rPr>
                <w:rFonts w:ascii="Lato" w:hAnsi="Lato"/>
                <w:sz w:val="16"/>
              </w:rPr>
              <w:t xml:space="preserve"> каждая обычная атака лечит самого ослабленного героя на 15%.</w:t>
            </w:r>
          </w:p>
          <w:p>
            <w:pPr>
              <w:spacing w:after="30"/>
            </w:pPr>
            <w:r>
              <w:rPr>
                <w:rFonts w:ascii="Lato" w:hAnsi="Lato"/>
                <w:b/>
                <w:sz w:val="16"/>
              </w:rPr>
              <w:t>ЭКСПЕДИЦИЯ:</w:t>
            </w:r>
            <w:r>
              <w:rPr>
                <w:rFonts w:ascii="Lato" w:hAnsi="Lato"/>
                <w:sz w:val="16"/>
              </w:rPr>
              <w:t xml:space="preserve"> смертоносность войск ралли +15%.</w:t>
            </w:r>
          </w:p>
        </w:tc>
      </w:tr>
      <w:tr>
        <w:tc>
          <w:tcPr>
            <w:tcW w:type="dxa" w:w="175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ato" w:hAnsi="Lato" w:eastAsia="Lato" w:cs="Lato"/>
                <w:b/>
                <w:i w:val="0"/>
                <w:sz w:val="17"/>
              </w:rPr>
              <w:t>Мия</w:t>
            </w:r>
          </w:p>
        </w:tc>
        <w:tc>
          <w:tcPr>
            <w:tcW w:type="dxa" w:w="759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</w:tcPr>
          <w:p>
            <w:pPr>
              <w:spacing w:after="30"/>
            </w:pPr>
            <w:r>
              <w:rPr>
                <w:rFonts w:ascii="Lato" w:hAnsi="Lato" w:eastAsia="Lato" w:cs="Lato"/>
                <w:b w:val="0"/>
                <w:i w:val="0"/>
                <w:sz w:val="17"/>
              </w:rPr>
            </w:r>
            <w:r>
              <w:rPr>
                <w:rFonts w:ascii="Lato" w:hAnsi="Lato"/>
                <w:b/>
                <w:sz w:val="16"/>
              </w:rPr>
              <w:t>ОСВОЕНИЕ / АРЕНА:</w:t>
            </w:r>
            <w:r>
              <w:rPr>
                <w:rFonts w:ascii="Lato" w:hAnsi="Lato"/>
                <w:sz w:val="16"/>
              </w:rPr>
              <w:t xml:space="preserve"> верхняя и нижняя границы её случайных эффектов увеличиваются на 150%.</w:t>
            </w:r>
          </w:p>
          <w:p>
            <w:pPr>
              <w:spacing w:after="30"/>
            </w:pPr>
            <w:r>
              <w:rPr>
                <w:rFonts w:ascii="Lato" w:hAnsi="Lato"/>
                <w:b/>
                <w:sz w:val="16"/>
              </w:rPr>
              <w:t>ЭКСПЕДИЦИЯ:</w:t>
            </w:r>
            <w:r>
              <w:rPr>
                <w:rFonts w:ascii="Lato" w:hAnsi="Lato"/>
                <w:sz w:val="16"/>
              </w:rPr>
              <w:t xml:space="preserve"> атака войск ралли +15%.</w:t>
            </w:r>
          </w:p>
        </w:tc>
      </w:tr>
      <w:tr>
        <w:tc>
          <w:tcPr>
            <w:tcW w:type="dxa" w:w="175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Lato" w:hAnsi="Lato" w:eastAsia="Lato" w:cs="Lato"/>
                <w:b/>
                <w:i w:val="0"/>
                <w:sz w:val="17"/>
              </w:rPr>
              <w:t>Грег</w:t>
            </w:r>
          </w:p>
        </w:tc>
        <w:tc>
          <w:tcPr>
            <w:tcW w:type="dxa" w:w="759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  <w:shd w:fill="F8FAFC"/>
          </w:tcPr>
          <w:p>
            <w:pPr>
              <w:spacing w:after="30"/>
            </w:pPr>
            <w:r>
              <w:rPr>
                <w:rFonts w:ascii="Lato" w:hAnsi="Lato" w:eastAsia="Lato" w:cs="Lato"/>
                <w:b w:val="0"/>
                <w:i w:val="0"/>
                <w:sz w:val="17"/>
              </w:rPr>
            </w:r>
            <w:r>
              <w:rPr>
                <w:rFonts w:ascii="Lato" w:hAnsi="Lato"/>
                <w:b/>
                <w:sz w:val="16"/>
              </w:rPr>
              <w:t>ОСВОЕНИЕ / АРЕНА:</w:t>
            </w:r>
            <w:r>
              <w:rPr>
                <w:rFonts w:ascii="Lato" w:hAnsi="Lato"/>
                <w:sz w:val="16"/>
              </w:rPr>
              <w:t xml:space="preserve"> накладывает молчание на 5 сек. и наносит 300% атаки.</w:t>
            </w:r>
          </w:p>
          <w:p>
            <w:pPr>
              <w:spacing w:after="30"/>
            </w:pPr>
            <w:r>
              <w:rPr>
                <w:rFonts w:ascii="Lato" w:hAnsi="Lato"/>
                <w:b/>
                <w:sz w:val="16"/>
              </w:rPr>
              <w:t>ЭКСПЕДИЦИЯ:</w:t>
            </w:r>
            <w:r>
              <w:rPr>
                <w:rFonts w:ascii="Lato" w:hAnsi="Lato"/>
                <w:sz w:val="16"/>
              </w:rPr>
              <w:t xml:space="preserve"> здоровье войск ралли +15%.</w:t>
            </w:r>
          </w:p>
        </w:tc>
      </w:tr>
      <w:tr>
        <w:tc>
          <w:tcPr>
            <w:tcW w:type="dxa" w:w="175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ato" w:hAnsi="Lato" w:eastAsia="Lato" w:cs="Lato"/>
                <w:b/>
                <w:i w:val="0"/>
                <w:sz w:val="17"/>
              </w:rPr>
              <w:t>Ахмос</w:t>
            </w:r>
          </w:p>
        </w:tc>
        <w:tc>
          <w:tcPr>
            <w:tcW w:type="dxa" w:w="7597"/>
            <w:tcMar>
              <w:top w:w="105" w:type="dxa"/>
              <w:start w:w="150" w:type="dxa"/>
              <w:bottom w:w="105" w:type="dxa"/>
              <w:end w:w="150" w:type="dxa"/>
            </w:tcMar>
            <w:vAlign w:val="center"/>
          </w:tcPr>
          <w:p>
            <w:pPr>
              <w:spacing w:after="30"/>
            </w:pPr>
            <w:r>
              <w:rPr>
                <w:rFonts w:ascii="Lato" w:hAnsi="Lato" w:eastAsia="Lato" w:cs="Lato"/>
                <w:b w:val="0"/>
                <w:i w:val="0"/>
                <w:sz w:val="17"/>
              </w:rPr>
            </w:r>
            <w:r>
              <w:rPr>
                <w:rFonts w:ascii="Lato" w:hAnsi="Lato"/>
                <w:b/>
                <w:sz w:val="16"/>
              </w:rPr>
              <w:t>ОСВОЕНИЕ / АРЕНА:</w:t>
            </w:r>
            <w:r>
              <w:rPr>
                <w:rFonts w:ascii="Lato" w:hAnsi="Lato"/>
                <w:sz w:val="16"/>
              </w:rPr>
              <w:t xml:space="preserve"> союзники под «Защитой Ктугхи» получают +42% к атаке на 2,5 сек.</w:t>
            </w:r>
          </w:p>
          <w:p>
            <w:pPr>
              <w:spacing w:after="30"/>
            </w:pPr>
            <w:r>
              <w:rPr>
                <w:rFonts w:ascii="Lato" w:hAnsi="Lato"/>
                <w:b/>
                <w:sz w:val="16"/>
              </w:rPr>
              <w:t>ЭКСПЕДИЦИЯ:</w:t>
            </w:r>
            <w:r>
              <w:rPr>
                <w:rFonts w:ascii="Lato" w:hAnsi="Lato"/>
                <w:sz w:val="16"/>
              </w:rPr>
              <w:t xml:space="preserve"> здоровье войск защитника города +15%.</w:t>
            </w:r>
          </w:p>
        </w:tc>
      </w:tr>
    </w:tbl>
    <w:p>
      <w:pPr>
        <w:spacing w:after="100"/>
      </w:pPr>
      <w:r>
        <w:rPr>
          <w:rFonts w:ascii="Lato" w:hAnsi="Lato" w:eastAsia="Lato" w:cs="Lato"/>
          <w:b w:val="0"/>
          <w:i w:val="0"/>
          <w:sz w:val="20"/>
        </w:rPr>
        <w:t>Особенно ценны именно экспедиционные эффекты вида «+15% к атаке/здоровью/смертоносности ралли» или бонусы защитнику города: они усиливают весь соответствующий боевой отряд. Эффекты первого навыка виджета к таким боям не относятся.</w:t>
      </w:r>
    </w:p>
    <w:p>
      <w:pPr>
        <w:spacing w:after="100"/>
      </w:pPr>
      <w:r>
        <w:rPr>
          <w:rFonts w:ascii="Lato" w:hAnsi="Lato" w:eastAsia="Lato" w:cs="Lato"/>
          <w:b w:val="0"/>
          <w:i w:val="0"/>
          <w:sz w:val="20"/>
        </w:rPr>
        <w:t>Флинт — хороший пример: в Освоении/на Арене его первый навык виджета повышает собственную атаку после срабатывания «Испепелителя», а в Экспедиции второй навык отдельно усиливает атаку войск при обороне города. Это два разных эффекта для двух разных режимов. Уровень 4–5 остаётся разумным ранним ориентиром; более глубокая прокачка оправдана, если Флинт всё ещё входит в основной состав.</w:t>
      </w:r>
    </w:p>
    <w:p>
      <w:pPr>
        <w:spacing w:after="100"/>
      </w:pPr>
      <w:r>
        <w:rPr>
          <w:rFonts w:ascii="Lato" w:hAnsi="Lato" w:eastAsia="Lato" w:cs="Lato"/>
          <w:b w:val="0"/>
          <w:i w:val="0"/>
          <w:sz w:val="20"/>
        </w:rPr>
        <w:t>Не открывайте выбираемые сундуки виджетов заранее. Пока сундук не привязан к конкретному герою, он сохраняет ценность для будущего персонажа; назначенный виджет уже становится узким ресурсом.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964" w:bottom="62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Lato" w:hAnsi="Lato"/>
        <w:color w:val="667788"/>
        <w:sz w:val="15"/>
      </w:rPr>
    </w:r>
    <w:r>
      <w:rPr>
        <w:rFonts w:ascii="Lato" w:hAnsi="Lato" w:eastAsia="Lato" w:cs="Lato"/>
        <w:color w:val="667788"/>
        <w:sz w:val="15"/>
      </w:rPr>
      <w:t>Подготовлено SuBL · август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Inter Display" w:hAnsi="Inter Display" w:eastAsia="Inter Display" w:cs="Inter Display"/>
        <w:b/>
        <w:color w:val="9A6700"/>
        <w:sz w:val="16"/>
      </w:rPr>
      <w:t>WHITEOUT SURVIVAL  •  ШПАРГАЛКА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ato" w:hAnsi="Lato"/>
      <w:color w:val="2433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9A67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Post">
    <w:name w:val="MiniPost"/>
    <w:pPr>
      <w:keepNext/>
      <w:spacing w:before="160" w:after="80"/>
    </w:pPr>
    <w:rPr>
      <w:rFonts w:ascii="Inter Display" w:hAnsi="Inter Display"/>
      <w:b/>
      <w:color w:val="152231"/>
      <w:sz w:val="24"/>
    </w:rPr>
  </w:style>
  <w:style w:type="paragraph" w:customStyle="1" w:styleId="SmallMuted">
    <w:name w:val="SmallMuted"/>
    <w:pPr>
      <w:spacing w:after="60"/>
    </w:pPr>
    <w:rPr>
      <w:rFonts w:ascii="Lato" w:hAnsi="Lato"/>
      <w:color w:val="66778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